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84183" w14:textId="77777777" w:rsidR="00001664" w:rsidRPr="00E80090" w:rsidRDefault="0017311E" w:rsidP="00195E4B">
      <w:pPr>
        <w:pBdr>
          <w:bottom w:val="single" w:sz="8" w:space="4" w:color="4F81BD"/>
        </w:pBdr>
        <w:spacing w:after="300" w:line="216" w:lineRule="auto"/>
        <w:ind w:left="540"/>
        <w:jc w:val="center"/>
        <w:rPr>
          <w:rFonts w:asciiTheme="majorHAnsi" w:eastAsia="Times New Roman" w:hAnsiTheme="majorHAnsi"/>
          <w:color w:val="17365D"/>
          <w:spacing w:val="5"/>
          <w:kern w:val="28"/>
          <w:sz w:val="36"/>
          <w:szCs w:val="36"/>
          <w:lang w:val="en-GB" w:eastAsia="en-US"/>
        </w:rPr>
      </w:pPr>
      <w:bookmarkStart w:id="0" w:name="_GoBack"/>
      <w:bookmarkEnd w:id="0"/>
      <w:r w:rsidRPr="00E80090">
        <w:rPr>
          <w:rFonts w:asciiTheme="majorHAnsi" w:eastAsia="Times New Roman" w:hAnsiTheme="majorHAnsi"/>
          <w:color w:val="17365D"/>
          <w:spacing w:val="5"/>
          <w:kern w:val="28"/>
          <w:sz w:val="36"/>
          <w:szCs w:val="36"/>
          <w:lang w:val="en-GB" w:eastAsia="en-US"/>
        </w:rPr>
        <w:t>Centralis</w:t>
      </w:r>
      <w:r w:rsidR="00E357C2" w:rsidRPr="00E80090">
        <w:rPr>
          <w:rFonts w:asciiTheme="majorHAnsi" w:eastAsia="Times New Roman" w:hAnsiTheme="majorHAnsi"/>
          <w:color w:val="17365D"/>
          <w:spacing w:val="5"/>
          <w:kern w:val="28"/>
          <w:sz w:val="36"/>
          <w:szCs w:val="36"/>
          <w:lang w:val="en-GB" w:eastAsia="en-US"/>
        </w:rPr>
        <w:t xml:space="preserve">ation of </w:t>
      </w:r>
      <w:r w:rsidR="00001664" w:rsidRPr="00E80090">
        <w:rPr>
          <w:rFonts w:asciiTheme="majorHAnsi" w:eastAsia="Times New Roman" w:hAnsiTheme="majorHAnsi"/>
          <w:color w:val="17365D"/>
          <w:spacing w:val="5"/>
          <w:kern w:val="28"/>
          <w:sz w:val="36"/>
          <w:szCs w:val="36"/>
          <w:lang w:val="en-GB" w:eastAsia="en-US"/>
        </w:rPr>
        <w:t xml:space="preserve">Banking </w:t>
      </w:r>
      <w:r w:rsidR="00E357C2" w:rsidRPr="00E80090">
        <w:rPr>
          <w:rFonts w:asciiTheme="majorHAnsi" w:eastAsia="Times New Roman" w:hAnsiTheme="majorHAnsi"/>
          <w:color w:val="17365D"/>
          <w:spacing w:val="5"/>
          <w:kern w:val="28"/>
          <w:sz w:val="36"/>
          <w:szCs w:val="36"/>
          <w:lang w:val="en-GB" w:eastAsia="en-US"/>
        </w:rPr>
        <w:t>Relations</w:t>
      </w:r>
      <w:r w:rsidR="00001664" w:rsidRPr="00E80090">
        <w:rPr>
          <w:rFonts w:asciiTheme="majorHAnsi" w:eastAsia="Times New Roman" w:hAnsiTheme="majorHAnsi"/>
          <w:color w:val="17365D"/>
          <w:spacing w:val="5"/>
          <w:kern w:val="28"/>
          <w:sz w:val="36"/>
          <w:szCs w:val="36"/>
          <w:lang w:val="en-GB" w:eastAsia="en-US"/>
        </w:rPr>
        <w:t xml:space="preserve"> </w:t>
      </w:r>
      <w:r w:rsidR="00E357C2" w:rsidRPr="00E80090">
        <w:rPr>
          <w:rFonts w:asciiTheme="majorHAnsi" w:eastAsia="Times New Roman" w:hAnsiTheme="majorHAnsi"/>
          <w:color w:val="17365D"/>
          <w:spacing w:val="5"/>
          <w:kern w:val="28"/>
          <w:sz w:val="36"/>
          <w:szCs w:val="36"/>
          <w:lang w:val="en-GB" w:eastAsia="en-US"/>
        </w:rPr>
        <w:t>in</w:t>
      </w:r>
      <w:r w:rsidR="00001664" w:rsidRPr="00E80090">
        <w:rPr>
          <w:rFonts w:asciiTheme="majorHAnsi" w:eastAsia="Times New Roman" w:hAnsiTheme="majorHAnsi"/>
          <w:color w:val="17365D"/>
          <w:spacing w:val="5"/>
          <w:kern w:val="28"/>
          <w:sz w:val="36"/>
          <w:szCs w:val="36"/>
          <w:lang w:val="en-GB" w:eastAsia="en-US"/>
        </w:rPr>
        <w:t xml:space="preserve"> the CEE Region</w:t>
      </w:r>
    </w:p>
    <w:p w14:paraId="6E584184" w14:textId="77777777" w:rsidR="00001664" w:rsidRPr="00E80090" w:rsidRDefault="00001664" w:rsidP="00195E4B">
      <w:pPr>
        <w:pBdr>
          <w:bottom w:val="single" w:sz="8" w:space="4" w:color="4F81BD"/>
        </w:pBdr>
        <w:spacing w:after="300" w:line="216" w:lineRule="auto"/>
        <w:ind w:left="540"/>
        <w:jc w:val="center"/>
        <w:rPr>
          <w:rFonts w:asciiTheme="majorHAnsi" w:eastAsia="Times New Roman" w:hAnsiTheme="majorHAnsi"/>
          <w:color w:val="17365D"/>
          <w:spacing w:val="5"/>
          <w:kern w:val="28"/>
          <w:sz w:val="36"/>
          <w:szCs w:val="36"/>
          <w:lang w:val="en-GB" w:eastAsia="en-US"/>
        </w:rPr>
      </w:pPr>
      <w:r w:rsidRPr="00E80090">
        <w:rPr>
          <w:rFonts w:asciiTheme="majorHAnsi" w:eastAsia="Times New Roman" w:hAnsiTheme="majorHAnsi"/>
          <w:color w:val="17365D"/>
          <w:spacing w:val="5"/>
          <w:kern w:val="28"/>
          <w:sz w:val="36"/>
          <w:szCs w:val="36"/>
          <w:lang w:val="en-GB" w:eastAsia="en-US"/>
        </w:rPr>
        <w:t xml:space="preserve"> Sun</w:t>
      </w:r>
      <w:r w:rsidR="00506573" w:rsidRPr="00E80090">
        <w:rPr>
          <w:rFonts w:asciiTheme="majorHAnsi" w:eastAsia="Times New Roman" w:hAnsiTheme="majorHAnsi"/>
          <w:color w:val="17365D"/>
          <w:spacing w:val="5"/>
          <w:kern w:val="28"/>
          <w:sz w:val="36"/>
          <w:szCs w:val="36"/>
          <w:lang w:val="en-GB" w:eastAsia="en-US"/>
        </w:rPr>
        <w:t xml:space="preserve"> </w:t>
      </w:r>
      <w:r w:rsidRPr="00E80090">
        <w:rPr>
          <w:rFonts w:asciiTheme="majorHAnsi" w:eastAsia="Times New Roman" w:hAnsiTheme="majorHAnsi"/>
          <w:color w:val="17365D"/>
          <w:spacing w:val="5"/>
          <w:kern w:val="28"/>
          <w:sz w:val="36"/>
          <w:szCs w:val="36"/>
          <w:lang w:val="en-GB" w:eastAsia="en-US"/>
        </w:rPr>
        <w:t>Chemical Group Coöperatief U.A.</w:t>
      </w:r>
    </w:p>
    <w:p w14:paraId="6E584185" w14:textId="77777777" w:rsidR="00001664" w:rsidRPr="00E80090" w:rsidRDefault="00BA4BEE" w:rsidP="00195E4B">
      <w:pPr>
        <w:pBdr>
          <w:bottom w:val="single" w:sz="8" w:space="4" w:color="4F81BD"/>
        </w:pBdr>
        <w:spacing w:after="300"/>
        <w:ind w:left="540"/>
        <w:jc w:val="center"/>
        <w:rPr>
          <w:rFonts w:asciiTheme="majorHAnsi" w:eastAsia="Times New Roman" w:hAnsiTheme="majorHAnsi"/>
          <w:color w:val="17365D"/>
          <w:spacing w:val="5"/>
          <w:kern w:val="28"/>
          <w:sz w:val="28"/>
          <w:szCs w:val="28"/>
          <w:lang w:val="en-GB" w:eastAsia="en-US"/>
        </w:rPr>
      </w:pPr>
      <w:r w:rsidRPr="00E80090">
        <w:rPr>
          <w:rFonts w:asciiTheme="majorHAnsi" w:eastAsia="Times New Roman" w:hAnsiTheme="majorHAnsi"/>
          <w:color w:val="17365D"/>
          <w:spacing w:val="5"/>
          <w:kern w:val="28"/>
          <w:sz w:val="28"/>
          <w:szCs w:val="28"/>
          <w:lang w:val="en-GB" w:eastAsia="en-US"/>
        </w:rPr>
        <w:t>Bachelor Thesis</w:t>
      </w:r>
    </w:p>
    <w:p w14:paraId="6E584186" w14:textId="77777777" w:rsidR="00001664" w:rsidRPr="00E80090" w:rsidRDefault="00001664" w:rsidP="00195E4B">
      <w:pPr>
        <w:spacing w:after="200" w:line="276" w:lineRule="auto"/>
        <w:ind w:left="540"/>
        <w:rPr>
          <w:rFonts w:asciiTheme="majorHAnsi" w:eastAsia="Times New Roman" w:hAnsiTheme="majorHAnsi"/>
          <w:sz w:val="16"/>
          <w:szCs w:val="16"/>
          <w:lang w:val="en-GB" w:eastAsia="en-US"/>
        </w:rPr>
      </w:pPr>
    </w:p>
    <w:p w14:paraId="6E584187" w14:textId="77777777" w:rsidR="00001664" w:rsidRPr="00E80090" w:rsidRDefault="00001664" w:rsidP="00195E4B">
      <w:pPr>
        <w:spacing w:after="200" w:line="276" w:lineRule="auto"/>
        <w:ind w:left="540"/>
        <w:rPr>
          <w:rFonts w:asciiTheme="majorHAnsi" w:eastAsia="Times New Roman" w:hAnsiTheme="majorHAnsi"/>
          <w:sz w:val="22"/>
          <w:szCs w:val="22"/>
          <w:lang w:val="en-GB" w:eastAsia="en-US"/>
        </w:rPr>
      </w:pPr>
    </w:p>
    <w:p w14:paraId="6E584188" w14:textId="77777777" w:rsidR="00001664" w:rsidRPr="00E80090" w:rsidRDefault="00001664" w:rsidP="00195E4B">
      <w:pPr>
        <w:spacing w:after="200" w:line="276" w:lineRule="auto"/>
        <w:ind w:left="540"/>
        <w:rPr>
          <w:rFonts w:asciiTheme="majorHAnsi" w:eastAsia="Times New Roman" w:hAnsiTheme="majorHAnsi"/>
          <w:sz w:val="16"/>
          <w:szCs w:val="16"/>
          <w:lang w:val="en-GB" w:eastAsia="en-US"/>
        </w:rPr>
      </w:pPr>
    </w:p>
    <w:p w14:paraId="6E584189" w14:textId="77777777" w:rsidR="00001664" w:rsidRPr="00E80090" w:rsidRDefault="00001664" w:rsidP="00195E4B">
      <w:pPr>
        <w:spacing w:after="200" w:line="276" w:lineRule="auto"/>
        <w:ind w:left="540"/>
        <w:rPr>
          <w:rFonts w:asciiTheme="majorHAnsi" w:eastAsia="Times New Roman" w:hAnsiTheme="majorHAnsi"/>
          <w:sz w:val="16"/>
          <w:szCs w:val="16"/>
          <w:lang w:val="en-GB" w:eastAsia="en-US"/>
        </w:rPr>
      </w:pPr>
    </w:p>
    <w:p w14:paraId="6E58418A" w14:textId="77777777" w:rsidR="00001664" w:rsidRPr="00E80090" w:rsidRDefault="00A13779" w:rsidP="00195E4B">
      <w:pPr>
        <w:spacing w:after="200" w:line="276" w:lineRule="auto"/>
        <w:ind w:left="540"/>
        <w:jc w:val="center"/>
        <w:rPr>
          <w:rFonts w:asciiTheme="majorHAnsi" w:eastAsia="Times New Roman" w:hAnsiTheme="majorHAnsi"/>
          <w:lang w:val="en-GB" w:eastAsia="en-US"/>
        </w:rPr>
      </w:pPr>
      <w:r w:rsidRPr="00E80090">
        <w:rPr>
          <w:rFonts w:asciiTheme="majorHAnsi" w:eastAsia="Times New Roman" w:hAnsiTheme="majorHAnsi"/>
          <w:noProof/>
          <w:sz w:val="22"/>
          <w:szCs w:val="22"/>
          <w:lang w:val="nl-NL" w:eastAsia="nl-NL"/>
        </w:rPr>
        <w:drawing>
          <wp:inline distT="0" distB="0" distL="0" distR="0" wp14:anchorId="6E5844F0" wp14:editId="6E5844F1">
            <wp:extent cx="3439795" cy="990600"/>
            <wp:effectExtent l="0" t="0" r="8255" b="0"/>
            <wp:docPr id="1" name="Picture 1" descr="http://reprocentre.ie/wordpress/wp-content/uploads/2010/11/SunChemical_2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procentre.ie/wordpress/wp-content/uploads/2010/11/SunChemical_20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9795" cy="990600"/>
                    </a:xfrm>
                    <a:prstGeom prst="rect">
                      <a:avLst/>
                    </a:prstGeom>
                    <a:noFill/>
                    <a:ln>
                      <a:noFill/>
                    </a:ln>
                  </pic:spPr>
                </pic:pic>
              </a:graphicData>
            </a:graphic>
          </wp:inline>
        </w:drawing>
      </w:r>
    </w:p>
    <w:p w14:paraId="6E58418B" w14:textId="77777777" w:rsidR="00001664" w:rsidRPr="00E80090" w:rsidRDefault="00001664" w:rsidP="00195E4B">
      <w:pPr>
        <w:spacing w:after="200" w:line="276" w:lineRule="auto"/>
        <w:ind w:left="540"/>
        <w:jc w:val="center"/>
        <w:rPr>
          <w:rFonts w:asciiTheme="majorHAnsi" w:eastAsia="Times New Roman" w:hAnsiTheme="majorHAnsi"/>
          <w:lang w:val="en-GB" w:eastAsia="en-US"/>
        </w:rPr>
      </w:pPr>
    </w:p>
    <w:p w14:paraId="6E58418C" w14:textId="77777777" w:rsidR="00001664" w:rsidRPr="00E80090" w:rsidRDefault="00A13779" w:rsidP="00195E4B">
      <w:pPr>
        <w:spacing w:after="200" w:line="276" w:lineRule="auto"/>
        <w:ind w:left="540"/>
        <w:jc w:val="center"/>
        <w:rPr>
          <w:rFonts w:asciiTheme="majorHAnsi" w:eastAsia="Times New Roman" w:hAnsiTheme="majorHAnsi"/>
          <w:lang w:val="en-GB" w:eastAsia="en-US"/>
        </w:rPr>
      </w:pPr>
      <w:r w:rsidRPr="00E80090">
        <w:rPr>
          <w:rFonts w:asciiTheme="majorHAnsi" w:eastAsia="Times New Roman" w:hAnsiTheme="majorHAnsi"/>
          <w:noProof/>
          <w:sz w:val="22"/>
          <w:szCs w:val="22"/>
          <w:lang w:val="nl-NL" w:eastAsia="nl-NL"/>
        </w:rPr>
        <w:drawing>
          <wp:inline distT="0" distB="0" distL="0" distR="0" wp14:anchorId="6E5844F2" wp14:editId="6E5844F3">
            <wp:extent cx="3494405" cy="859790"/>
            <wp:effectExtent l="0" t="0" r="0" b="0"/>
            <wp:docPr id="2" name="Picture 2" descr="http://www.logopedie.nl/afbeeldingen/nvlf/kwaliteit/hogescholen/Hogeschool20Utrech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ogopedie.nl/afbeeldingen/nvlf/kwaliteit/hogescholen/Hogeschool20Utrecht20log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4405" cy="859790"/>
                    </a:xfrm>
                    <a:prstGeom prst="rect">
                      <a:avLst/>
                    </a:prstGeom>
                    <a:noFill/>
                    <a:ln>
                      <a:noFill/>
                    </a:ln>
                  </pic:spPr>
                </pic:pic>
              </a:graphicData>
            </a:graphic>
          </wp:inline>
        </w:drawing>
      </w:r>
    </w:p>
    <w:p w14:paraId="6E58418D" w14:textId="77777777" w:rsidR="00001664" w:rsidRPr="00E80090" w:rsidRDefault="00001664" w:rsidP="00195E4B">
      <w:pPr>
        <w:autoSpaceDE w:val="0"/>
        <w:autoSpaceDN w:val="0"/>
        <w:adjustRightInd w:val="0"/>
        <w:ind w:left="540"/>
        <w:rPr>
          <w:rFonts w:asciiTheme="majorHAnsi" w:eastAsia="Times New Roman" w:hAnsiTheme="majorHAnsi"/>
          <w:color w:val="000000"/>
          <w:sz w:val="44"/>
          <w:szCs w:val="44"/>
          <w:lang w:val="en-GB" w:eastAsia="en-US"/>
        </w:rPr>
      </w:pPr>
    </w:p>
    <w:p w14:paraId="6E58418E" w14:textId="77777777" w:rsidR="00001664" w:rsidRPr="00E80090" w:rsidRDefault="00001664" w:rsidP="00195E4B">
      <w:pPr>
        <w:spacing w:after="200" w:line="276" w:lineRule="auto"/>
        <w:ind w:left="540"/>
        <w:rPr>
          <w:rFonts w:asciiTheme="majorHAnsi" w:eastAsia="Times New Roman" w:hAnsiTheme="majorHAnsi"/>
          <w:sz w:val="36"/>
          <w:szCs w:val="36"/>
          <w:lang w:val="en-GB" w:eastAsia="en-US"/>
        </w:rPr>
      </w:pPr>
    </w:p>
    <w:p w14:paraId="6E58418F" w14:textId="77777777" w:rsidR="00001664" w:rsidRPr="00E80090" w:rsidRDefault="00001664" w:rsidP="00195E4B">
      <w:pPr>
        <w:spacing w:after="200" w:line="276" w:lineRule="auto"/>
        <w:ind w:left="540"/>
        <w:rPr>
          <w:rFonts w:asciiTheme="majorHAnsi" w:eastAsia="Times New Roman" w:hAnsiTheme="majorHAnsi"/>
          <w:sz w:val="36"/>
          <w:szCs w:val="36"/>
          <w:lang w:val="en-GB" w:eastAsia="en-US"/>
        </w:rPr>
      </w:pPr>
    </w:p>
    <w:p w14:paraId="6E584190" w14:textId="77777777" w:rsidR="00001664" w:rsidRPr="00E80090" w:rsidRDefault="00001664" w:rsidP="00F85263">
      <w:pPr>
        <w:spacing w:after="200" w:line="276" w:lineRule="auto"/>
        <w:rPr>
          <w:rFonts w:asciiTheme="majorHAnsi" w:hAnsiTheme="majorHAnsi" w:cs="Cambria"/>
          <w:sz w:val="28"/>
          <w:szCs w:val="28"/>
          <w:lang w:val="en-GB" w:eastAsia="en-US"/>
        </w:rPr>
      </w:pPr>
      <w:r w:rsidRPr="00E80090">
        <w:rPr>
          <w:rFonts w:asciiTheme="majorHAnsi" w:hAnsiTheme="majorHAnsi" w:cs="Cambria"/>
          <w:sz w:val="28"/>
          <w:szCs w:val="28"/>
          <w:lang w:val="en-GB" w:eastAsia="en-US"/>
        </w:rPr>
        <w:t>Student: Yana Antonova</w:t>
      </w:r>
    </w:p>
    <w:p w14:paraId="6E584191" w14:textId="77777777" w:rsidR="00001664" w:rsidRPr="00E80090" w:rsidRDefault="00001664" w:rsidP="00F85263">
      <w:pPr>
        <w:spacing w:after="200" w:line="276" w:lineRule="auto"/>
        <w:rPr>
          <w:rFonts w:asciiTheme="majorHAnsi" w:hAnsiTheme="majorHAnsi" w:cs="Cambria"/>
          <w:sz w:val="28"/>
          <w:szCs w:val="28"/>
          <w:lang w:val="en-GB" w:eastAsia="en-US"/>
        </w:rPr>
      </w:pPr>
      <w:r w:rsidRPr="00E80090">
        <w:rPr>
          <w:rFonts w:asciiTheme="majorHAnsi" w:hAnsiTheme="majorHAnsi" w:cs="Cambria"/>
          <w:sz w:val="28"/>
          <w:szCs w:val="28"/>
          <w:lang w:val="en-GB" w:eastAsia="en-US"/>
        </w:rPr>
        <w:t>Student number: 1564450</w:t>
      </w:r>
    </w:p>
    <w:p w14:paraId="6E584192" w14:textId="77777777" w:rsidR="00984384" w:rsidRPr="00E80090" w:rsidRDefault="00984384" w:rsidP="00F85263">
      <w:pPr>
        <w:spacing w:after="200" w:line="276" w:lineRule="auto"/>
        <w:rPr>
          <w:rFonts w:asciiTheme="majorHAnsi" w:hAnsiTheme="majorHAnsi" w:cs="Cambria"/>
          <w:sz w:val="28"/>
          <w:szCs w:val="28"/>
          <w:lang w:val="en-GB" w:eastAsia="en-US"/>
        </w:rPr>
      </w:pPr>
      <w:r w:rsidRPr="00E80090">
        <w:rPr>
          <w:rFonts w:asciiTheme="majorHAnsi" w:hAnsiTheme="majorHAnsi" w:cs="Cambria"/>
          <w:sz w:val="28"/>
          <w:szCs w:val="28"/>
          <w:lang w:val="en-GB" w:eastAsia="en-US"/>
        </w:rPr>
        <w:t>Year 4, IBMS</w:t>
      </w:r>
    </w:p>
    <w:p w14:paraId="6E584193" w14:textId="77777777" w:rsidR="00984384" w:rsidRPr="00E80090" w:rsidRDefault="00984384" w:rsidP="00F85263">
      <w:pPr>
        <w:spacing w:after="200" w:line="276" w:lineRule="auto"/>
        <w:rPr>
          <w:rFonts w:asciiTheme="majorHAnsi" w:hAnsiTheme="majorHAnsi" w:cs="Cambria"/>
          <w:sz w:val="28"/>
          <w:szCs w:val="28"/>
          <w:lang w:val="en-GB" w:eastAsia="en-US"/>
        </w:rPr>
      </w:pPr>
      <w:r w:rsidRPr="00E80090">
        <w:rPr>
          <w:rFonts w:asciiTheme="majorHAnsi" w:hAnsiTheme="majorHAnsi" w:cs="Cambria"/>
          <w:sz w:val="28"/>
          <w:szCs w:val="28"/>
          <w:lang w:val="en-GB" w:eastAsia="en-US"/>
        </w:rPr>
        <w:t>Hogeschool Utrecht, University of Applied Sciences</w:t>
      </w:r>
    </w:p>
    <w:p w14:paraId="6E584194" w14:textId="77777777" w:rsidR="00001664" w:rsidRPr="00E80090" w:rsidRDefault="00001664" w:rsidP="00F85263">
      <w:pPr>
        <w:spacing w:after="200" w:line="276" w:lineRule="auto"/>
        <w:rPr>
          <w:rFonts w:asciiTheme="majorHAnsi" w:hAnsiTheme="majorHAnsi" w:cs="Cambria"/>
          <w:sz w:val="28"/>
          <w:szCs w:val="28"/>
          <w:lang w:val="en-GB" w:eastAsia="en-US"/>
        </w:rPr>
      </w:pPr>
      <w:r w:rsidRPr="00E80090">
        <w:rPr>
          <w:rFonts w:asciiTheme="majorHAnsi" w:hAnsiTheme="majorHAnsi" w:cs="Cambria"/>
          <w:sz w:val="28"/>
          <w:szCs w:val="28"/>
          <w:lang w:val="en-GB" w:eastAsia="en-US"/>
        </w:rPr>
        <w:t>Supervising lecturer: Farah Iranpour</w:t>
      </w:r>
    </w:p>
    <w:p w14:paraId="6E584195" w14:textId="77777777" w:rsidR="00001664" w:rsidRPr="00E80090" w:rsidRDefault="00001664" w:rsidP="00F85263">
      <w:pPr>
        <w:spacing w:after="200" w:line="276" w:lineRule="auto"/>
        <w:rPr>
          <w:rFonts w:asciiTheme="majorHAnsi" w:hAnsiTheme="majorHAnsi" w:cs="Cambria"/>
          <w:sz w:val="28"/>
          <w:szCs w:val="28"/>
          <w:lang w:val="en-GB" w:eastAsia="en-US"/>
        </w:rPr>
      </w:pPr>
      <w:r w:rsidRPr="00E80090">
        <w:rPr>
          <w:rFonts w:asciiTheme="majorHAnsi" w:hAnsiTheme="majorHAnsi" w:cs="Cambria"/>
          <w:sz w:val="28"/>
          <w:szCs w:val="28"/>
          <w:lang w:val="en-GB" w:eastAsia="en-US"/>
        </w:rPr>
        <w:t>Second reader: Kobus Smit</w:t>
      </w:r>
    </w:p>
    <w:p w14:paraId="6E584196" w14:textId="77777777" w:rsidR="00001664" w:rsidRPr="00E80090" w:rsidRDefault="00001664" w:rsidP="00F85263">
      <w:pPr>
        <w:spacing w:after="200" w:line="276" w:lineRule="auto"/>
        <w:rPr>
          <w:rFonts w:asciiTheme="majorHAnsi" w:hAnsiTheme="majorHAnsi" w:cs="Cambria"/>
          <w:sz w:val="28"/>
          <w:szCs w:val="28"/>
          <w:lang w:val="en-GB" w:eastAsia="en-US"/>
        </w:rPr>
      </w:pPr>
      <w:r w:rsidRPr="00E80090">
        <w:rPr>
          <w:rFonts w:asciiTheme="majorHAnsi" w:hAnsiTheme="majorHAnsi" w:cs="Cambria"/>
          <w:sz w:val="28"/>
          <w:szCs w:val="28"/>
          <w:lang w:val="en-GB" w:eastAsia="en-US"/>
        </w:rPr>
        <w:t>Company supervisor: Joran Bout</w:t>
      </w:r>
    </w:p>
    <w:p w14:paraId="6E584197" w14:textId="77777777" w:rsidR="00001664" w:rsidRPr="00E80090" w:rsidRDefault="00001664" w:rsidP="00F85263">
      <w:pPr>
        <w:spacing w:after="200" w:line="276" w:lineRule="auto"/>
        <w:rPr>
          <w:rFonts w:asciiTheme="majorHAnsi" w:hAnsiTheme="majorHAnsi" w:cs="Cambria"/>
          <w:sz w:val="28"/>
          <w:szCs w:val="28"/>
          <w:lang w:val="en-GB" w:eastAsia="en-US"/>
        </w:rPr>
      </w:pPr>
      <w:r w:rsidRPr="00E80090">
        <w:rPr>
          <w:rFonts w:asciiTheme="majorHAnsi" w:hAnsiTheme="majorHAnsi" w:cs="Cambria"/>
          <w:sz w:val="28"/>
          <w:szCs w:val="28"/>
          <w:lang w:val="en-GB" w:eastAsia="en-US"/>
        </w:rPr>
        <w:t xml:space="preserve">Date: </w:t>
      </w:r>
      <w:r w:rsidR="00C65A1D" w:rsidRPr="00E80090">
        <w:rPr>
          <w:rFonts w:asciiTheme="majorHAnsi" w:hAnsiTheme="majorHAnsi" w:cs="Cambria"/>
          <w:sz w:val="28"/>
          <w:szCs w:val="28"/>
          <w:lang w:val="en-GB" w:eastAsia="en-US"/>
        </w:rPr>
        <w:t>6</w:t>
      </w:r>
      <w:r w:rsidR="00533765" w:rsidRPr="00E80090">
        <w:rPr>
          <w:rFonts w:asciiTheme="majorHAnsi" w:hAnsiTheme="majorHAnsi" w:cs="Cambria"/>
          <w:sz w:val="28"/>
          <w:szCs w:val="28"/>
          <w:lang w:val="en-GB" w:eastAsia="en-US"/>
        </w:rPr>
        <w:t xml:space="preserve"> </w:t>
      </w:r>
      <w:r w:rsidR="00C65A1D" w:rsidRPr="00E80090">
        <w:rPr>
          <w:rFonts w:asciiTheme="majorHAnsi" w:hAnsiTheme="majorHAnsi" w:cs="Cambria"/>
          <w:sz w:val="28"/>
          <w:szCs w:val="28"/>
          <w:lang w:val="en-GB" w:eastAsia="en-US"/>
        </w:rPr>
        <w:t>October</w:t>
      </w:r>
      <w:r w:rsidR="00E07A6B" w:rsidRPr="00E80090">
        <w:rPr>
          <w:rFonts w:asciiTheme="majorHAnsi" w:hAnsiTheme="majorHAnsi" w:cs="Cambria"/>
          <w:sz w:val="28"/>
          <w:szCs w:val="28"/>
          <w:lang w:val="en-GB" w:eastAsia="en-US"/>
        </w:rPr>
        <w:t xml:space="preserve"> 2013</w:t>
      </w:r>
    </w:p>
    <w:p w14:paraId="6E584198" w14:textId="77777777" w:rsidR="006A17A0" w:rsidRPr="00E80090" w:rsidRDefault="00001664" w:rsidP="00CB0B76">
      <w:pPr>
        <w:pStyle w:val="Kop1"/>
        <w:rPr>
          <w:rFonts w:asciiTheme="majorHAnsi" w:hAnsiTheme="majorHAnsi"/>
          <w:lang w:val="en-GB" w:eastAsia="en-US"/>
        </w:rPr>
      </w:pPr>
      <w:bookmarkStart w:id="1" w:name="_Toc368290332"/>
      <w:bookmarkStart w:id="2" w:name="_Toc357626991"/>
      <w:r w:rsidRPr="00E80090">
        <w:rPr>
          <w:rFonts w:asciiTheme="majorHAnsi" w:hAnsiTheme="majorHAnsi"/>
          <w:lang w:val="en-GB" w:eastAsia="en-US"/>
        </w:rPr>
        <w:lastRenderedPageBreak/>
        <w:t>Executive summary</w:t>
      </w:r>
      <w:bookmarkEnd w:id="1"/>
      <w:r w:rsidRPr="00E80090">
        <w:rPr>
          <w:rFonts w:asciiTheme="majorHAnsi" w:hAnsiTheme="majorHAnsi"/>
          <w:lang w:val="en-GB" w:eastAsia="en-US"/>
        </w:rPr>
        <w:t xml:space="preserve"> </w:t>
      </w:r>
      <w:bookmarkEnd w:id="2"/>
    </w:p>
    <w:p w14:paraId="6E584199" w14:textId="77777777" w:rsidR="00CB0B76" w:rsidRPr="00E80090" w:rsidRDefault="00CB0B76" w:rsidP="00CB0B76">
      <w:pPr>
        <w:rPr>
          <w:lang w:val="en-GB" w:eastAsia="en-US"/>
        </w:rPr>
      </w:pPr>
    </w:p>
    <w:p w14:paraId="6E58419A" w14:textId="77777777" w:rsidR="00CB0B76" w:rsidRPr="00E80090" w:rsidRDefault="00CB0B76" w:rsidP="00CB0B7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Sun Chemical </w:t>
      </w:r>
      <w:r w:rsidR="00361EDD" w:rsidRPr="00E80090">
        <w:rPr>
          <w:rFonts w:asciiTheme="majorHAnsi" w:hAnsiTheme="majorHAnsi" w:cs="Cambria"/>
          <w:lang w:val="en-GB" w:eastAsia="en-US"/>
        </w:rPr>
        <w:t xml:space="preserve">is a US-based multinational corporation that </w:t>
      </w:r>
      <w:r w:rsidRPr="00E80090">
        <w:rPr>
          <w:rFonts w:asciiTheme="majorHAnsi" w:hAnsiTheme="majorHAnsi" w:cs="Cambria"/>
          <w:lang w:val="en-GB" w:eastAsia="en-US"/>
        </w:rPr>
        <w:t xml:space="preserve">produces inks and pigments for the </w:t>
      </w:r>
      <w:r w:rsidR="00361EDD" w:rsidRPr="00E80090">
        <w:rPr>
          <w:rFonts w:asciiTheme="majorHAnsi" w:hAnsiTheme="majorHAnsi" w:cs="Cambria"/>
          <w:lang w:val="en-GB" w:eastAsia="en-US"/>
        </w:rPr>
        <w:t>publication and packaging industry.</w:t>
      </w:r>
      <w:r w:rsidR="00D8576A" w:rsidRPr="00E80090">
        <w:rPr>
          <w:rFonts w:asciiTheme="majorHAnsi" w:hAnsiTheme="majorHAnsi" w:cs="Cambria"/>
          <w:lang w:val="en-GB" w:eastAsia="en-US"/>
        </w:rPr>
        <w:t xml:space="preserve"> Its operations spread throughout Europe, North and South America and to a smaller extend in Asia and Africa. This research is focused on the banking relations of its subsidiaries in the Central and Eastern European (CEE) region.</w:t>
      </w:r>
      <w:r w:rsidR="00D9116F" w:rsidRPr="00E80090">
        <w:rPr>
          <w:rFonts w:asciiTheme="majorHAnsi" w:hAnsiTheme="majorHAnsi" w:cs="Cambria"/>
          <w:lang w:val="en-GB" w:eastAsia="en-US"/>
        </w:rPr>
        <w:t xml:space="preserve"> </w:t>
      </w:r>
      <w:r w:rsidR="008058C9" w:rsidRPr="00E80090">
        <w:rPr>
          <w:rFonts w:asciiTheme="majorHAnsi" w:hAnsiTheme="majorHAnsi" w:cs="Cambria"/>
          <w:lang w:val="en-GB" w:eastAsia="en-US"/>
        </w:rPr>
        <w:t>T</w:t>
      </w:r>
      <w:r w:rsidR="00FB089D" w:rsidRPr="00E80090">
        <w:rPr>
          <w:rFonts w:asciiTheme="majorHAnsi" w:hAnsiTheme="majorHAnsi" w:cs="Cambria"/>
          <w:lang w:val="en-GB" w:eastAsia="en-US"/>
        </w:rPr>
        <w:t>he scope</w:t>
      </w:r>
      <w:r w:rsidR="00B9664A" w:rsidRPr="00E80090">
        <w:rPr>
          <w:rFonts w:asciiTheme="majorHAnsi" w:hAnsiTheme="majorHAnsi" w:cs="Cambria"/>
          <w:lang w:val="en-GB" w:eastAsia="en-US"/>
        </w:rPr>
        <w:t xml:space="preserve"> of the study</w:t>
      </w:r>
      <w:r w:rsidR="007A52FF" w:rsidRPr="00E80090">
        <w:rPr>
          <w:rFonts w:asciiTheme="majorHAnsi" w:hAnsiTheme="majorHAnsi" w:cs="Cambria"/>
          <w:lang w:val="en-GB" w:eastAsia="en-US"/>
        </w:rPr>
        <w:t xml:space="preserve"> include</w:t>
      </w:r>
      <w:r w:rsidR="00FB089D" w:rsidRPr="00E80090">
        <w:rPr>
          <w:rFonts w:asciiTheme="majorHAnsi" w:hAnsiTheme="majorHAnsi" w:cs="Cambria"/>
          <w:lang w:val="en-GB" w:eastAsia="en-US"/>
        </w:rPr>
        <w:t>s</w:t>
      </w:r>
      <w:r w:rsidR="007A52FF" w:rsidRPr="00E80090">
        <w:rPr>
          <w:rFonts w:asciiTheme="majorHAnsi" w:hAnsiTheme="majorHAnsi" w:cs="Cambria"/>
          <w:lang w:val="en-GB" w:eastAsia="en-US"/>
        </w:rPr>
        <w:t xml:space="preserve"> Bulgaria, Romania, Slovakia and Slovenia.</w:t>
      </w:r>
    </w:p>
    <w:p w14:paraId="6E58419B" w14:textId="77777777" w:rsidR="00B9664A" w:rsidRPr="00E80090" w:rsidRDefault="00D9116F" w:rsidP="00CB0B7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Currently these subsidiaries use the financial services of several banks</w:t>
      </w:r>
      <w:r w:rsidR="00013167" w:rsidRPr="00E80090">
        <w:rPr>
          <w:rFonts w:asciiTheme="majorHAnsi" w:hAnsiTheme="majorHAnsi" w:cs="Cambria"/>
          <w:lang w:val="en-GB" w:eastAsia="en-US"/>
        </w:rPr>
        <w:t xml:space="preserve"> and the company sees </w:t>
      </w:r>
      <w:r w:rsidR="00CB0B76" w:rsidRPr="00E80090">
        <w:rPr>
          <w:rFonts w:asciiTheme="majorHAnsi" w:hAnsiTheme="majorHAnsi" w:cs="Cambria"/>
          <w:lang w:val="en-GB" w:eastAsia="en-US"/>
        </w:rPr>
        <w:t xml:space="preserve">such </w:t>
      </w:r>
      <w:r w:rsidR="002647EE" w:rsidRPr="00E80090">
        <w:rPr>
          <w:rFonts w:asciiTheme="majorHAnsi" w:hAnsiTheme="majorHAnsi" w:cs="Cambria"/>
          <w:lang w:val="en-GB" w:eastAsia="en-US"/>
        </w:rPr>
        <w:t>fragmentation</w:t>
      </w:r>
      <w:r w:rsidR="00CB0B76" w:rsidRPr="00E80090">
        <w:rPr>
          <w:rFonts w:asciiTheme="majorHAnsi" w:hAnsiTheme="majorHAnsi" w:cs="Cambria"/>
          <w:lang w:val="en-GB" w:eastAsia="en-US"/>
        </w:rPr>
        <w:t xml:space="preserve"> as in</w:t>
      </w:r>
      <w:r w:rsidR="002E7EBB" w:rsidRPr="00E80090">
        <w:rPr>
          <w:rFonts w:asciiTheme="majorHAnsi" w:hAnsiTheme="majorHAnsi" w:cs="Cambria"/>
          <w:lang w:val="en-GB" w:eastAsia="en-US"/>
        </w:rPr>
        <w:t>secure</w:t>
      </w:r>
      <w:r w:rsidR="00CB0B76" w:rsidRPr="00E80090">
        <w:rPr>
          <w:rFonts w:asciiTheme="majorHAnsi" w:hAnsiTheme="majorHAnsi" w:cs="Cambria"/>
          <w:lang w:val="en-GB" w:eastAsia="en-US"/>
        </w:rPr>
        <w:t xml:space="preserve">. </w:t>
      </w:r>
      <w:r w:rsidR="002647EE" w:rsidRPr="00E80090">
        <w:rPr>
          <w:rFonts w:asciiTheme="majorHAnsi" w:hAnsiTheme="majorHAnsi" w:cs="Cambria"/>
          <w:lang w:val="en-GB" w:eastAsia="en-US"/>
        </w:rPr>
        <w:t>Sun Chem</w:t>
      </w:r>
      <w:r w:rsidR="0017311E" w:rsidRPr="00E80090">
        <w:rPr>
          <w:rFonts w:asciiTheme="majorHAnsi" w:hAnsiTheme="majorHAnsi" w:cs="Cambria"/>
          <w:lang w:val="en-GB" w:eastAsia="en-US"/>
        </w:rPr>
        <w:t>ical hopes that by centralis</w:t>
      </w:r>
      <w:r w:rsidR="002647EE" w:rsidRPr="00E80090">
        <w:rPr>
          <w:rFonts w:asciiTheme="majorHAnsi" w:hAnsiTheme="majorHAnsi" w:cs="Cambria"/>
          <w:lang w:val="en-GB" w:eastAsia="en-US"/>
        </w:rPr>
        <w:t>ing its banking relations in the region it can improve its control over the branches and enhance the transparency of local operations.</w:t>
      </w:r>
      <w:r w:rsidR="00A80861" w:rsidRPr="00E80090">
        <w:rPr>
          <w:rFonts w:asciiTheme="majorHAnsi" w:hAnsiTheme="majorHAnsi" w:cs="Cambria"/>
          <w:lang w:val="en-GB" w:eastAsia="en-US"/>
        </w:rPr>
        <w:t xml:space="preserve"> </w:t>
      </w:r>
      <w:r w:rsidR="000A6ECC" w:rsidRPr="00E80090">
        <w:rPr>
          <w:rFonts w:asciiTheme="majorHAnsi" w:hAnsiTheme="majorHAnsi" w:cs="Cambria"/>
          <w:lang w:val="en-GB" w:eastAsia="en-US"/>
        </w:rPr>
        <w:t>In this respect the main research question is: How should Sun Chemical centrali</w:t>
      </w:r>
      <w:r w:rsidR="0017311E" w:rsidRPr="00E80090">
        <w:rPr>
          <w:rFonts w:asciiTheme="majorHAnsi" w:hAnsiTheme="majorHAnsi" w:cs="Cambria"/>
          <w:lang w:val="en-GB" w:eastAsia="en-US"/>
        </w:rPr>
        <w:t>s</w:t>
      </w:r>
      <w:r w:rsidR="000A6ECC" w:rsidRPr="00E80090">
        <w:rPr>
          <w:rFonts w:asciiTheme="majorHAnsi" w:hAnsiTheme="majorHAnsi" w:cs="Cambria"/>
          <w:lang w:val="en-GB" w:eastAsia="en-US"/>
        </w:rPr>
        <w:t xml:space="preserve">e its banking relations in the CEE region in order to improve the security of its local operations by the end of 2013? </w:t>
      </w:r>
    </w:p>
    <w:p w14:paraId="6E58419C" w14:textId="77777777" w:rsidR="000A6ECC" w:rsidRPr="00E80090" w:rsidRDefault="00B4708A" w:rsidP="00CB0B7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research was conducted in three stages. Firstly, </w:t>
      </w:r>
      <w:r w:rsidR="00284EBB" w:rsidRPr="00E80090">
        <w:rPr>
          <w:rFonts w:asciiTheme="majorHAnsi" w:hAnsiTheme="majorHAnsi" w:cs="Cambria"/>
          <w:lang w:val="en-GB" w:eastAsia="en-US"/>
        </w:rPr>
        <w:t xml:space="preserve">in order </w:t>
      </w:r>
      <w:r w:rsidRPr="00E80090">
        <w:rPr>
          <w:rFonts w:asciiTheme="majorHAnsi" w:hAnsiTheme="majorHAnsi" w:cs="Cambria"/>
          <w:lang w:val="en-GB" w:eastAsia="en-US"/>
        </w:rPr>
        <w:t>to</w:t>
      </w:r>
      <w:r w:rsidR="000A6ECC" w:rsidRPr="00E80090">
        <w:rPr>
          <w:rFonts w:asciiTheme="majorHAnsi" w:hAnsiTheme="majorHAnsi" w:cs="Cambria"/>
          <w:lang w:val="en-GB" w:eastAsia="en-US"/>
        </w:rPr>
        <w:t xml:space="preserve"> </w:t>
      </w:r>
      <w:r w:rsidR="00C60F6E" w:rsidRPr="00E80090">
        <w:rPr>
          <w:rFonts w:asciiTheme="majorHAnsi" w:hAnsiTheme="majorHAnsi" w:cs="Cambria"/>
          <w:lang w:val="en-GB" w:eastAsia="en-US"/>
        </w:rPr>
        <w:t xml:space="preserve">understand </w:t>
      </w:r>
      <w:r w:rsidR="000A6ECC" w:rsidRPr="00E80090">
        <w:rPr>
          <w:rFonts w:asciiTheme="majorHAnsi" w:hAnsiTheme="majorHAnsi" w:cs="Cambria"/>
          <w:lang w:val="en-GB" w:eastAsia="en-US"/>
        </w:rPr>
        <w:t xml:space="preserve">the </w:t>
      </w:r>
      <w:r w:rsidR="00E17018" w:rsidRPr="00E80090">
        <w:rPr>
          <w:rFonts w:asciiTheme="majorHAnsi" w:hAnsiTheme="majorHAnsi" w:cs="Cambria"/>
          <w:lang w:val="en-GB" w:eastAsia="en-US"/>
        </w:rPr>
        <w:t xml:space="preserve">problem and form hypothesis on the ways for solving it, interviews were held with the Treasury personnel of the company. </w:t>
      </w:r>
      <w:r w:rsidR="00B65912" w:rsidRPr="00E80090">
        <w:rPr>
          <w:rFonts w:asciiTheme="majorHAnsi" w:hAnsiTheme="majorHAnsi" w:cs="Cambria"/>
          <w:lang w:val="en-GB" w:eastAsia="en-US"/>
        </w:rPr>
        <w:t xml:space="preserve">Then, </w:t>
      </w:r>
      <w:r w:rsidR="00284EBB" w:rsidRPr="00E80090">
        <w:rPr>
          <w:rFonts w:asciiTheme="majorHAnsi" w:hAnsiTheme="majorHAnsi" w:cs="Cambria"/>
          <w:lang w:val="en-GB" w:eastAsia="en-US"/>
        </w:rPr>
        <w:t xml:space="preserve">to </w:t>
      </w:r>
      <w:r w:rsidR="00B65912" w:rsidRPr="00E80090">
        <w:rPr>
          <w:rFonts w:asciiTheme="majorHAnsi" w:hAnsiTheme="majorHAnsi" w:cs="Cambria"/>
          <w:lang w:val="en-GB" w:eastAsia="en-US"/>
        </w:rPr>
        <w:t xml:space="preserve">determine the </w:t>
      </w:r>
      <w:r w:rsidR="000A6ECC" w:rsidRPr="00E80090">
        <w:rPr>
          <w:rFonts w:asciiTheme="majorHAnsi" w:hAnsiTheme="majorHAnsi" w:cs="Cambria"/>
          <w:lang w:val="en-GB" w:eastAsia="en-US"/>
        </w:rPr>
        <w:t xml:space="preserve">current situation, </w:t>
      </w:r>
      <w:r w:rsidR="00BF1BFA" w:rsidRPr="00E80090">
        <w:rPr>
          <w:rFonts w:asciiTheme="majorHAnsi" w:hAnsiTheme="majorHAnsi" w:cs="Cambria"/>
          <w:lang w:val="en-GB" w:eastAsia="en-US"/>
        </w:rPr>
        <w:t xml:space="preserve">the controllers of the CEE branches were asked to fill in structured questionnaires and </w:t>
      </w:r>
      <w:r w:rsidR="000A6ECC" w:rsidRPr="00E80090">
        <w:rPr>
          <w:rFonts w:asciiTheme="majorHAnsi" w:hAnsiTheme="majorHAnsi" w:cs="Cambria"/>
          <w:lang w:val="en-GB" w:eastAsia="en-US"/>
        </w:rPr>
        <w:t xml:space="preserve">were interviewed via telephone to confirm and explain their answers. </w:t>
      </w:r>
      <w:r w:rsidR="00284EBB" w:rsidRPr="00E80090">
        <w:rPr>
          <w:rFonts w:asciiTheme="majorHAnsi" w:hAnsiTheme="majorHAnsi" w:cs="Cambria"/>
          <w:lang w:val="en-GB" w:eastAsia="en-US"/>
        </w:rPr>
        <w:t xml:space="preserve">Finally, the selected </w:t>
      </w:r>
      <w:r w:rsidR="008658A3" w:rsidRPr="00E80090">
        <w:rPr>
          <w:rFonts w:asciiTheme="majorHAnsi" w:hAnsiTheme="majorHAnsi" w:cs="Cambria"/>
          <w:lang w:val="en-GB" w:eastAsia="en-US"/>
        </w:rPr>
        <w:t xml:space="preserve">banks were interviewed in order </w:t>
      </w:r>
      <w:r w:rsidR="00AA23D1" w:rsidRPr="00E80090">
        <w:rPr>
          <w:rFonts w:asciiTheme="majorHAnsi" w:hAnsiTheme="majorHAnsi" w:cs="Cambria"/>
          <w:lang w:val="en-GB" w:eastAsia="en-US"/>
        </w:rPr>
        <w:t xml:space="preserve">to </w:t>
      </w:r>
      <w:r w:rsidR="00C60F6E" w:rsidRPr="00E80090">
        <w:rPr>
          <w:rFonts w:asciiTheme="majorHAnsi" w:hAnsiTheme="majorHAnsi" w:cs="Cambria"/>
          <w:lang w:val="en-GB" w:eastAsia="en-US"/>
        </w:rPr>
        <w:t>find out</w:t>
      </w:r>
      <w:r w:rsidR="00AA23D1" w:rsidRPr="00E80090">
        <w:rPr>
          <w:rFonts w:asciiTheme="majorHAnsi" w:hAnsiTheme="majorHAnsi" w:cs="Cambria"/>
          <w:lang w:val="en-GB" w:eastAsia="en-US"/>
        </w:rPr>
        <w:t xml:space="preserve"> what service</w:t>
      </w:r>
      <w:r w:rsidR="008658A3" w:rsidRPr="00E80090">
        <w:rPr>
          <w:rFonts w:asciiTheme="majorHAnsi" w:hAnsiTheme="majorHAnsi" w:cs="Cambria"/>
          <w:lang w:val="en-GB" w:eastAsia="en-US"/>
        </w:rPr>
        <w:t>s</w:t>
      </w:r>
      <w:r w:rsidR="00AA23D1" w:rsidRPr="00E80090">
        <w:rPr>
          <w:rFonts w:asciiTheme="majorHAnsi" w:hAnsiTheme="majorHAnsi" w:cs="Cambria"/>
          <w:lang w:val="en-GB" w:eastAsia="en-US"/>
        </w:rPr>
        <w:t xml:space="preserve"> the</w:t>
      </w:r>
      <w:r w:rsidR="008658A3" w:rsidRPr="00E80090">
        <w:rPr>
          <w:rFonts w:asciiTheme="majorHAnsi" w:hAnsiTheme="majorHAnsi" w:cs="Cambria"/>
          <w:lang w:val="en-GB" w:eastAsia="en-US"/>
        </w:rPr>
        <w:t>y</w:t>
      </w:r>
      <w:r w:rsidR="00AA23D1" w:rsidRPr="00E80090">
        <w:rPr>
          <w:rFonts w:asciiTheme="majorHAnsi" w:hAnsiTheme="majorHAnsi" w:cs="Cambria"/>
          <w:lang w:val="en-GB" w:eastAsia="en-US"/>
        </w:rPr>
        <w:t xml:space="preserve"> can offer and how they can help Sun Chemical achieve its goals.</w:t>
      </w:r>
    </w:p>
    <w:p w14:paraId="6E58419D" w14:textId="77777777" w:rsidR="007C140E" w:rsidRPr="00E80090" w:rsidRDefault="000A6ECC" w:rsidP="00CB0B7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 </w:t>
      </w:r>
      <w:r w:rsidR="002C4571" w:rsidRPr="00E80090">
        <w:rPr>
          <w:rFonts w:asciiTheme="majorHAnsi" w:hAnsiTheme="majorHAnsi" w:cs="Cambria"/>
          <w:lang w:val="en-GB" w:eastAsia="en-US"/>
        </w:rPr>
        <w:t>It has been determined that full centrali</w:t>
      </w:r>
      <w:r w:rsidR="0017311E" w:rsidRPr="00E80090">
        <w:rPr>
          <w:rFonts w:asciiTheme="majorHAnsi" w:hAnsiTheme="majorHAnsi" w:cs="Cambria"/>
          <w:lang w:val="en-GB" w:eastAsia="en-US"/>
        </w:rPr>
        <w:t>s</w:t>
      </w:r>
      <w:r w:rsidR="002C4571" w:rsidRPr="00E80090">
        <w:rPr>
          <w:rFonts w:asciiTheme="majorHAnsi" w:hAnsiTheme="majorHAnsi" w:cs="Cambria"/>
          <w:lang w:val="en-GB" w:eastAsia="en-US"/>
        </w:rPr>
        <w:t xml:space="preserve">ation is not possible as no bank </w:t>
      </w:r>
      <w:r w:rsidR="00943A95" w:rsidRPr="00E80090">
        <w:rPr>
          <w:rFonts w:asciiTheme="majorHAnsi" w:hAnsiTheme="majorHAnsi" w:cs="Cambria"/>
          <w:lang w:val="en-GB" w:eastAsia="en-US"/>
        </w:rPr>
        <w:t xml:space="preserve">has </w:t>
      </w:r>
      <w:r w:rsidR="002C4571" w:rsidRPr="00E80090">
        <w:rPr>
          <w:rFonts w:asciiTheme="majorHAnsi" w:hAnsiTheme="majorHAnsi" w:cs="Cambria"/>
          <w:lang w:val="en-GB" w:eastAsia="en-US"/>
        </w:rPr>
        <w:t>cover</w:t>
      </w:r>
      <w:r w:rsidR="00943A95" w:rsidRPr="00E80090">
        <w:rPr>
          <w:rFonts w:asciiTheme="majorHAnsi" w:hAnsiTheme="majorHAnsi" w:cs="Cambria"/>
          <w:lang w:val="en-GB" w:eastAsia="en-US"/>
        </w:rPr>
        <w:t>age in</w:t>
      </w:r>
      <w:r w:rsidR="002C4571" w:rsidRPr="00E80090">
        <w:rPr>
          <w:rFonts w:asciiTheme="majorHAnsi" w:hAnsiTheme="majorHAnsi" w:cs="Cambria"/>
          <w:lang w:val="en-GB" w:eastAsia="en-US"/>
        </w:rPr>
        <w:t xml:space="preserve"> the </w:t>
      </w:r>
      <w:r w:rsidR="005938A9" w:rsidRPr="00E80090">
        <w:rPr>
          <w:rFonts w:asciiTheme="majorHAnsi" w:hAnsiTheme="majorHAnsi" w:cs="Cambria"/>
          <w:lang w:val="en-GB" w:eastAsia="en-US"/>
        </w:rPr>
        <w:t xml:space="preserve">whole </w:t>
      </w:r>
      <w:r w:rsidR="00943A95" w:rsidRPr="00E80090">
        <w:rPr>
          <w:rFonts w:asciiTheme="majorHAnsi" w:hAnsiTheme="majorHAnsi" w:cs="Cambria"/>
          <w:lang w:val="en-GB" w:eastAsia="en-US"/>
        </w:rPr>
        <w:t xml:space="preserve">CEE </w:t>
      </w:r>
      <w:r w:rsidR="002C4571" w:rsidRPr="00E80090">
        <w:rPr>
          <w:rFonts w:asciiTheme="majorHAnsi" w:hAnsiTheme="majorHAnsi" w:cs="Cambria"/>
          <w:lang w:val="en-GB" w:eastAsia="en-US"/>
        </w:rPr>
        <w:t>region</w:t>
      </w:r>
      <w:r w:rsidR="00445F36" w:rsidRPr="00E80090">
        <w:rPr>
          <w:rFonts w:asciiTheme="majorHAnsi" w:hAnsiTheme="majorHAnsi" w:cs="Cambria"/>
          <w:lang w:val="en-GB" w:eastAsia="en-US"/>
        </w:rPr>
        <w:t xml:space="preserve">. Therefore, </w:t>
      </w:r>
      <w:r w:rsidR="009C148B" w:rsidRPr="00E80090">
        <w:rPr>
          <w:rFonts w:asciiTheme="majorHAnsi" w:hAnsiTheme="majorHAnsi" w:cs="Cambria"/>
          <w:lang w:val="en-GB" w:eastAsia="en-US"/>
        </w:rPr>
        <w:t xml:space="preserve">two banks were chosen by the company for the migration: Citibank and UniCredit. </w:t>
      </w:r>
      <w:r w:rsidR="008538F1" w:rsidRPr="00E80090">
        <w:rPr>
          <w:rFonts w:asciiTheme="majorHAnsi" w:hAnsiTheme="majorHAnsi" w:cs="Cambria"/>
          <w:lang w:val="en-GB" w:eastAsia="en-US"/>
        </w:rPr>
        <w:t>Sun Chemical</w:t>
      </w:r>
      <w:r w:rsidR="007C140E" w:rsidRPr="00E80090">
        <w:rPr>
          <w:rFonts w:asciiTheme="majorHAnsi" w:hAnsiTheme="majorHAnsi" w:cs="Cambria"/>
          <w:lang w:val="en-GB" w:eastAsia="en-US"/>
        </w:rPr>
        <w:t xml:space="preserve"> has a preference </w:t>
      </w:r>
      <w:r w:rsidR="00943A95" w:rsidRPr="00E80090">
        <w:rPr>
          <w:rFonts w:asciiTheme="majorHAnsi" w:hAnsiTheme="majorHAnsi" w:cs="Cambria"/>
          <w:lang w:val="en-GB" w:eastAsia="en-US"/>
        </w:rPr>
        <w:t xml:space="preserve">to work with Citibank wherever possible, because of its strong global relationship with the bank and </w:t>
      </w:r>
      <w:r w:rsidR="00453AFD" w:rsidRPr="00E80090">
        <w:rPr>
          <w:rFonts w:asciiTheme="majorHAnsi" w:hAnsiTheme="majorHAnsi" w:cs="Cambria"/>
          <w:lang w:val="en-GB" w:eastAsia="en-US"/>
        </w:rPr>
        <w:t xml:space="preserve">future possibility for the </w:t>
      </w:r>
      <w:r w:rsidR="00940811" w:rsidRPr="00E80090">
        <w:rPr>
          <w:rFonts w:asciiTheme="majorHAnsi" w:hAnsiTheme="majorHAnsi" w:cs="Cambria"/>
          <w:lang w:val="en-GB" w:eastAsia="en-US"/>
        </w:rPr>
        <w:t>subsidiaries</w:t>
      </w:r>
      <w:r w:rsidR="00453AFD" w:rsidRPr="00E80090">
        <w:rPr>
          <w:rFonts w:asciiTheme="majorHAnsi" w:hAnsiTheme="majorHAnsi" w:cs="Cambria"/>
          <w:lang w:val="en-GB" w:eastAsia="en-US"/>
        </w:rPr>
        <w:t xml:space="preserve"> to become part of the company ERP system.</w:t>
      </w:r>
      <w:r w:rsidR="00940811" w:rsidRPr="00E80090">
        <w:rPr>
          <w:rFonts w:asciiTheme="majorHAnsi" w:hAnsiTheme="majorHAnsi" w:cs="Cambria"/>
          <w:lang w:val="en-GB" w:eastAsia="en-US"/>
        </w:rPr>
        <w:t xml:space="preserve"> </w:t>
      </w:r>
      <w:r w:rsidR="00941917" w:rsidRPr="00E80090">
        <w:rPr>
          <w:rFonts w:asciiTheme="majorHAnsi" w:hAnsiTheme="majorHAnsi" w:cs="Cambria"/>
          <w:lang w:val="en-GB" w:eastAsia="en-US"/>
        </w:rPr>
        <w:t xml:space="preserve">As a result, the </w:t>
      </w:r>
      <w:r w:rsidR="0073099E" w:rsidRPr="00E80090">
        <w:rPr>
          <w:rFonts w:asciiTheme="majorHAnsi" w:hAnsiTheme="majorHAnsi" w:cs="Cambria"/>
          <w:lang w:val="en-GB" w:eastAsia="en-US"/>
        </w:rPr>
        <w:t>entities</w:t>
      </w:r>
      <w:r w:rsidR="00941917" w:rsidRPr="00E80090">
        <w:rPr>
          <w:rFonts w:asciiTheme="majorHAnsi" w:hAnsiTheme="majorHAnsi" w:cs="Cambria"/>
          <w:lang w:val="en-GB" w:eastAsia="en-US"/>
        </w:rPr>
        <w:t xml:space="preserve"> in Bulgari</w:t>
      </w:r>
      <w:r w:rsidR="0017311E" w:rsidRPr="00E80090">
        <w:rPr>
          <w:rFonts w:asciiTheme="majorHAnsi" w:hAnsiTheme="majorHAnsi" w:cs="Cambria"/>
          <w:lang w:val="en-GB" w:eastAsia="en-US"/>
        </w:rPr>
        <w:t>a and Romania would be centralis</w:t>
      </w:r>
      <w:r w:rsidR="00941917" w:rsidRPr="00E80090">
        <w:rPr>
          <w:rFonts w:asciiTheme="majorHAnsi" w:hAnsiTheme="majorHAnsi" w:cs="Cambria"/>
          <w:lang w:val="en-GB" w:eastAsia="en-US"/>
        </w:rPr>
        <w:t xml:space="preserve">ed under Citibank. On the other hand, </w:t>
      </w:r>
      <w:r w:rsidR="002C6AAE" w:rsidRPr="00E80090">
        <w:rPr>
          <w:rFonts w:asciiTheme="majorHAnsi" w:hAnsiTheme="majorHAnsi" w:cs="Cambria"/>
          <w:lang w:val="en-GB" w:eastAsia="en-US"/>
        </w:rPr>
        <w:t xml:space="preserve">in </w:t>
      </w:r>
      <w:r w:rsidR="0073099E" w:rsidRPr="00E80090">
        <w:rPr>
          <w:rFonts w:asciiTheme="majorHAnsi" w:hAnsiTheme="majorHAnsi" w:cs="Cambria"/>
          <w:lang w:val="en-GB" w:eastAsia="en-US"/>
        </w:rPr>
        <w:t xml:space="preserve">Slovakia </w:t>
      </w:r>
      <w:r w:rsidR="002C6AAE" w:rsidRPr="00E80090">
        <w:rPr>
          <w:rFonts w:asciiTheme="majorHAnsi" w:hAnsiTheme="majorHAnsi" w:cs="Cambria"/>
          <w:lang w:val="en-GB" w:eastAsia="en-US"/>
        </w:rPr>
        <w:t>and</w:t>
      </w:r>
      <w:r w:rsidR="0073099E" w:rsidRPr="00E80090">
        <w:rPr>
          <w:rFonts w:asciiTheme="majorHAnsi" w:hAnsiTheme="majorHAnsi" w:cs="Cambria"/>
          <w:lang w:val="en-GB" w:eastAsia="en-US"/>
        </w:rPr>
        <w:t xml:space="preserve"> Slovenia</w:t>
      </w:r>
      <w:r w:rsidR="002C6AAE" w:rsidRPr="00E80090">
        <w:rPr>
          <w:rFonts w:asciiTheme="majorHAnsi" w:hAnsiTheme="majorHAnsi" w:cs="Cambria"/>
          <w:lang w:val="en-GB" w:eastAsia="en-US"/>
        </w:rPr>
        <w:t xml:space="preserve">, where Citibank is not present, </w:t>
      </w:r>
      <w:r w:rsidR="007C140E" w:rsidRPr="00E80090">
        <w:rPr>
          <w:rFonts w:asciiTheme="majorHAnsi" w:hAnsiTheme="majorHAnsi" w:cs="Cambria"/>
          <w:lang w:val="en-GB" w:eastAsia="en-US"/>
        </w:rPr>
        <w:t xml:space="preserve">UniCredit has been selected </w:t>
      </w:r>
      <w:r w:rsidR="00940811" w:rsidRPr="00E80090">
        <w:rPr>
          <w:rFonts w:asciiTheme="majorHAnsi" w:hAnsiTheme="majorHAnsi" w:cs="Cambria"/>
          <w:lang w:val="en-GB" w:eastAsia="en-US"/>
        </w:rPr>
        <w:t xml:space="preserve">for the migration of the branches, </w:t>
      </w:r>
      <w:r w:rsidR="007C140E" w:rsidRPr="00E80090">
        <w:rPr>
          <w:rFonts w:asciiTheme="majorHAnsi" w:hAnsiTheme="majorHAnsi" w:cs="Cambria"/>
          <w:lang w:val="en-GB" w:eastAsia="en-US"/>
        </w:rPr>
        <w:t xml:space="preserve">because of its leadership </w:t>
      </w:r>
      <w:r w:rsidR="00E02B25" w:rsidRPr="00E80090">
        <w:rPr>
          <w:rFonts w:asciiTheme="majorHAnsi" w:hAnsiTheme="majorHAnsi" w:cs="Cambria"/>
          <w:lang w:val="en-GB" w:eastAsia="en-US"/>
        </w:rPr>
        <w:t xml:space="preserve">position </w:t>
      </w:r>
      <w:r w:rsidR="00013621" w:rsidRPr="00E80090">
        <w:rPr>
          <w:rFonts w:asciiTheme="majorHAnsi" w:hAnsiTheme="majorHAnsi" w:cs="Cambria"/>
          <w:lang w:val="en-GB" w:eastAsia="en-US"/>
        </w:rPr>
        <w:t xml:space="preserve">and </w:t>
      </w:r>
      <w:r w:rsidR="007C140E" w:rsidRPr="00E80090">
        <w:rPr>
          <w:rFonts w:asciiTheme="majorHAnsi" w:hAnsiTheme="majorHAnsi" w:cs="Cambria"/>
          <w:lang w:val="en-GB" w:eastAsia="en-US"/>
        </w:rPr>
        <w:t>long-term commitment to the region</w:t>
      </w:r>
      <w:r w:rsidR="00943A95" w:rsidRPr="00E80090">
        <w:rPr>
          <w:rFonts w:asciiTheme="majorHAnsi" w:hAnsiTheme="majorHAnsi" w:cs="Cambria"/>
          <w:lang w:val="en-GB" w:eastAsia="en-US"/>
        </w:rPr>
        <w:t>.</w:t>
      </w:r>
    </w:p>
    <w:p w14:paraId="6E58419E" w14:textId="77777777" w:rsidR="00E079E4" w:rsidRPr="00E80090" w:rsidRDefault="009C00AC" w:rsidP="00E079E4">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For</w:t>
      </w:r>
      <w:r w:rsidR="008F4E40" w:rsidRPr="00E80090">
        <w:rPr>
          <w:rFonts w:asciiTheme="majorHAnsi" w:hAnsiTheme="majorHAnsi" w:cs="Cambria"/>
          <w:lang w:val="en-GB" w:eastAsia="en-US"/>
        </w:rPr>
        <w:t xml:space="preserve"> a smooth transition it </w:t>
      </w:r>
      <w:r w:rsidR="00E079E4" w:rsidRPr="00E80090">
        <w:rPr>
          <w:rFonts w:asciiTheme="majorHAnsi" w:hAnsiTheme="majorHAnsi" w:cs="Cambria"/>
          <w:lang w:val="en-GB" w:eastAsia="en-US"/>
        </w:rPr>
        <w:t>i</w:t>
      </w:r>
      <w:r w:rsidR="008F4E40" w:rsidRPr="00E80090">
        <w:rPr>
          <w:rFonts w:asciiTheme="majorHAnsi" w:hAnsiTheme="majorHAnsi" w:cs="Cambria"/>
          <w:lang w:val="en-GB" w:eastAsia="en-US"/>
        </w:rPr>
        <w:t xml:space="preserve">s important to </w:t>
      </w:r>
      <w:r w:rsidRPr="00E80090">
        <w:rPr>
          <w:rFonts w:asciiTheme="majorHAnsi" w:hAnsiTheme="majorHAnsi" w:cs="Cambria"/>
          <w:lang w:val="en-GB" w:eastAsia="en-US"/>
        </w:rPr>
        <w:t>ensure</w:t>
      </w:r>
      <w:r w:rsidR="008F4E40"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that </w:t>
      </w:r>
      <w:r w:rsidR="008F4E40" w:rsidRPr="00E80090">
        <w:rPr>
          <w:rFonts w:asciiTheme="majorHAnsi" w:hAnsiTheme="majorHAnsi" w:cs="Cambria"/>
          <w:lang w:val="en-GB" w:eastAsia="en-US"/>
        </w:rPr>
        <w:t xml:space="preserve">the bank products and services currently </w:t>
      </w:r>
      <w:r w:rsidRPr="00E80090">
        <w:rPr>
          <w:rFonts w:asciiTheme="majorHAnsi" w:hAnsiTheme="majorHAnsi" w:cs="Cambria"/>
          <w:lang w:val="en-GB" w:eastAsia="en-US"/>
        </w:rPr>
        <w:t>needed</w:t>
      </w:r>
      <w:r w:rsidR="008F4E40" w:rsidRPr="00E80090">
        <w:rPr>
          <w:rFonts w:asciiTheme="majorHAnsi" w:hAnsiTheme="majorHAnsi" w:cs="Cambria"/>
          <w:lang w:val="en-GB" w:eastAsia="en-US"/>
        </w:rPr>
        <w:t xml:space="preserve"> by the branches</w:t>
      </w:r>
      <w:r w:rsidR="00E079E4" w:rsidRPr="00E80090">
        <w:rPr>
          <w:rFonts w:asciiTheme="majorHAnsi" w:hAnsiTheme="majorHAnsi" w:cs="Cambria"/>
          <w:lang w:val="en-GB" w:eastAsia="en-US"/>
        </w:rPr>
        <w:t xml:space="preserve"> can</w:t>
      </w:r>
      <w:r w:rsidR="008F4E40" w:rsidRPr="00E80090">
        <w:rPr>
          <w:rFonts w:asciiTheme="majorHAnsi" w:hAnsiTheme="majorHAnsi" w:cs="Cambria"/>
          <w:lang w:val="en-GB" w:eastAsia="en-US"/>
        </w:rPr>
        <w:t xml:space="preserve"> </w:t>
      </w:r>
      <w:r w:rsidR="003D18F1" w:rsidRPr="00E80090">
        <w:rPr>
          <w:rFonts w:asciiTheme="majorHAnsi" w:hAnsiTheme="majorHAnsi" w:cs="Cambria"/>
          <w:lang w:val="en-GB" w:eastAsia="en-US"/>
        </w:rPr>
        <w:t xml:space="preserve">be </w:t>
      </w:r>
      <w:r w:rsidR="008F4E40" w:rsidRPr="00E80090">
        <w:rPr>
          <w:rFonts w:asciiTheme="majorHAnsi" w:hAnsiTheme="majorHAnsi" w:cs="Cambria"/>
          <w:lang w:val="en-GB" w:eastAsia="en-US"/>
        </w:rPr>
        <w:t>provided by the proposed banks as well.</w:t>
      </w:r>
      <w:r w:rsidR="00E079E4" w:rsidRPr="00E80090">
        <w:rPr>
          <w:rFonts w:asciiTheme="majorHAnsi" w:hAnsiTheme="majorHAnsi" w:cs="Cambria"/>
          <w:lang w:val="en-GB" w:eastAsia="en-US"/>
        </w:rPr>
        <w:t xml:space="preserve"> However, in order to improve the security of local operations some of </w:t>
      </w:r>
      <w:r w:rsidR="00AE252F" w:rsidRPr="00E80090">
        <w:rPr>
          <w:rFonts w:asciiTheme="majorHAnsi" w:hAnsiTheme="majorHAnsi" w:cs="Cambria"/>
          <w:lang w:val="en-GB" w:eastAsia="en-US"/>
        </w:rPr>
        <w:t xml:space="preserve">the </w:t>
      </w:r>
      <w:r w:rsidR="00D771D5" w:rsidRPr="00E80090">
        <w:rPr>
          <w:rFonts w:asciiTheme="majorHAnsi" w:hAnsiTheme="majorHAnsi" w:cs="Cambria"/>
          <w:lang w:val="en-GB" w:eastAsia="en-US"/>
        </w:rPr>
        <w:t>current practices</w:t>
      </w:r>
      <w:r w:rsidR="00A16AED" w:rsidRPr="00E80090">
        <w:rPr>
          <w:rFonts w:asciiTheme="majorHAnsi" w:hAnsiTheme="majorHAnsi" w:cs="Cambria"/>
          <w:lang w:val="en-GB" w:eastAsia="en-US"/>
        </w:rPr>
        <w:t xml:space="preserve"> need to be altered</w:t>
      </w:r>
      <w:r w:rsidR="00E079E4" w:rsidRPr="00E80090">
        <w:rPr>
          <w:rFonts w:asciiTheme="majorHAnsi" w:hAnsiTheme="majorHAnsi" w:cs="Cambria"/>
          <w:lang w:val="en-GB" w:eastAsia="en-US"/>
        </w:rPr>
        <w:t xml:space="preserve">. For instance, petty cash should be substituted with </w:t>
      </w:r>
      <w:r w:rsidR="00E079E4" w:rsidRPr="00E80090">
        <w:rPr>
          <w:rFonts w:asciiTheme="majorHAnsi" w:hAnsiTheme="majorHAnsi" w:cs="Cambria"/>
          <w:lang w:val="en-GB" w:eastAsia="en-US"/>
        </w:rPr>
        <w:lastRenderedPageBreak/>
        <w:t>corporate cred</w:t>
      </w:r>
      <w:r w:rsidR="00AE252F" w:rsidRPr="00E80090">
        <w:rPr>
          <w:rFonts w:asciiTheme="majorHAnsi" w:hAnsiTheme="majorHAnsi" w:cs="Cambria"/>
          <w:lang w:val="en-GB" w:eastAsia="en-US"/>
        </w:rPr>
        <w:t>it cards and expense reports.</w:t>
      </w:r>
      <w:r w:rsidR="00E079E4" w:rsidRPr="00E80090">
        <w:rPr>
          <w:rFonts w:asciiTheme="majorHAnsi" w:hAnsiTheme="majorHAnsi" w:cs="Cambria"/>
          <w:lang w:val="en-GB" w:eastAsia="en-US"/>
        </w:rPr>
        <w:t xml:space="preserve"> </w:t>
      </w:r>
      <w:r w:rsidR="0043451D" w:rsidRPr="00E80090">
        <w:rPr>
          <w:rFonts w:asciiTheme="majorHAnsi" w:hAnsiTheme="majorHAnsi" w:cs="Cambria"/>
          <w:lang w:val="en-GB" w:eastAsia="en-US"/>
        </w:rPr>
        <w:t>In addition, r</w:t>
      </w:r>
      <w:r w:rsidR="00E079E4" w:rsidRPr="00E80090">
        <w:rPr>
          <w:rFonts w:asciiTheme="majorHAnsi" w:hAnsiTheme="majorHAnsi" w:cs="Cambria"/>
          <w:lang w:val="en-GB" w:eastAsia="en-US"/>
        </w:rPr>
        <w:t>egarding foreign exchange</w:t>
      </w:r>
      <w:r w:rsidR="00DD4919" w:rsidRPr="00E80090">
        <w:rPr>
          <w:rFonts w:asciiTheme="majorHAnsi" w:hAnsiTheme="majorHAnsi" w:cs="Cambria"/>
          <w:lang w:val="en-GB" w:eastAsia="en-US"/>
        </w:rPr>
        <w:t xml:space="preserve"> trading</w:t>
      </w:r>
      <w:r w:rsidR="00E079E4" w:rsidRPr="00E80090">
        <w:rPr>
          <w:rFonts w:asciiTheme="majorHAnsi" w:hAnsiTheme="majorHAnsi" w:cs="Cambria"/>
          <w:lang w:val="en-GB" w:eastAsia="en-US"/>
        </w:rPr>
        <w:t>, a solution is needed only in Romania, as the other subsidiaries do not face risk from currency fluctuations. In this respect, an independent trading platform, FXall is found to be the best solution for hedging the entity exposure and improving the central control over its trading.</w:t>
      </w:r>
      <w:r w:rsidR="003A5DBA" w:rsidRPr="00E80090">
        <w:rPr>
          <w:rFonts w:asciiTheme="majorHAnsi" w:hAnsiTheme="majorHAnsi" w:cs="Cambria"/>
          <w:lang w:val="en-GB" w:eastAsia="en-US"/>
        </w:rPr>
        <w:t xml:space="preserve"> </w:t>
      </w:r>
    </w:p>
    <w:p w14:paraId="6E58419F" w14:textId="77777777" w:rsidR="003A5DBA" w:rsidRPr="00E80090" w:rsidRDefault="00717AC1" w:rsidP="00717AC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findings have shown that </w:t>
      </w:r>
      <w:r w:rsidR="003A5DBA" w:rsidRPr="00E80090">
        <w:rPr>
          <w:rFonts w:asciiTheme="majorHAnsi" w:hAnsiTheme="majorHAnsi" w:cs="Cambria"/>
          <w:lang w:val="en-GB" w:eastAsia="en-US"/>
        </w:rPr>
        <w:t xml:space="preserve">cost reductions on banking fees seem to be achievable with both banks. </w:t>
      </w:r>
      <w:r w:rsidR="00E87948" w:rsidRPr="00E80090">
        <w:rPr>
          <w:rFonts w:asciiTheme="majorHAnsi" w:hAnsiTheme="majorHAnsi" w:cs="Cambria"/>
          <w:lang w:val="en-GB" w:eastAsia="en-US"/>
        </w:rPr>
        <w:t>According to the</w:t>
      </w:r>
      <w:r w:rsidR="003A5DBA" w:rsidRPr="00E80090">
        <w:rPr>
          <w:rFonts w:asciiTheme="majorHAnsi" w:hAnsiTheme="majorHAnsi" w:cs="Cambria"/>
          <w:lang w:val="en-GB" w:eastAsia="en-US"/>
        </w:rPr>
        <w:t xml:space="preserve"> cost analysis </w:t>
      </w:r>
      <w:r w:rsidR="00E87948" w:rsidRPr="00E80090">
        <w:rPr>
          <w:rFonts w:asciiTheme="majorHAnsi" w:hAnsiTheme="majorHAnsi" w:cs="Cambria"/>
          <w:lang w:val="en-GB" w:eastAsia="en-US"/>
        </w:rPr>
        <w:t xml:space="preserve">the </w:t>
      </w:r>
      <w:r w:rsidR="00FD0E48" w:rsidRPr="00E80090">
        <w:rPr>
          <w:rFonts w:asciiTheme="majorHAnsi" w:hAnsiTheme="majorHAnsi" w:cs="Cambria"/>
          <w:lang w:val="en-GB" w:eastAsia="en-US"/>
        </w:rPr>
        <w:t>new</w:t>
      </w:r>
      <w:r w:rsidR="003A5DBA" w:rsidRPr="00E80090">
        <w:rPr>
          <w:rFonts w:asciiTheme="majorHAnsi" w:hAnsiTheme="majorHAnsi" w:cs="Cambria"/>
          <w:lang w:val="en-GB" w:eastAsia="en-US"/>
        </w:rPr>
        <w:t xml:space="preserve"> banks have offered more competitive pricing than the current </w:t>
      </w:r>
      <w:r w:rsidR="00E87948" w:rsidRPr="00E80090">
        <w:rPr>
          <w:rFonts w:asciiTheme="majorHAnsi" w:hAnsiTheme="majorHAnsi" w:cs="Cambria"/>
          <w:lang w:val="en-GB" w:eastAsia="en-US"/>
        </w:rPr>
        <w:t>ones</w:t>
      </w:r>
      <w:r w:rsidR="003A5DBA" w:rsidRPr="00E80090">
        <w:rPr>
          <w:rFonts w:asciiTheme="majorHAnsi" w:hAnsiTheme="majorHAnsi" w:cs="Cambria"/>
          <w:lang w:val="en-GB" w:eastAsia="en-US"/>
        </w:rPr>
        <w:t xml:space="preserve"> in Romania and Slovenia. However, in Bulgaria and Slovakia, better offers need to be negotiated. There is solid reason to expect that the company would be successful in lowering the </w:t>
      </w:r>
      <w:r w:rsidR="00FD0E48" w:rsidRPr="00E80090">
        <w:rPr>
          <w:rFonts w:asciiTheme="majorHAnsi" w:hAnsiTheme="majorHAnsi" w:cs="Cambria"/>
          <w:lang w:val="en-GB" w:eastAsia="en-US"/>
        </w:rPr>
        <w:t>proposed charges</w:t>
      </w:r>
      <w:r w:rsidR="003A5DBA" w:rsidRPr="00E80090">
        <w:rPr>
          <w:rFonts w:asciiTheme="majorHAnsi" w:hAnsiTheme="majorHAnsi" w:cs="Cambria"/>
          <w:lang w:val="en-GB" w:eastAsia="en-US"/>
        </w:rPr>
        <w:t>, as both banks have shown willingness to consider the global benefits of the relationship and compromise on the local level.</w:t>
      </w:r>
    </w:p>
    <w:p w14:paraId="6E5841A0" w14:textId="77777777" w:rsidR="0012623A" w:rsidRPr="00E80090" w:rsidRDefault="003A5DBA" w:rsidP="00717AC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On the other hand, </w:t>
      </w:r>
      <w:r w:rsidR="00717AC1" w:rsidRPr="00E80090">
        <w:rPr>
          <w:rFonts w:asciiTheme="majorHAnsi" w:hAnsiTheme="majorHAnsi" w:cs="Cambria"/>
          <w:lang w:val="en-GB" w:eastAsia="en-US"/>
        </w:rPr>
        <w:t xml:space="preserve">the corporate goal for improving security and transparency in the CEE region can be </w:t>
      </w:r>
      <w:r w:rsidR="004A1E36" w:rsidRPr="00E80090">
        <w:rPr>
          <w:rFonts w:asciiTheme="majorHAnsi" w:hAnsiTheme="majorHAnsi" w:cs="Cambria"/>
          <w:lang w:val="en-GB" w:eastAsia="en-US"/>
        </w:rPr>
        <w:t>accomplished</w:t>
      </w:r>
      <w:r w:rsidR="00717AC1" w:rsidRPr="00E80090">
        <w:rPr>
          <w:rFonts w:asciiTheme="majorHAnsi" w:hAnsiTheme="majorHAnsi" w:cs="Cambria"/>
          <w:lang w:val="en-GB" w:eastAsia="en-US"/>
        </w:rPr>
        <w:t xml:space="preserve"> only with Citibank. </w:t>
      </w:r>
      <w:r w:rsidR="00BD58DE" w:rsidRPr="00E80090">
        <w:rPr>
          <w:rFonts w:asciiTheme="majorHAnsi" w:hAnsiTheme="majorHAnsi" w:cs="Cambria"/>
          <w:lang w:val="en-GB" w:eastAsia="en-US"/>
        </w:rPr>
        <w:t xml:space="preserve">The bank structure allows for linkage of the local electronic banking system to the central one. In this way </w:t>
      </w:r>
      <w:r w:rsidR="00152C08" w:rsidRPr="00E80090">
        <w:rPr>
          <w:rFonts w:asciiTheme="majorHAnsi" w:hAnsiTheme="majorHAnsi" w:cs="Cambria"/>
          <w:lang w:val="en-GB" w:eastAsia="en-US"/>
        </w:rPr>
        <w:t xml:space="preserve">all </w:t>
      </w:r>
      <w:r w:rsidR="00BD58DE" w:rsidRPr="00E80090">
        <w:rPr>
          <w:rFonts w:asciiTheme="majorHAnsi" w:hAnsiTheme="majorHAnsi" w:cs="Cambria"/>
          <w:lang w:val="en-GB" w:eastAsia="en-US"/>
        </w:rPr>
        <w:t>transaction</w:t>
      </w:r>
      <w:r w:rsidR="00F972EA" w:rsidRPr="00E80090">
        <w:rPr>
          <w:rFonts w:asciiTheme="majorHAnsi" w:hAnsiTheme="majorHAnsi" w:cs="Cambria"/>
          <w:lang w:val="en-GB" w:eastAsia="en-US"/>
        </w:rPr>
        <w:t>s</w:t>
      </w:r>
      <w:r w:rsidR="00BD58DE" w:rsidRPr="00E80090">
        <w:rPr>
          <w:rFonts w:asciiTheme="majorHAnsi" w:hAnsiTheme="majorHAnsi" w:cs="Cambria"/>
          <w:lang w:val="en-GB" w:eastAsia="en-US"/>
        </w:rPr>
        <w:t xml:space="preserve"> </w:t>
      </w:r>
      <w:r w:rsidR="00152C08" w:rsidRPr="00E80090">
        <w:rPr>
          <w:rFonts w:asciiTheme="majorHAnsi" w:hAnsiTheme="majorHAnsi" w:cs="Cambria"/>
          <w:lang w:val="en-GB" w:eastAsia="en-US"/>
        </w:rPr>
        <w:t xml:space="preserve">in Bulgaria and Romania </w:t>
      </w:r>
      <w:r w:rsidR="00BD58DE" w:rsidRPr="00E80090">
        <w:rPr>
          <w:rFonts w:asciiTheme="majorHAnsi" w:hAnsiTheme="majorHAnsi" w:cs="Cambria"/>
          <w:lang w:val="en-GB" w:eastAsia="en-US"/>
        </w:rPr>
        <w:t xml:space="preserve">will be visible at the central level and </w:t>
      </w:r>
      <w:r w:rsidR="00152C08" w:rsidRPr="00E80090">
        <w:rPr>
          <w:rFonts w:asciiTheme="majorHAnsi" w:hAnsiTheme="majorHAnsi" w:cs="Cambria"/>
          <w:lang w:val="en-GB" w:eastAsia="en-US"/>
        </w:rPr>
        <w:t xml:space="preserve">thus, </w:t>
      </w:r>
      <w:r w:rsidR="00FC42A9" w:rsidRPr="00E80090">
        <w:rPr>
          <w:rFonts w:asciiTheme="majorHAnsi" w:hAnsiTheme="majorHAnsi" w:cs="Cambria"/>
          <w:lang w:val="en-GB" w:eastAsia="en-US"/>
        </w:rPr>
        <w:t>Treasury</w:t>
      </w:r>
      <w:r w:rsidR="00BD58DE" w:rsidRPr="00E80090">
        <w:rPr>
          <w:rFonts w:asciiTheme="majorHAnsi" w:hAnsiTheme="majorHAnsi" w:cs="Cambria"/>
          <w:lang w:val="en-GB" w:eastAsia="en-US"/>
        </w:rPr>
        <w:t xml:space="preserve"> control can be improved. </w:t>
      </w:r>
      <w:r w:rsidR="00446CE8" w:rsidRPr="00E80090">
        <w:rPr>
          <w:rFonts w:asciiTheme="majorHAnsi" w:hAnsiTheme="majorHAnsi" w:cs="Cambria"/>
          <w:lang w:val="en-GB" w:eastAsia="en-US"/>
        </w:rPr>
        <w:t xml:space="preserve">In this respect, it is advisable that a separate payroll account is opened in Romania to limit the visibility of individual salary details. </w:t>
      </w:r>
      <w:r w:rsidR="00BD58DE" w:rsidRPr="00E80090">
        <w:rPr>
          <w:rFonts w:asciiTheme="majorHAnsi" w:hAnsiTheme="majorHAnsi" w:cs="Cambria"/>
          <w:lang w:val="en-GB" w:eastAsia="en-US"/>
        </w:rPr>
        <w:t>Additionally, payment templates can be created for all vendors</w:t>
      </w:r>
      <w:r w:rsidR="00152C08" w:rsidRPr="00E80090">
        <w:rPr>
          <w:rFonts w:asciiTheme="majorHAnsi" w:hAnsiTheme="majorHAnsi" w:cs="Cambria"/>
          <w:lang w:val="en-GB" w:eastAsia="en-US"/>
        </w:rPr>
        <w:t xml:space="preserve"> of these branches</w:t>
      </w:r>
      <w:r w:rsidR="004A06B0" w:rsidRPr="00E80090">
        <w:rPr>
          <w:rFonts w:asciiTheme="majorHAnsi" w:hAnsiTheme="majorHAnsi" w:cs="Cambria"/>
          <w:lang w:val="en-GB" w:eastAsia="en-US"/>
        </w:rPr>
        <w:t>,</w:t>
      </w:r>
      <w:r w:rsidR="00BD58DE" w:rsidRPr="00E80090">
        <w:rPr>
          <w:rFonts w:asciiTheme="majorHAnsi" w:hAnsiTheme="majorHAnsi" w:cs="Cambria"/>
          <w:lang w:val="en-GB" w:eastAsia="en-US"/>
        </w:rPr>
        <w:t xml:space="preserve"> </w:t>
      </w:r>
      <w:r w:rsidR="004A06B0" w:rsidRPr="00E80090">
        <w:rPr>
          <w:rFonts w:asciiTheme="majorHAnsi" w:hAnsiTheme="majorHAnsi" w:cs="Cambria"/>
          <w:lang w:val="en-GB" w:eastAsia="en-US"/>
        </w:rPr>
        <w:t>which would make payment execution</w:t>
      </w:r>
      <w:r w:rsidR="00BD58DE" w:rsidRPr="00E80090">
        <w:rPr>
          <w:rFonts w:asciiTheme="majorHAnsi" w:hAnsiTheme="majorHAnsi" w:cs="Cambria"/>
          <w:lang w:val="en-GB" w:eastAsia="en-US"/>
        </w:rPr>
        <w:t xml:space="preserve"> faster, easier and </w:t>
      </w:r>
      <w:r w:rsidR="00A2648A" w:rsidRPr="00E80090">
        <w:rPr>
          <w:rFonts w:asciiTheme="majorHAnsi" w:hAnsiTheme="majorHAnsi" w:cs="Cambria"/>
          <w:lang w:val="en-GB" w:eastAsia="en-US"/>
        </w:rPr>
        <w:t xml:space="preserve">more secure, </w:t>
      </w:r>
      <w:r w:rsidR="00BD58DE" w:rsidRPr="00E80090">
        <w:rPr>
          <w:rFonts w:asciiTheme="majorHAnsi" w:hAnsiTheme="majorHAnsi" w:cs="Cambria"/>
          <w:lang w:val="en-GB" w:eastAsia="en-US"/>
        </w:rPr>
        <w:t>limit</w:t>
      </w:r>
      <w:r w:rsidR="00A2648A" w:rsidRPr="00E80090">
        <w:rPr>
          <w:rFonts w:asciiTheme="majorHAnsi" w:hAnsiTheme="majorHAnsi" w:cs="Cambria"/>
          <w:lang w:val="en-GB" w:eastAsia="en-US"/>
        </w:rPr>
        <w:t>ing</w:t>
      </w:r>
      <w:r w:rsidR="00BD58DE" w:rsidRPr="00E80090">
        <w:rPr>
          <w:rFonts w:asciiTheme="majorHAnsi" w:hAnsiTheme="majorHAnsi" w:cs="Cambria"/>
          <w:lang w:val="en-GB" w:eastAsia="en-US"/>
        </w:rPr>
        <w:t xml:space="preserve"> the possibility for fraud and error.</w:t>
      </w:r>
      <w:r w:rsidR="00507690" w:rsidRPr="00E80090">
        <w:rPr>
          <w:rFonts w:asciiTheme="majorHAnsi" w:hAnsiTheme="majorHAnsi" w:cs="Cambria"/>
          <w:lang w:val="en-GB" w:eastAsia="en-US"/>
        </w:rPr>
        <w:t xml:space="preserve"> </w:t>
      </w:r>
    </w:p>
    <w:p w14:paraId="6E5841A1" w14:textId="77777777" w:rsidR="00F972EA" w:rsidRPr="00E80090" w:rsidRDefault="00717AC1" w:rsidP="00717AC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However,</w:t>
      </w:r>
      <w:r w:rsidR="00607808" w:rsidRPr="00E80090">
        <w:rPr>
          <w:rFonts w:asciiTheme="majorHAnsi" w:hAnsiTheme="majorHAnsi" w:cs="Cambria"/>
          <w:lang w:val="en-GB" w:eastAsia="en-US"/>
        </w:rPr>
        <w:t xml:space="preserve"> the structure of UniCredit does not allow for </w:t>
      </w:r>
      <w:r w:rsidR="00957A49" w:rsidRPr="00E80090">
        <w:rPr>
          <w:rFonts w:asciiTheme="majorHAnsi" w:hAnsiTheme="majorHAnsi" w:cs="Cambria"/>
          <w:lang w:val="en-GB" w:eastAsia="en-US"/>
        </w:rPr>
        <w:t>security improvement at the local leve</w:t>
      </w:r>
      <w:r w:rsidR="00160448" w:rsidRPr="00E80090">
        <w:rPr>
          <w:rFonts w:asciiTheme="majorHAnsi" w:hAnsiTheme="majorHAnsi" w:cs="Cambria"/>
          <w:lang w:val="en-GB" w:eastAsia="en-US"/>
        </w:rPr>
        <w:t>l</w:t>
      </w:r>
      <w:r w:rsidR="00957A49" w:rsidRPr="00E80090">
        <w:rPr>
          <w:rFonts w:asciiTheme="majorHAnsi" w:hAnsiTheme="majorHAnsi" w:cs="Cambria"/>
          <w:lang w:val="en-GB" w:eastAsia="en-US"/>
        </w:rPr>
        <w:t>.</w:t>
      </w:r>
      <w:r w:rsidR="00607808" w:rsidRPr="00E80090">
        <w:rPr>
          <w:rFonts w:asciiTheme="majorHAnsi" w:hAnsiTheme="majorHAnsi" w:cs="Cambria"/>
          <w:lang w:val="en-GB" w:eastAsia="en-US"/>
        </w:rPr>
        <w:t xml:space="preserve"> </w:t>
      </w:r>
      <w:r w:rsidR="0073099E" w:rsidRPr="00E80090">
        <w:rPr>
          <w:rFonts w:asciiTheme="majorHAnsi" w:hAnsiTheme="majorHAnsi" w:cs="Cambria"/>
          <w:lang w:val="en-GB" w:eastAsia="en-US"/>
        </w:rPr>
        <w:t>T</w:t>
      </w:r>
      <w:r w:rsidR="00607808" w:rsidRPr="00E80090">
        <w:rPr>
          <w:rFonts w:asciiTheme="majorHAnsi" w:hAnsiTheme="majorHAnsi" w:cs="Cambria"/>
          <w:lang w:val="en-GB" w:eastAsia="en-US"/>
        </w:rPr>
        <w:t xml:space="preserve">he banking systems in </w:t>
      </w:r>
      <w:r w:rsidR="0073099E" w:rsidRPr="00E80090">
        <w:rPr>
          <w:rFonts w:asciiTheme="majorHAnsi" w:hAnsiTheme="majorHAnsi" w:cs="Cambria"/>
          <w:lang w:val="en-GB" w:eastAsia="en-US"/>
        </w:rPr>
        <w:t xml:space="preserve">Slovakia </w:t>
      </w:r>
      <w:r w:rsidR="00607808" w:rsidRPr="00E80090">
        <w:rPr>
          <w:rFonts w:asciiTheme="majorHAnsi" w:hAnsiTheme="majorHAnsi" w:cs="Cambria"/>
          <w:lang w:val="en-GB" w:eastAsia="en-US"/>
        </w:rPr>
        <w:t xml:space="preserve">and </w:t>
      </w:r>
      <w:r w:rsidR="0073099E" w:rsidRPr="00E80090">
        <w:rPr>
          <w:rFonts w:asciiTheme="majorHAnsi" w:hAnsiTheme="majorHAnsi" w:cs="Cambria"/>
          <w:lang w:val="en-GB" w:eastAsia="en-US"/>
        </w:rPr>
        <w:t xml:space="preserve">Slovenia can be </w:t>
      </w:r>
      <w:r w:rsidR="00BD1952" w:rsidRPr="00E80090">
        <w:rPr>
          <w:rFonts w:asciiTheme="majorHAnsi" w:hAnsiTheme="majorHAnsi" w:cs="Cambria"/>
          <w:lang w:val="en-GB" w:eastAsia="en-US"/>
        </w:rPr>
        <w:t>used</w:t>
      </w:r>
      <w:r w:rsidR="0073099E" w:rsidRPr="00E80090">
        <w:rPr>
          <w:rFonts w:asciiTheme="majorHAnsi" w:hAnsiTheme="majorHAnsi" w:cs="Cambria"/>
          <w:lang w:val="en-GB" w:eastAsia="en-US"/>
        </w:rPr>
        <w:t xml:space="preserve"> only locally</w:t>
      </w:r>
      <w:r w:rsidR="00607808" w:rsidRPr="00E80090">
        <w:rPr>
          <w:rFonts w:asciiTheme="majorHAnsi" w:hAnsiTheme="majorHAnsi" w:cs="Cambria"/>
          <w:lang w:val="en-GB" w:eastAsia="en-US"/>
        </w:rPr>
        <w:t xml:space="preserve"> and </w:t>
      </w:r>
      <w:r w:rsidR="0073099E" w:rsidRPr="00E80090">
        <w:rPr>
          <w:rFonts w:asciiTheme="majorHAnsi" w:hAnsiTheme="majorHAnsi" w:cs="Cambria"/>
          <w:lang w:val="en-GB" w:eastAsia="en-US"/>
        </w:rPr>
        <w:t>can</w:t>
      </w:r>
      <w:r w:rsidR="00607808" w:rsidRPr="00E80090">
        <w:rPr>
          <w:rFonts w:asciiTheme="majorHAnsi" w:hAnsiTheme="majorHAnsi" w:cs="Cambria"/>
          <w:lang w:val="en-GB" w:eastAsia="en-US"/>
        </w:rPr>
        <w:t xml:space="preserve">not be monitored </w:t>
      </w:r>
      <w:r w:rsidR="00F07B07" w:rsidRPr="00E80090">
        <w:rPr>
          <w:rFonts w:asciiTheme="majorHAnsi" w:hAnsiTheme="majorHAnsi" w:cs="Cambria"/>
          <w:lang w:val="en-GB" w:eastAsia="en-US"/>
        </w:rPr>
        <w:t>from the</w:t>
      </w:r>
      <w:r w:rsidR="00ED2615" w:rsidRPr="00E80090">
        <w:rPr>
          <w:rFonts w:asciiTheme="majorHAnsi" w:hAnsiTheme="majorHAnsi" w:cs="Cambria"/>
          <w:lang w:val="en-GB" w:eastAsia="en-US"/>
        </w:rPr>
        <w:t xml:space="preserve"> </w:t>
      </w:r>
      <w:r w:rsidR="00607808" w:rsidRPr="00E80090">
        <w:rPr>
          <w:rFonts w:asciiTheme="majorHAnsi" w:hAnsiTheme="majorHAnsi" w:cs="Cambria"/>
          <w:lang w:val="en-GB" w:eastAsia="en-US"/>
        </w:rPr>
        <w:t>central</w:t>
      </w:r>
      <w:r w:rsidR="00ED2615" w:rsidRPr="00E80090">
        <w:rPr>
          <w:rFonts w:asciiTheme="majorHAnsi" w:hAnsiTheme="majorHAnsi" w:cs="Cambria"/>
          <w:lang w:val="en-GB" w:eastAsia="en-US"/>
        </w:rPr>
        <w:t xml:space="preserve"> office</w:t>
      </w:r>
      <w:r w:rsidR="00607808" w:rsidRPr="00E80090">
        <w:rPr>
          <w:rFonts w:asciiTheme="majorHAnsi" w:hAnsiTheme="majorHAnsi" w:cs="Cambria"/>
          <w:lang w:val="en-GB" w:eastAsia="en-US"/>
        </w:rPr>
        <w:t xml:space="preserve">. </w:t>
      </w:r>
      <w:r w:rsidR="00EB2922" w:rsidRPr="00E80090">
        <w:rPr>
          <w:rFonts w:asciiTheme="majorHAnsi" w:hAnsiTheme="majorHAnsi" w:cs="Cambria"/>
          <w:lang w:val="en-GB" w:eastAsia="en-US"/>
        </w:rPr>
        <w:t>Preformats in these systems can be created but free format transfers cannot be limited</w:t>
      </w:r>
      <w:r w:rsidR="00BD1952" w:rsidRPr="00E80090">
        <w:rPr>
          <w:rFonts w:asciiTheme="majorHAnsi" w:hAnsiTheme="majorHAnsi" w:cs="Cambria"/>
          <w:lang w:val="en-GB" w:eastAsia="en-US"/>
        </w:rPr>
        <w:t xml:space="preserve"> and account statements would not show a distinction between the two</w:t>
      </w:r>
      <w:r w:rsidR="00EB2922" w:rsidRPr="00E80090">
        <w:rPr>
          <w:rFonts w:asciiTheme="majorHAnsi" w:hAnsiTheme="majorHAnsi" w:cs="Cambria"/>
          <w:lang w:val="en-GB" w:eastAsia="en-US"/>
        </w:rPr>
        <w:t xml:space="preserve">. </w:t>
      </w:r>
      <w:r w:rsidR="0073099E" w:rsidRPr="00E80090">
        <w:rPr>
          <w:rFonts w:asciiTheme="majorHAnsi" w:hAnsiTheme="majorHAnsi" w:cs="Cambria"/>
          <w:lang w:val="en-GB" w:eastAsia="en-US"/>
        </w:rPr>
        <w:t xml:space="preserve">This means that migrating the subsidiaries to UniCredit </w:t>
      </w:r>
      <w:r w:rsidR="00CF305E" w:rsidRPr="00E80090">
        <w:rPr>
          <w:rFonts w:asciiTheme="majorHAnsi" w:hAnsiTheme="majorHAnsi" w:cs="Cambria"/>
          <w:lang w:val="en-GB" w:eastAsia="en-US"/>
        </w:rPr>
        <w:t xml:space="preserve">is not recommended </w:t>
      </w:r>
      <w:r w:rsidR="00F07B07" w:rsidRPr="00E80090">
        <w:rPr>
          <w:rFonts w:asciiTheme="majorHAnsi" w:hAnsiTheme="majorHAnsi" w:cs="Cambria"/>
          <w:lang w:val="en-GB" w:eastAsia="en-US"/>
        </w:rPr>
        <w:t xml:space="preserve">as the corporate goals cannot be achieved </w:t>
      </w:r>
      <w:r w:rsidR="00CF305E" w:rsidRPr="00E80090">
        <w:rPr>
          <w:rFonts w:asciiTheme="majorHAnsi" w:hAnsiTheme="majorHAnsi" w:cs="Cambria"/>
          <w:lang w:val="en-GB" w:eastAsia="en-US"/>
        </w:rPr>
        <w:t>and further research on other banks in the area is required.</w:t>
      </w:r>
      <w:r w:rsidR="0073099E" w:rsidRPr="00E80090">
        <w:rPr>
          <w:rFonts w:asciiTheme="majorHAnsi" w:hAnsiTheme="majorHAnsi" w:cs="Cambria"/>
          <w:lang w:val="en-GB" w:eastAsia="en-US"/>
        </w:rPr>
        <w:t xml:space="preserve"> </w:t>
      </w:r>
    </w:p>
    <w:p w14:paraId="6E5841A2" w14:textId="77777777" w:rsidR="00866DB2" w:rsidRPr="00E80090" w:rsidRDefault="00866DB2" w:rsidP="00717AC1">
      <w:pPr>
        <w:spacing w:after="200" w:line="360" w:lineRule="auto"/>
        <w:jc w:val="both"/>
        <w:rPr>
          <w:rFonts w:asciiTheme="majorHAnsi" w:hAnsiTheme="majorHAnsi" w:cs="Cambria"/>
          <w:lang w:val="en-GB" w:eastAsia="en-US"/>
        </w:rPr>
      </w:pPr>
    </w:p>
    <w:p w14:paraId="6E5841A3" w14:textId="77777777" w:rsidR="00BA0763" w:rsidRPr="00E80090" w:rsidRDefault="00BA0763">
      <w:pPr>
        <w:rPr>
          <w:rFonts w:asciiTheme="majorHAnsi" w:hAnsiTheme="majorHAnsi"/>
          <w:lang w:val="en-GB"/>
        </w:rPr>
      </w:pPr>
      <w:bookmarkStart w:id="3" w:name="_Toc359408840"/>
      <w:bookmarkStart w:id="4" w:name="_Toc359145819"/>
      <w:bookmarkStart w:id="5" w:name="_Toc357626992"/>
      <w:r w:rsidRPr="00E80090">
        <w:rPr>
          <w:rFonts w:asciiTheme="majorHAnsi" w:hAnsiTheme="majorHAnsi"/>
          <w:b/>
          <w:bCs/>
          <w:lang w:val="en-GB"/>
        </w:rPr>
        <w:br w:type="page"/>
      </w:r>
    </w:p>
    <w:sdt>
      <w:sdtPr>
        <w:rPr>
          <w:rFonts w:asciiTheme="majorHAnsi" w:eastAsia="MS Mincho" w:hAnsiTheme="majorHAnsi" w:cs="Times New Roman"/>
          <w:b w:val="0"/>
          <w:bCs w:val="0"/>
          <w:color w:val="auto"/>
          <w:sz w:val="24"/>
          <w:szCs w:val="24"/>
          <w:lang w:val="en-GB"/>
        </w:rPr>
        <w:id w:val="183640569"/>
        <w:docPartObj>
          <w:docPartGallery w:val="Table of Contents"/>
          <w:docPartUnique/>
        </w:docPartObj>
      </w:sdtPr>
      <w:sdtEndPr/>
      <w:sdtContent>
        <w:p w14:paraId="6E5841A4" w14:textId="77777777" w:rsidR="00236D47" w:rsidRPr="00E80090" w:rsidRDefault="00236D47" w:rsidP="00A87F44">
          <w:pPr>
            <w:pStyle w:val="Kopvaninhoudsopgave"/>
            <w:spacing w:line="360" w:lineRule="auto"/>
            <w:rPr>
              <w:rFonts w:asciiTheme="majorHAnsi" w:hAnsiTheme="majorHAnsi"/>
              <w:lang w:val="en-GB"/>
            </w:rPr>
          </w:pPr>
          <w:r w:rsidRPr="00E80090">
            <w:rPr>
              <w:rFonts w:asciiTheme="majorHAnsi" w:hAnsiTheme="majorHAnsi"/>
              <w:lang w:val="en-GB"/>
            </w:rPr>
            <w:t>Contents</w:t>
          </w:r>
        </w:p>
        <w:p w14:paraId="6E5841A5" w14:textId="77777777" w:rsidR="00A87F44" w:rsidRPr="00E80090" w:rsidRDefault="00236D47" w:rsidP="00A87F44">
          <w:pPr>
            <w:pStyle w:val="Inhopg1"/>
            <w:tabs>
              <w:tab w:val="right" w:leader="dot" w:pos="9016"/>
            </w:tabs>
            <w:spacing w:line="360" w:lineRule="auto"/>
            <w:rPr>
              <w:rFonts w:asciiTheme="minorHAnsi" w:eastAsiaTheme="minorEastAsia" w:hAnsiTheme="minorHAnsi" w:cstheme="minorBidi"/>
              <w:noProof/>
              <w:sz w:val="22"/>
              <w:szCs w:val="22"/>
              <w:lang w:eastAsia="en-US"/>
            </w:rPr>
          </w:pPr>
          <w:r w:rsidRPr="00E80090">
            <w:rPr>
              <w:rFonts w:asciiTheme="majorHAnsi" w:hAnsiTheme="majorHAnsi"/>
              <w:lang w:val="en-GB"/>
            </w:rPr>
            <w:fldChar w:fldCharType="begin"/>
          </w:r>
          <w:r w:rsidRPr="00E80090">
            <w:rPr>
              <w:rFonts w:asciiTheme="majorHAnsi" w:hAnsiTheme="majorHAnsi"/>
              <w:lang w:val="en-GB"/>
            </w:rPr>
            <w:instrText xml:space="preserve"> TOC \o "1-3" \h \z \u </w:instrText>
          </w:r>
          <w:r w:rsidRPr="00E80090">
            <w:rPr>
              <w:rFonts w:asciiTheme="majorHAnsi" w:hAnsiTheme="majorHAnsi"/>
              <w:lang w:val="en-GB"/>
            </w:rPr>
            <w:fldChar w:fldCharType="separate"/>
          </w:r>
          <w:hyperlink w:anchor="_Toc368290332" w:history="1">
            <w:r w:rsidR="00A87F44" w:rsidRPr="00E80090">
              <w:rPr>
                <w:rStyle w:val="Hyperlink"/>
                <w:rFonts w:asciiTheme="majorHAnsi" w:hAnsiTheme="majorHAnsi"/>
                <w:noProof/>
                <w:lang w:val="en-GB" w:eastAsia="en-US"/>
              </w:rPr>
              <w:t>Executive summary</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_Toc368290332 \h </w:instrText>
            </w:r>
            <w:r w:rsidR="00A87F44" w:rsidRPr="00E80090">
              <w:rPr>
                <w:noProof/>
                <w:webHidden/>
              </w:rPr>
            </w:r>
            <w:r w:rsidR="00A87F44" w:rsidRPr="00E80090">
              <w:rPr>
                <w:noProof/>
                <w:webHidden/>
              </w:rPr>
              <w:fldChar w:fldCharType="separate"/>
            </w:r>
            <w:r w:rsidR="00A87F44" w:rsidRPr="00E80090">
              <w:rPr>
                <w:noProof/>
                <w:webHidden/>
              </w:rPr>
              <w:t>2</w:t>
            </w:r>
            <w:r w:rsidR="00A87F44" w:rsidRPr="00E80090">
              <w:rPr>
                <w:noProof/>
                <w:webHidden/>
              </w:rPr>
              <w:fldChar w:fldCharType="end"/>
            </w:r>
          </w:hyperlink>
        </w:p>
        <w:p w14:paraId="6E5841A6" w14:textId="77777777" w:rsidR="00A87F44" w:rsidRPr="00E80090" w:rsidRDefault="00455DB4" w:rsidP="00A87F44">
          <w:pPr>
            <w:pStyle w:val="Inhopg1"/>
            <w:tabs>
              <w:tab w:val="right" w:leader="dot" w:pos="9016"/>
            </w:tabs>
            <w:spacing w:line="360" w:lineRule="auto"/>
            <w:rPr>
              <w:rFonts w:asciiTheme="minorHAnsi" w:eastAsiaTheme="minorEastAsia" w:hAnsiTheme="minorHAnsi" w:cstheme="minorBidi"/>
              <w:noProof/>
              <w:sz w:val="22"/>
              <w:szCs w:val="22"/>
              <w:lang w:eastAsia="en-US"/>
            </w:rPr>
          </w:pPr>
          <w:hyperlink w:anchor="_Toc368290333" w:history="1">
            <w:r w:rsidR="00A87F44" w:rsidRPr="00E80090">
              <w:rPr>
                <w:rStyle w:val="Hyperlink"/>
                <w:rFonts w:asciiTheme="majorHAnsi" w:hAnsiTheme="majorHAnsi"/>
                <w:noProof/>
                <w:lang w:val="en-GB" w:eastAsia="en-US"/>
              </w:rPr>
              <w:t>Glossary</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_Toc368290333 \h </w:instrText>
            </w:r>
            <w:r w:rsidR="00A87F44" w:rsidRPr="00E80090">
              <w:rPr>
                <w:noProof/>
                <w:webHidden/>
              </w:rPr>
            </w:r>
            <w:r w:rsidR="00A87F44" w:rsidRPr="00E80090">
              <w:rPr>
                <w:noProof/>
                <w:webHidden/>
              </w:rPr>
              <w:fldChar w:fldCharType="separate"/>
            </w:r>
            <w:r w:rsidR="00A87F44" w:rsidRPr="00E80090">
              <w:rPr>
                <w:noProof/>
                <w:webHidden/>
              </w:rPr>
              <w:t>6</w:t>
            </w:r>
            <w:r w:rsidR="00A87F44" w:rsidRPr="00E80090">
              <w:rPr>
                <w:noProof/>
                <w:webHidden/>
              </w:rPr>
              <w:fldChar w:fldCharType="end"/>
            </w:r>
          </w:hyperlink>
        </w:p>
        <w:p w14:paraId="6E5841A7" w14:textId="77777777" w:rsidR="00A87F44" w:rsidRPr="00E80090" w:rsidRDefault="00455DB4" w:rsidP="00A87F44">
          <w:pPr>
            <w:pStyle w:val="Inhopg1"/>
            <w:tabs>
              <w:tab w:val="left" w:pos="440"/>
              <w:tab w:val="right" w:leader="dot" w:pos="9016"/>
            </w:tabs>
            <w:spacing w:line="360" w:lineRule="auto"/>
            <w:rPr>
              <w:rFonts w:asciiTheme="minorHAnsi" w:eastAsiaTheme="minorEastAsia" w:hAnsiTheme="minorHAnsi" w:cstheme="minorBidi"/>
              <w:noProof/>
              <w:sz w:val="22"/>
              <w:szCs w:val="22"/>
              <w:lang w:eastAsia="en-US"/>
            </w:rPr>
          </w:pPr>
          <w:hyperlink w:anchor="_Toc368290334" w:history="1">
            <w:r w:rsidR="00A87F44" w:rsidRPr="00E80090">
              <w:rPr>
                <w:rStyle w:val="Hyperlink"/>
                <w:rFonts w:asciiTheme="majorHAnsi" w:hAnsiTheme="majorHAnsi"/>
                <w:noProof/>
                <w:lang w:val="en-GB" w:eastAsia="en-US"/>
              </w:rPr>
              <w:t>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eastAsia="en-US"/>
              </w:rPr>
              <w:t>Introduction</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_Toc368290334 \h </w:instrText>
            </w:r>
            <w:r w:rsidR="00A87F44" w:rsidRPr="00E80090">
              <w:rPr>
                <w:noProof/>
                <w:webHidden/>
              </w:rPr>
            </w:r>
            <w:r w:rsidR="00A87F44" w:rsidRPr="00E80090">
              <w:rPr>
                <w:noProof/>
                <w:webHidden/>
              </w:rPr>
              <w:fldChar w:fldCharType="separate"/>
            </w:r>
            <w:r w:rsidR="00A87F44" w:rsidRPr="00E80090">
              <w:rPr>
                <w:noProof/>
                <w:webHidden/>
              </w:rPr>
              <w:t>7</w:t>
            </w:r>
            <w:r w:rsidR="00A87F44" w:rsidRPr="00E80090">
              <w:rPr>
                <w:noProof/>
                <w:webHidden/>
              </w:rPr>
              <w:fldChar w:fldCharType="end"/>
            </w:r>
          </w:hyperlink>
        </w:p>
        <w:p w14:paraId="6E5841A8" w14:textId="77777777" w:rsidR="00A87F44" w:rsidRPr="00E80090" w:rsidRDefault="00455DB4" w:rsidP="00A87F44">
          <w:pPr>
            <w:pStyle w:val="Inhopg1"/>
            <w:tabs>
              <w:tab w:val="left" w:pos="440"/>
              <w:tab w:val="right" w:leader="dot" w:pos="9016"/>
            </w:tabs>
            <w:spacing w:line="360" w:lineRule="auto"/>
            <w:rPr>
              <w:rFonts w:asciiTheme="minorHAnsi" w:eastAsiaTheme="minorEastAsia" w:hAnsiTheme="minorHAnsi" w:cstheme="minorBidi"/>
              <w:noProof/>
              <w:sz w:val="22"/>
              <w:szCs w:val="22"/>
              <w:lang w:eastAsia="en-US"/>
            </w:rPr>
          </w:pPr>
          <w:hyperlink w:anchor="_Toc368290335" w:history="1">
            <w:r w:rsidR="00A87F44" w:rsidRPr="00E80090">
              <w:rPr>
                <w:rStyle w:val="Hyperlink"/>
                <w:rFonts w:asciiTheme="majorHAnsi" w:hAnsiTheme="majorHAnsi"/>
                <w:noProof/>
                <w:lang w:val="en-GB" w:eastAsia="en-US"/>
              </w:rPr>
              <w:t>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eastAsia="en-US"/>
              </w:rPr>
              <w:t>Literature review</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_Toc368290335 \h </w:instrText>
            </w:r>
            <w:r w:rsidR="00A87F44" w:rsidRPr="00E80090">
              <w:rPr>
                <w:noProof/>
                <w:webHidden/>
              </w:rPr>
            </w:r>
            <w:r w:rsidR="00A87F44" w:rsidRPr="00E80090">
              <w:rPr>
                <w:noProof/>
                <w:webHidden/>
              </w:rPr>
              <w:fldChar w:fldCharType="separate"/>
            </w:r>
            <w:r w:rsidR="00A87F44" w:rsidRPr="00E80090">
              <w:rPr>
                <w:noProof/>
                <w:webHidden/>
              </w:rPr>
              <w:t>9</w:t>
            </w:r>
            <w:r w:rsidR="00A87F44" w:rsidRPr="00E80090">
              <w:rPr>
                <w:noProof/>
                <w:webHidden/>
              </w:rPr>
              <w:fldChar w:fldCharType="end"/>
            </w:r>
          </w:hyperlink>
        </w:p>
        <w:p w14:paraId="6E5841A9" w14:textId="77777777" w:rsidR="00A87F44" w:rsidRPr="00E80090" w:rsidRDefault="00455DB4" w:rsidP="00A87F44">
          <w:pPr>
            <w:pStyle w:val="Inhopg1"/>
            <w:tabs>
              <w:tab w:val="left" w:pos="440"/>
              <w:tab w:val="right" w:leader="dot" w:pos="9016"/>
            </w:tabs>
            <w:spacing w:line="360" w:lineRule="auto"/>
            <w:rPr>
              <w:rFonts w:asciiTheme="minorHAnsi" w:eastAsiaTheme="minorEastAsia" w:hAnsiTheme="minorHAnsi" w:cstheme="minorBidi"/>
              <w:noProof/>
              <w:sz w:val="22"/>
              <w:szCs w:val="22"/>
              <w:lang w:eastAsia="en-US"/>
            </w:rPr>
          </w:pPr>
          <w:hyperlink w:anchor="_Toc368290336" w:history="1">
            <w:r w:rsidR="00A87F44" w:rsidRPr="00E80090">
              <w:rPr>
                <w:rStyle w:val="Hyperlink"/>
                <w:rFonts w:asciiTheme="majorHAnsi" w:hAnsiTheme="majorHAnsi"/>
                <w:noProof/>
                <w:lang w:val="en-GB" w:eastAsia="en-US"/>
              </w:rPr>
              <w:t>3.</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eastAsia="en-US"/>
              </w:rPr>
              <w:t>Methodology</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_Toc368290336 \h </w:instrText>
            </w:r>
            <w:r w:rsidR="00A87F44" w:rsidRPr="00E80090">
              <w:rPr>
                <w:noProof/>
                <w:webHidden/>
              </w:rPr>
            </w:r>
            <w:r w:rsidR="00A87F44" w:rsidRPr="00E80090">
              <w:rPr>
                <w:noProof/>
                <w:webHidden/>
              </w:rPr>
              <w:fldChar w:fldCharType="separate"/>
            </w:r>
            <w:r w:rsidR="00A87F44" w:rsidRPr="00E80090">
              <w:rPr>
                <w:noProof/>
                <w:webHidden/>
              </w:rPr>
              <w:t>12</w:t>
            </w:r>
            <w:r w:rsidR="00A87F44" w:rsidRPr="00E80090">
              <w:rPr>
                <w:noProof/>
                <w:webHidden/>
              </w:rPr>
              <w:fldChar w:fldCharType="end"/>
            </w:r>
          </w:hyperlink>
        </w:p>
        <w:p w14:paraId="6E5841AA"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37" w:history="1">
            <w:r w:rsidR="00A87F44" w:rsidRPr="00E80090">
              <w:rPr>
                <w:rStyle w:val="Hyperlink"/>
                <w:rFonts w:asciiTheme="majorHAnsi" w:hAnsiTheme="majorHAnsi"/>
                <w:noProof/>
                <w:lang w:val="en-GB"/>
              </w:rPr>
              <w:t>3.1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Orientation and scope</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_Toc368290337 \h </w:instrText>
            </w:r>
            <w:r w:rsidR="00A87F44" w:rsidRPr="00E80090">
              <w:rPr>
                <w:noProof/>
                <w:webHidden/>
              </w:rPr>
            </w:r>
            <w:r w:rsidR="00A87F44" w:rsidRPr="00E80090">
              <w:rPr>
                <w:noProof/>
                <w:webHidden/>
              </w:rPr>
              <w:fldChar w:fldCharType="separate"/>
            </w:r>
            <w:r w:rsidR="00A87F44" w:rsidRPr="00E80090">
              <w:rPr>
                <w:noProof/>
                <w:webHidden/>
              </w:rPr>
              <w:t>12</w:t>
            </w:r>
            <w:r w:rsidR="00A87F44" w:rsidRPr="00E80090">
              <w:rPr>
                <w:noProof/>
                <w:webHidden/>
              </w:rPr>
              <w:fldChar w:fldCharType="end"/>
            </w:r>
          </w:hyperlink>
        </w:p>
        <w:p w14:paraId="6E5841AB"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38" w:history="1">
            <w:r w:rsidR="00A87F44" w:rsidRPr="00E80090">
              <w:rPr>
                <w:rStyle w:val="Hyperlink"/>
                <w:rFonts w:asciiTheme="majorHAnsi" w:hAnsiTheme="majorHAnsi"/>
                <w:noProof/>
                <w:lang w:val="en-GB"/>
              </w:rPr>
              <w:t>3.2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Data collection</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_Toc368290338 \h </w:instrText>
            </w:r>
            <w:r w:rsidR="00A87F44" w:rsidRPr="00E80090">
              <w:rPr>
                <w:noProof/>
                <w:webHidden/>
              </w:rPr>
            </w:r>
            <w:r w:rsidR="00A87F44" w:rsidRPr="00E80090">
              <w:rPr>
                <w:noProof/>
                <w:webHidden/>
              </w:rPr>
              <w:fldChar w:fldCharType="separate"/>
            </w:r>
            <w:r w:rsidR="00A87F44" w:rsidRPr="00E80090">
              <w:rPr>
                <w:noProof/>
                <w:webHidden/>
              </w:rPr>
              <w:t>12</w:t>
            </w:r>
            <w:r w:rsidR="00A87F44" w:rsidRPr="00E80090">
              <w:rPr>
                <w:noProof/>
                <w:webHidden/>
              </w:rPr>
              <w:fldChar w:fldCharType="end"/>
            </w:r>
          </w:hyperlink>
        </w:p>
        <w:p w14:paraId="6E5841AC"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39" w:history="1">
            <w:r w:rsidR="00A87F44" w:rsidRPr="00E80090">
              <w:rPr>
                <w:rStyle w:val="Hyperlink"/>
                <w:rFonts w:asciiTheme="majorHAnsi" w:hAnsiTheme="majorHAnsi"/>
                <w:noProof/>
                <w:lang w:val="en-GB"/>
              </w:rPr>
              <w:t>3.3</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Data analysis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_Toc368290339 \h </w:instrText>
            </w:r>
            <w:r w:rsidR="00A87F44" w:rsidRPr="00E80090">
              <w:rPr>
                <w:noProof/>
                <w:webHidden/>
              </w:rPr>
            </w:r>
            <w:r w:rsidR="00A87F44" w:rsidRPr="00E80090">
              <w:rPr>
                <w:noProof/>
                <w:webHidden/>
              </w:rPr>
              <w:fldChar w:fldCharType="separate"/>
            </w:r>
            <w:r w:rsidR="00A87F44" w:rsidRPr="00E80090">
              <w:rPr>
                <w:noProof/>
                <w:webHidden/>
              </w:rPr>
              <w:t>14</w:t>
            </w:r>
            <w:r w:rsidR="00A87F44" w:rsidRPr="00E80090">
              <w:rPr>
                <w:noProof/>
                <w:webHidden/>
              </w:rPr>
              <w:fldChar w:fldCharType="end"/>
            </w:r>
          </w:hyperlink>
        </w:p>
        <w:p w14:paraId="6E5841AD"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40" w:history="1">
            <w:r w:rsidR="00A87F44" w:rsidRPr="00E80090">
              <w:rPr>
                <w:rStyle w:val="Hyperlink"/>
                <w:rFonts w:asciiTheme="majorHAnsi" w:hAnsiTheme="majorHAnsi"/>
                <w:noProof/>
                <w:lang w:val="en-GB"/>
              </w:rPr>
              <w:t>3.4</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Population and sampling</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_Toc368290340 \h </w:instrText>
            </w:r>
            <w:r w:rsidR="00A87F44" w:rsidRPr="00E80090">
              <w:rPr>
                <w:noProof/>
                <w:webHidden/>
              </w:rPr>
            </w:r>
            <w:r w:rsidR="00A87F44" w:rsidRPr="00E80090">
              <w:rPr>
                <w:noProof/>
                <w:webHidden/>
              </w:rPr>
              <w:fldChar w:fldCharType="separate"/>
            </w:r>
            <w:r w:rsidR="00A87F44" w:rsidRPr="00E80090">
              <w:rPr>
                <w:noProof/>
                <w:webHidden/>
              </w:rPr>
              <w:t>14</w:t>
            </w:r>
            <w:r w:rsidR="00A87F44" w:rsidRPr="00E80090">
              <w:rPr>
                <w:noProof/>
                <w:webHidden/>
              </w:rPr>
              <w:fldChar w:fldCharType="end"/>
            </w:r>
          </w:hyperlink>
        </w:p>
        <w:p w14:paraId="6E5841AE"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41" w:history="1">
            <w:r w:rsidR="00A87F44" w:rsidRPr="00E80090">
              <w:rPr>
                <w:rStyle w:val="Hyperlink"/>
                <w:rFonts w:asciiTheme="majorHAnsi" w:hAnsiTheme="majorHAnsi"/>
                <w:noProof/>
                <w:lang w:val="en-GB"/>
              </w:rPr>
              <w:t>3.5</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Limitations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_Toc368290341 \h </w:instrText>
            </w:r>
            <w:r w:rsidR="00A87F44" w:rsidRPr="00E80090">
              <w:rPr>
                <w:noProof/>
                <w:webHidden/>
              </w:rPr>
            </w:r>
            <w:r w:rsidR="00A87F44" w:rsidRPr="00E80090">
              <w:rPr>
                <w:noProof/>
                <w:webHidden/>
              </w:rPr>
              <w:fldChar w:fldCharType="separate"/>
            </w:r>
            <w:r w:rsidR="00A87F44" w:rsidRPr="00E80090">
              <w:rPr>
                <w:noProof/>
                <w:webHidden/>
              </w:rPr>
              <w:t>14</w:t>
            </w:r>
            <w:r w:rsidR="00A87F44" w:rsidRPr="00E80090">
              <w:rPr>
                <w:noProof/>
                <w:webHidden/>
              </w:rPr>
              <w:fldChar w:fldCharType="end"/>
            </w:r>
          </w:hyperlink>
        </w:p>
        <w:p w14:paraId="6E5841AF"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42" w:history="1">
            <w:r w:rsidR="00A87F44" w:rsidRPr="00E80090">
              <w:rPr>
                <w:rStyle w:val="Hyperlink"/>
                <w:rFonts w:asciiTheme="majorHAnsi" w:hAnsiTheme="majorHAnsi"/>
                <w:noProof/>
                <w:lang w:val="en-GB"/>
              </w:rPr>
              <w:t>3.6</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Internal validity</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_Toc368290342 \h </w:instrText>
            </w:r>
            <w:r w:rsidR="00A87F44" w:rsidRPr="00E80090">
              <w:rPr>
                <w:noProof/>
                <w:webHidden/>
              </w:rPr>
            </w:r>
            <w:r w:rsidR="00A87F44" w:rsidRPr="00E80090">
              <w:rPr>
                <w:noProof/>
                <w:webHidden/>
              </w:rPr>
              <w:fldChar w:fldCharType="separate"/>
            </w:r>
            <w:r w:rsidR="00A87F44" w:rsidRPr="00E80090">
              <w:rPr>
                <w:noProof/>
                <w:webHidden/>
              </w:rPr>
              <w:t>14</w:t>
            </w:r>
            <w:r w:rsidR="00A87F44" w:rsidRPr="00E80090">
              <w:rPr>
                <w:noProof/>
                <w:webHidden/>
              </w:rPr>
              <w:fldChar w:fldCharType="end"/>
            </w:r>
          </w:hyperlink>
        </w:p>
        <w:p w14:paraId="6E5841B0"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43" w:history="1">
            <w:r w:rsidR="00A87F44" w:rsidRPr="00E80090">
              <w:rPr>
                <w:rStyle w:val="Hyperlink"/>
                <w:rFonts w:asciiTheme="majorHAnsi" w:hAnsiTheme="majorHAnsi"/>
                <w:noProof/>
                <w:lang w:val="en-GB"/>
              </w:rPr>
              <w:t>3.7</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External validity</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_Toc368290343 \h </w:instrText>
            </w:r>
            <w:r w:rsidR="00A87F44" w:rsidRPr="00E80090">
              <w:rPr>
                <w:noProof/>
                <w:webHidden/>
              </w:rPr>
            </w:r>
            <w:r w:rsidR="00A87F44" w:rsidRPr="00E80090">
              <w:rPr>
                <w:noProof/>
                <w:webHidden/>
              </w:rPr>
              <w:fldChar w:fldCharType="separate"/>
            </w:r>
            <w:r w:rsidR="00A87F44" w:rsidRPr="00E80090">
              <w:rPr>
                <w:noProof/>
                <w:webHidden/>
              </w:rPr>
              <w:t>15</w:t>
            </w:r>
            <w:r w:rsidR="00A87F44" w:rsidRPr="00E80090">
              <w:rPr>
                <w:noProof/>
                <w:webHidden/>
              </w:rPr>
              <w:fldChar w:fldCharType="end"/>
            </w:r>
          </w:hyperlink>
        </w:p>
        <w:p w14:paraId="6E5841B1"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44" w:history="1">
            <w:r w:rsidR="00A87F44" w:rsidRPr="00E80090">
              <w:rPr>
                <w:rStyle w:val="Hyperlink"/>
                <w:rFonts w:asciiTheme="majorHAnsi" w:hAnsiTheme="majorHAnsi"/>
                <w:noProof/>
                <w:lang w:val="en-GB"/>
              </w:rPr>
              <w:t>3.8</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Reliability</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_Toc368290344 \h </w:instrText>
            </w:r>
            <w:r w:rsidR="00A87F44" w:rsidRPr="00E80090">
              <w:rPr>
                <w:noProof/>
                <w:webHidden/>
              </w:rPr>
            </w:r>
            <w:r w:rsidR="00A87F44" w:rsidRPr="00E80090">
              <w:rPr>
                <w:noProof/>
                <w:webHidden/>
              </w:rPr>
              <w:fldChar w:fldCharType="separate"/>
            </w:r>
            <w:r w:rsidR="00A87F44" w:rsidRPr="00E80090">
              <w:rPr>
                <w:noProof/>
                <w:webHidden/>
              </w:rPr>
              <w:t>15</w:t>
            </w:r>
            <w:r w:rsidR="00A87F44" w:rsidRPr="00E80090">
              <w:rPr>
                <w:noProof/>
                <w:webHidden/>
              </w:rPr>
              <w:fldChar w:fldCharType="end"/>
            </w:r>
          </w:hyperlink>
        </w:p>
        <w:p w14:paraId="6E5841B2" w14:textId="77777777" w:rsidR="00A87F44" w:rsidRPr="00E80090" w:rsidRDefault="00455DB4" w:rsidP="00A87F44">
          <w:pPr>
            <w:pStyle w:val="Inhopg1"/>
            <w:tabs>
              <w:tab w:val="left" w:pos="440"/>
              <w:tab w:val="right" w:leader="dot" w:pos="9016"/>
            </w:tabs>
            <w:spacing w:line="360" w:lineRule="auto"/>
            <w:rPr>
              <w:rFonts w:asciiTheme="minorHAnsi" w:eastAsiaTheme="minorEastAsia" w:hAnsiTheme="minorHAnsi" w:cstheme="minorBidi"/>
              <w:noProof/>
              <w:sz w:val="22"/>
              <w:szCs w:val="22"/>
              <w:lang w:eastAsia="en-US"/>
            </w:rPr>
          </w:pPr>
          <w:hyperlink w:anchor="_Toc368290345" w:history="1">
            <w:r w:rsidR="00A87F44" w:rsidRPr="00E80090">
              <w:rPr>
                <w:rStyle w:val="Hyperlink"/>
                <w:rFonts w:asciiTheme="majorHAnsi" w:hAnsiTheme="majorHAnsi"/>
                <w:noProof/>
                <w:lang w:val="en-GB" w:eastAsia="en-US"/>
              </w:rPr>
              <w:t>4.</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eastAsia="en-US"/>
              </w:rPr>
              <w:t>Findings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_Toc368290345 \h </w:instrText>
            </w:r>
            <w:r w:rsidR="00A87F44" w:rsidRPr="00E80090">
              <w:rPr>
                <w:noProof/>
                <w:webHidden/>
              </w:rPr>
            </w:r>
            <w:r w:rsidR="00A87F44" w:rsidRPr="00E80090">
              <w:rPr>
                <w:noProof/>
                <w:webHidden/>
              </w:rPr>
              <w:fldChar w:fldCharType="separate"/>
            </w:r>
            <w:r w:rsidR="00A87F44" w:rsidRPr="00E80090">
              <w:rPr>
                <w:noProof/>
                <w:webHidden/>
              </w:rPr>
              <w:t>16</w:t>
            </w:r>
            <w:r w:rsidR="00A87F44" w:rsidRPr="00E80090">
              <w:rPr>
                <w:noProof/>
                <w:webHidden/>
              </w:rPr>
              <w:fldChar w:fldCharType="end"/>
            </w:r>
          </w:hyperlink>
        </w:p>
        <w:p w14:paraId="6E5841B3"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46" w:history="1">
            <w:r w:rsidR="00A87F44" w:rsidRPr="00E80090">
              <w:rPr>
                <w:rStyle w:val="Hyperlink"/>
                <w:rFonts w:asciiTheme="majorHAnsi" w:hAnsiTheme="majorHAnsi"/>
                <w:noProof/>
                <w:lang w:val="en-GB"/>
              </w:rPr>
              <w:t>4.1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General structure</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_Toc368290346 \h </w:instrText>
            </w:r>
            <w:r w:rsidR="00A87F44" w:rsidRPr="00E80090">
              <w:rPr>
                <w:noProof/>
                <w:webHidden/>
              </w:rPr>
            </w:r>
            <w:r w:rsidR="00A87F44" w:rsidRPr="00E80090">
              <w:rPr>
                <w:noProof/>
                <w:webHidden/>
              </w:rPr>
              <w:fldChar w:fldCharType="separate"/>
            </w:r>
            <w:r w:rsidR="00A87F44" w:rsidRPr="00E80090">
              <w:rPr>
                <w:noProof/>
                <w:webHidden/>
              </w:rPr>
              <w:t>16</w:t>
            </w:r>
            <w:r w:rsidR="00A87F44" w:rsidRPr="00E80090">
              <w:rPr>
                <w:noProof/>
                <w:webHidden/>
              </w:rPr>
              <w:fldChar w:fldCharType="end"/>
            </w:r>
          </w:hyperlink>
        </w:p>
        <w:p w14:paraId="6E5841B4"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47" w:history="1">
            <w:r w:rsidR="00A87F44" w:rsidRPr="00E80090">
              <w:rPr>
                <w:rStyle w:val="Hyperlink"/>
                <w:rFonts w:asciiTheme="majorHAnsi" w:hAnsiTheme="majorHAnsi"/>
                <w:noProof/>
                <w:lang w:val="en-GB"/>
              </w:rPr>
              <w:t>4.2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Objectives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_Toc368290347 \h </w:instrText>
            </w:r>
            <w:r w:rsidR="00A87F44" w:rsidRPr="00E80090">
              <w:rPr>
                <w:noProof/>
                <w:webHidden/>
              </w:rPr>
            </w:r>
            <w:r w:rsidR="00A87F44" w:rsidRPr="00E80090">
              <w:rPr>
                <w:noProof/>
                <w:webHidden/>
              </w:rPr>
              <w:fldChar w:fldCharType="separate"/>
            </w:r>
            <w:r w:rsidR="00A87F44" w:rsidRPr="00E80090">
              <w:rPr>
                <w:noProof/>
                <w:webHidden/>
              </w:rPr>
              <w:t>16</w:t>
            </w:r>
            <w:r w:rsidR="00A87F44" w:rsidRPr="00E80090">
              <w:rPr>
                <w:noProof/>
                <w:webHidden/>
              </w:rPr>
              <w:fldChar w:fldCharType="end"/>
            </w:r>
          </w:hyperlink>
        </w:p>
        <w:p w14:paraId="6E5841B5"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48" w:history="1">
            <w:r w:rsidR="00A87F44" w:rsidRPr="00E80090">
              <w:rPr>
                <w:rStyle w:val="Hyperlink"/>
                <w:rFonts w:asciiTheme="majorHAnsi" w:hAnsiTheme="majorHAnsi"/>
                <w:noProof/>
                <w:lang w:val="en-GB"/>
              </w:rPr>
              <w:t>4.3</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Products and services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_Toc368290348 \h </w:instrText>
            </w:r>
            <w:r w:rsidR="00A87F44" w:rsidRPr="00E80090">
              <w:rPr>
                <w:noProof/>
                <w:webHidden/>
              </w:rPr>
            </w:r>
            <w:r w:rsidR="00A87F44" w:rsidRPr="00E80090">
              <w:rPr>
                <w:noProof/>
                <w:webHidden/>
              </w:rPr>
              <w:fldChar w:fldCharType="separate"/>
            </w:r>
            <w:r w:rsidR="00A87F44" w:rsidRPr="00E80090">
              <w:rPr>
                <w:noProof/>
                <w:webHidden/>
              </w:rPr>
              <w:t>16</w:t>
            </w:r>
            <w:r w:rsidR="00A87F44" w:rsidRPr="00E80090">
              <w:rPr>
                <w:noProof/>
                <w:webHidden/>
              </w:rPr>
              <w:fldChar w:fldCharType="end"/>
            </w:r>
          </w:hyperlink>
        </w:p>
        <w:p w14:paraId="6E5841B6"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49" w:history="1">
            <w:r w:rsidR="00A87F44" w:rsidRPr="00E80090">
              <w:rPr>
                <w:rStyle w:val="Hyperlink"/>
                <w:rFonts w:asciiTheme="majorHAnsi" w:hAnsiTheme="majorHAnsi"/>
                <w:noProof/>
                <w:lang w:val="en-GB"/>
              </w:rPr>
              <w:t>4.3.1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Payments and collections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_Toc368290349 \h </w:instrText>
            </w:r>
            <w:r w:rsidR="00A87F44" w:rsidRPr="00E80090">
              <w:rPr>
                <w:noProof/>
                <w:webHidden/>
              </w:rPr>
            </w:r>
            <w:r w:rsidR="00A87F44" w:rsidRPr="00E80090">
              <w:rPr>
                <w:noProof/>
                <w:webHidden/>
              </w:rPr>
              <w:fldChar w:fldCharType="separate"/>
            </w:r>
            <w:r w:rsidR="00A87F44" w:rsidRPr="00E80090">
              <w:rPr>
                <w:noProof/>
                <w:webHidden/>
              </w:rPr>
              <w:t>17</w:t>
            </w:r>
            <w:r w:rsidR="00A87F44" w:rsidRPr="00E80090">
              <w:rPr>
                <w:noProof/>
                <w:webHidden/>
              </w:rPr>
              <w:fldChar w:fldCharType="end"/>
            </w:r>
          </w:hyperlink>
        </w:p>
        <w:p w14:paraId="6E5841B7"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50" w:history="1">
            <w:r w:rsidR="00A87F44" w:rsidRPr="00E80090">
              <w:rPr>
                <w:rStyle w:val="Hyperlink"/>
                <w:rFonts w:asciiTheme="majorHAnsi" w:hAnsiTheme="majorHAnsi"/>
                <w:noProof/>
                <w:lang w:val="en-GB"/>
              </w:rPr>
              <w:t>4.3.2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Payroll</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_Toc368290350 \h </w:instrText>
            </w:r>
            <w:r w:rsidR="00A87F44" w:rsidRPr="00E80090">
              <w:rPr>
                <w:noProof/>
                <w:webHidden/>
              </w:rPr>
            </w:r>
            <w:r w:rsidR="00A87F44" w:rsidRPr="00E80090">
              <w:rPr>
                <w:noProof/>
                <w:webHidden/>
              </w:rPr>
              <w:fldChar w:fldCharType="separate"/>
            </w:r>
            <w:r w:rsidR="00A87F44" w:rsidRPr="00E80090">
              <w:rPr>
                <w:noProof/>
                <w:webHidden/>
              </w:rPr>
              <w:t>18</w:t>
            </w:r>
            <w:r w:rsidR="00A87F44" w:rsidRPr="00E80090">
              <w:rPr>
                <w:noProof/>
                <w:webHidden/>
              </w:rPr>
              <w:fldChar w:fldCharType="end"/>
            </w:r>
          </w:hyperlink>
        </w:p>
        <w:p w14:paraId="6E5841B8"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51" w:history="1">
            <w:r w:rsidR="00A87F44" w:rsidRPr="00E80090">
              <w:rPr>
                <w:rStyle w:val="Hyperlink"/>
                <w:rFonts w:asciiTheme="majorHAnsi" w:hAnsiTheme="majorHAnsi"/>
                <w:noProof/>
                <w:lang w:val="en-GB"/>
              </w:rPr>
              <w:t>4.3.3</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Foreign exchange trading</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_Toc368290351 \h </w:instrText>
            </w:r>
            <w:r w:rsidR="00A87F44" w:rsidRPr="00E80090">
              <w:rPr>
                <w:noProof/>
                <w:webHidden/>
              </w:rPr>
            </w:r>
            <w:r w:rsidR="00A87F44" w:rsidRPr="00E80090">
              <w:rPr>
                <w:noProof/>
                <w:webHidden/>
              </w:rPr>
              <w:fldChar w:fldCharType="separate"/>
            </w:r>
            <w:r w:rsidR="00A87F44" w:rsidRPr="00E80090">
              <w:rPr>
                <w:noProof/>
                <w:webHidden/>
              </w:rPr>
              <w:t>18</w:t>
            </w:r>
            <w:r w:rsidR="00A87F44" w:rsidRPr="00E80090">
              <w:rPr>
                <w:noProof/>
                <w:webHidden/>
              </w:rPr>
              <w:fldChar w:fldCharType="end"/>
            </w:r>
          </w:hyperlink>
        </w:p>
        <w:p w14:paraId="6E5841B9"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52" w:history="1">
            <w:r w:rsidR="00A87F44" w:rsidRPr="00E80090">
              <w:rPr>
                <w:rStyle w:val="Hyperlink"/>
                <w:rFonts w:asciiTheme="majorHAnsi" w:hAnsiTheme="majorHAnsi"/>
                <w:noProof/>
                <w:lang w:val="en-GB"/>
              </w:rPr>
              <w:t>4.4</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Preferred banks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_Toc368290352 \h </w:instrText>
            </w:r>
            <w:r w:rsidR="00A87F44" w:rsidRPr="00E80090">
              <w:rPr>
                <w:noProof/>
                <w:webHidden/>
              </w:rPr>
            </w:r>
            <w:r w:rsidR="00A87F44" w:rsidRPr="00E80090">
              <w:rPr>
                <w:noProof/>
                <w:webHidden/>
              </w:rPr>
              <w:fldChar w:fldCharType="separate"/>
            </w:r>
            <w:r w:rsidR="00A87F44" w:rsidRPr="00E80090">
              <w:rPr>
                <w:noProof/>
                <w:webHidden/>
              </w:rPr>
              <w:t>19</w:t>
            </w:r>
            <w:r w:rsidR="00A87F44" w:rsidRPr="00E80090">
              <w:rPr>
                <w:noProof/>
                <w:webHidden/>
              </w:rPr>
              <w:fldChar w:fldCharType="end"/>
            </w:r>
          </w:hyperlink>
        </w:p>
        <w:p w14:paraId="6E5841BA"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53" w:history="1">
            <w:r w:rsidR="00A87F44" w:rsidRPr="00E80090">
              <w:rPr>
                <w:rStyle w:val="Hyperlink"/>
                <w:rFonts w:asciiTheme="majorHAnsi" w:hAnsiTheme="majorHAnsi"/>
                <w:noProof/>
                <w:lang w:val="en-GB"/>
              </w:rPr>
              <w:t>4.4.1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Citibank</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_Toc368290353 \h </w:instrText>
            </w:r>
            <w:r w:rsidR="00A87F44" w:rsidRPr="00E80090">
              <w:rPr>
                <w:noProof/>
                <w:webHidden/>
              </w:rPr>
            </w:r>
            <w:r w:rsidR="00A87F44" w:rsidRPr="00E80090">
              <w:rPr>
                <w:noProof/>
                <w:webHidden/>
              </w:rPr>
              <w:fldChar w:fldCharType="separate"/>
            </w:r>
            <w:r w:rsidR="00A87F44" w:rsidRPr="00E80090">
              <w:rPr>
                <w:noProof/>
                <w:webHidden/>
              </w:rPr>
              <w:t>19</w:t>
            </w:r>
            <w:r w:rsidR="00A87F44" w:rsidRPr="00E80090">
              <w:rPr>
                <w:noProof/>
                <w:webHidden/>
              </w:rPr>
              <w:fldChar w:fldCharType="end"/>
            </w:r>
          </w:hyperlink>
        </w:p>
        <w:p w14:paraId="6E5841BB"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54" w:history="1">
            <w:r w:rsidR="00A87F44" w:rsidRPr="00E80090">
              <w:rPr>
                <w:rStyle w:val="Hyperlink"/>
                <w:rFonts w:asciiTheme="majorHAnsi" w:hAnsiTheme="majorHAnsi"/>
                <w:noProof/>
                <w:lang w:val="en-GB"/>
              </w:rPr>
              <w:t>4.4.2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UniCredit</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_Toc368290354 \h </w:instrText>
            </w:r>
            <w:r w:rsidR="00A87F44" w:rsidRPr="00E80090">
              <w:rPr>
                <w:noProof/>
                <w:webHidden/>
              </w:rPr>
            </w:r>
            <w:r w:rsidR="00A87F44" w:rsidRPr="00E80090">
              <w:rPr>
                <w:noProof/>
                <w:webHidden/>
              </w:rPr>
              <w:fldChar w:fldCharType="separate"/>
            </w:r>
            <w:r w:rsidR="00A87F44" w:rsidRPr="00E80090">
              <w:rPr>
                <w:noProof/>
                <w:webHidden/>
              </w:rPr>
              <w:t>20</w:t>
            </w:r>
            <w:r w:rsidR="00A87F44" w:rsidRPr="00E80090">
              <w:rPr>
                <w:noProof/>
                <w:webHidden/>
              </w:rPr>
              <w:fldChar w:fldCharType="end"/>
            </w:r>
          </w:hyperlink>
        </w:p>
        <w:p w14:paraId="6E5841BC"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55" w:history="1">
            <w:r w:rsidR="00A87F44" w:rsidRPr="00E80090">
              <w:rPr>
                <w:rStyle w:val="Hyperlink"/>
                <w:rFonts w:asciiTheme="majorHAnsi" w:hAnsiTheme="majorHAnsi"/>
                <w:noProof/>
                <w:lang w:val="en-GB"/>
              </w:rPr>
              <w:t>4.5</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Cost analysis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_Toc368290355 \h </w:instrText>
            </w:r>
            <w:r w:rsidR="00A87F44" w:rsidRPr="00E80090">
              <w:rPr>
                <w:noProof/>
                <w:webHidden/>
              </w:rPr>
            </w:r>
            <w:r w:rsidR="00A87F44" w:rsidRPr="00E80090">
              <w:rPr>
                <w:noProof/>
                <w:webHidden/>
              </w:rPr>
              <w:fldChar w:fldCharType="separate"/>
            </w:r>
            <w:r w:rsidR="00A87F44" w:rsidRPr="00E80090">
              <w:rPr>
                <w:noProof/>
                <w:webHidden/>
              </w:rPr>
              <w:t>21</w:t>
            </w:r>
            <w:r w:rsidR="00A87F44" w:rsidRPr="00E80090">
              <w:rPr>
                <w:noProof/>
                <w:webHidden/>
              </w:rPr>
              <w:fldChar w:fldCharType="end"/>
            </w:r>
          </w:hyperlink>
        </w:p>
        <w:p w14:paraId="6E5841BD"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56" w:history="1">
            <w:r w:rsidR="00A87F44" w:rsidRPr="00E80090">
              <w:rPr>
                <w:rStyle w:val="Hyperlink"/>
                <w:rFonts w:asciiTheme="majorHAnsi" w:hAnsiTheme="majorHAnsi"/>
                <w:noProof/>
                <w:lang w:val="en-GB"/>
              </w:rPr>
              <w:t>4.5.1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Bulgaria</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_Toc368290356 \h </w:instrText>
            </w:r>
            <w:r w:rsidR="00A87F44" w:rsidRPr="00E80090">
              <w:rPr>
                <w:noProof/>
                <w:webHidden/>
              </w:rPr>
            </w:r>
            <w:r w:rsidR="00A87F44" w:rsidRPr="00E80090">
              <w:rPr>
                <w:noProof/>
                <w:webHidden/>
              </w:rPr>
              <w:fldChar w:fldCharType="separate"/>
            </w:r>
            <w:r w:rsidR="00A87F44" w:rsidRPr="00E80090">
              <w:rPr>
                <w:noProof/>
                <w:webHidden/>
              </w:rPr>
              <w:t>21</w:t>
            </w:r>
            <w:r w:rsidR="00A87F44" w:rsidRPr="00E80090">
              <w:rPr>
                <w:noProof/>
                <w:webHidden/>
              </w:rPr>
              <w:fldChar w:fldCharType="end"/>
            </w:r>
          </w:hyperlink>
        </w:p>
        <w:p w14:paraId="6E5841BE"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57" w:history="1">
            <w:r w:rsidR="00A87F44" w:rsidRPr="00E80090">
              <w:rPr>
                <w:rStyle w:val="Hyperlink"/>
                <w:rFonts w:asciiTheme="majorHAnsi" w:hAnsiTheme="majorHAnsi"/>
                <w:noProof/>
                <w:lang w:val="en-GB"/>
              </w:rPr>
              <w:t>4.5.2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Romania</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_Toc368290357 \h </w:instrText>
            </w:r>
            <w:r w:rsidR="00A87F44" w:rsidRPr="00E80090">
              <w:rPr>
                <w:noProof/>
                <w:webHidden/>
              </w:rPr>
            </w:r>
            <w:r w:rsidR="00A87F44" w:rsidRPr="00E80090">
              <w:rPr>
                <w:noProof/>
                <w:webHidden/>
              </w:rPr>
              <w:fldChar w:fldCharType="separate"/>
            </w:r>
            <w:r w:rsidR="00A87F44" w:rsidRPr="00E80090">
              <w:rPr>
                <w:noProof/>
                <w:webHidden/>
              </w:rPr>
              <w:t>22</w:t>
            </w:r>
            <w:r w:rsidR="00A87F44" w:rsidRPr="00E80090">
              <w:rPr>
                <w:noProof/>
                <w:webHidden/>
              </w:rPr>
              <w:fldChar w:fldCharType="end"/>
            </w:r>
          </w:hyperlink>
        </w:p>
        <w:p w14:paraId="6E5841BF"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58" w:history="1">
            <w:r w:rsidR="00A87F44" w:rsidRPr="00E80090">
              <w:rPr>
                <w:rStyle w:val="Hyperlink"/>
                <w:rFonts w:asciiTheme="majorHAnsi" w:hAnsiTheme="majorHAnsi"/>
                <w:noProof/>
                <w:lang w:val="en-GB"/>
              </w:rPr>
              <w:t>4.5.3</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Slovakia</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_Toc368290358 \h </w:instrText>
            </w:r>
            <w:r w:rsidR="00A87F44" w:rsidRPr="00E80090">
              <w:rPr>
                <w:noProof/>
                <w:webHidden/>
              </w:rPr>
            </w:r>
            <w:r w:rsidR="00A87F44" w:rsidRPr="00E80090">
              <w:rPr>
                <w:noProof/>
                <w:webHidden/>
              </w:rPr>
              <w:fldChar w:fldCharType="separate"/>
            </w:r>
            <w:r w:rsidR="00A87F44" w:rsidRPr="00E80090">
              <w:rPr>
                <w:noProof/>
                <w:webHidden/>
              </w:rPr>
              <w:t>22</w:t>
            </w:r>
            <w:r w:rsidR="00A87F44" w:rsidRPr="00E80090">
              <w:rPr>
                <w:noProof/>
                <w:webHidden/>
              </w:rPr>
              <w:fldChar w:fldCharType="end"/>
            </w:r>
          </w:hyperlink>
        </w:p>
        <w:p w14:paraId="6E5841C0"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59" w:history="1">
            <w:r w:rsidR="00A87F44" w:rsidRPr="00E80090">
              <w:rPr>
                <w:rStyle w:val="Hyperlink"/>
                <w:rFonts w:asciiTheme="majorHAnsi" w:hAnsiTheme="majorHAnsi"/>
                <w:noProof/>
                <w:lang w:val="en-GB"/>
              </w:rPr>
              <w:t>4.5.4</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Slovenia</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_Toc368290359 \h </w:instrText>
            </w:r>
            <w:r w:rsidR="00A87F44" w:rsidRPr="00E80090">
              <w:rPr>
                <w:noProof/>
                <w:webHidden/>
              </w:rPr>
            </w:r>
            <w:r w:rsidR="00A87F44" w:rsidRPr="00E80090">
              <w:rPr>
                <w:noProof/>
                <w:webHidden/>
              </w:rPr>
              <w:fldChar w:fldCharType="separate"/>
            </w:r>
            <w:r w:rsidR="00A87F44" w:rsidRPr="00E80090">
              <w:rPr>
                <w:noProof/>
                <w:webHidden/>
              </w:rPr>
              <w:t>23</w:t>
            </w:r>
            <w:r w:rsidR="00A87F44" w:rsidRPr="00E80090">
              <w:rPr>
                <w:noProof/>
                <w:webHidden/>
              </w:rPr>
              <w:fldChar w:fldCharType="end"/>
            </w:r>
          </w:hyperlink>
        </w:p>
        <w:p w14:paraId="6E5841C1"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60" w:history="1">
            <w:r w:rsidR="00A87F44" w:rsidRPr="00E80090">
              <w:rPr>
                <w:rStyle w:val="Hyperlink"/>
                <w:rFonts w:asciiTheme="majorHAnsi" w:hAnsiTheme="majorHAnsi"/>
                <w:noProof/>
                <w:lang w:val="en-GB"/>
              </w:rPr>
              <w:t>4.5.5</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Other costs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_Toc368290360 \h </w:instrText>
            </w:r>
            <w:r w:rsidR="00A87F44" w:rsidRPr="00E80090">
              <w:rPr>
                <w:noProof/>
                <w:webHidden/>
              </w:rPr>
            </w:r>
            <w:r w:rsidR="00A87F44" w:rsidRPr="00E80090">
              <w:rPr>
                <w:noProof/>
                <w:webHidden/>
              </w:rPr>
              <w:fldChar w:fldCharType="separate"/>
            </w:r>
            <w:r w:rsidR="00A87F44" w:rsidRPr="00E80090">
              <w:rPr>
                <w:noProof/>
                <w:webHidden/>
              </w:rPr>
              <w:t>24</w:t>
            </w:r>
            <w:r w:rsidR="00A87F44" w:rsidRPr="00E80090">
              <w:rPr>
                <w:noProof/>
                <w:webHidden/>
              </w:rPr>
              <w:fldChar w:fldCharType="end"/>
            </w:r>
          </w:hyperlink>
        </w:p>
        <w:p w14:paraId="6E5841C2"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61" w:history="1">
            <w:r w:rsidR="00A87F44" w:rsidRPr="00E80090">
              <w:rPr>
                <w:rStyle w:val="Hyperlink"/>
                <w:rFonts w:asciiTheme="majorHAnsi" w:hAnsiTheme="majorHAnsi"/>
                <w:noProof/>
                <w:lang w:val="en-GB"/>
              </w:rPr>
              <w:t>4.6</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Challenges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_Toc368290361 \h </w:instrText>
            </w:r>
            <w:r w:rsidR="00A87F44" w:rsidRPr="00E80090">
              <w:rPr>
                <w:noProof/>
                <w:webHidden/>
              </w:rPr>
            </w:r>
            <w:r w:rsidR="00A87F44" w:rsidRPr="00E80090">
              <w:rPr>
                <w:noProof/>
                <w:webHidden/>
              </w:rPr>
              <w:fldChar w:fldCharType="separate"/>
            </w:r>
            <w:r w:rsidR="00A87F44" w:rsidRPr="00E80090">
              <w:rPr>
                <w:noProof/>
                <w:webHidden/>
              </w:rPr>
              <w:t>24</w:t>
            </w:r>
            <w:r w:rsidR="00A87F44" w:rsidRPr="00E80090">
              <w:rPr>
                <w:noProof/>
                <w:webHidden/>
              </w:rPr>
              <w:fldChar w:fldCharType="end"/>
            </w:r>
          </w:hyperlink>
        </w:p>
        <w:p w14:paraId="6E5841C3"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62" w:history="1">
            <w:r w:rsidR="00A87F44" w:rsidRPr="00E80090">
              <w:rPr>
                <w:rStyle w:val="Hyperlink"/>
                <w:rFonts w:asciiTheme="majorHAnsi" w:hAnsiTheme="majorHAnsi"/>
                <w:noProof/>
                <w:lang w:val="en-GB"/>
              </w:rPr>
              <w:t>4.6.1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Citibank</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_Toc368290362 \h </w:instrText>
            </w:r>
            <w:r w:rsidR="00A87F44" w:rsidRPr="00E80090">
              <w:rPr>
                <w:noProof/>
                <w:webHidden/>
              </w:rPr>
            </w:r>
            <w:r w:rsidR="00A87F44" w:rsidRPr="00E80090">
              <w:rPr>
                <w:noProof/>
                <w:webHidden/>
              </w:rPr>
              <w:fldChar w:fldCharType="separate"/>
            </w:r>
            <w:r w:rsidR="00A87F44" w:rsidRPr="00E80090">
              <w:rPr>
                <w:noProof/>
                <w:webHidden/>
              </w:rPr>
              <w:t>24</w:t>
            </w:r>
            <w:r w:rsidR="00A87F44" w:rsidRPr="00E80090">
              <w:rPr>
                <w:noProof/>
                <w:webHidden/>
              </w:rPr>
              <w:fldChar w:fldCharType="end"/>
            </w:r>
          </w:hyperlink>
        </w:p>
        <w:p w14:paraId="6E5841C4"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63" w:history="1">
            <w:r w:rsidR="00A87F44" w:rsidRPr="00E80090">
              <w:rPr>
                <w:rStyle w:val="Hyperlink"/>
                <w:rFonts w:asciiTheme="majorHAnsi" w:hAnsiTheme="majorHAnsi"/>
                <w:noProof/>
                <w:lang w:val="en-GB"/>
              </w:rPr>
              <w:t>4.6.2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UniCredit</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_Toc368290363 \h </w:instrText>
            </w:r>
            <w:r w:rsidR="00A87F44" w:rsidRPr="00E80090">
              <w:rPr>
                <w:noProof/>
                <w:webHidden/>
              </w:rPr>
            </w:r>
            <w:r w:rsidR="00A87F44" w:rsidRPr="00E80090">
              <w:rPr>
                <w:noProof/>
                <w:webHidden/>
              </w:rPr>
              <w:fldChar w:fldCharType="separate"/>
            </w:r>
            <w:r w:rsidR="00A87F44" w:rsidRPr="00E80090">
              <w:rPr>
                <w:noProof/>
                <w:webHidden/>
              </w:rPr>
              <w:t>25</w:t>
            </w:r>
            <w:r w:rsidR="00A87F44" w:rsidRPr="00E80090">
              <w:rPr>
                <w:noProof/>
                <w:webHidden/>
              </w:rPr>
              <w:fldChar w:fldCharType="end"/>
            </w:r>
          </w:hyperlink>
        </w:p>
        <w:p w14:paraId="6E5841C5" w14:textId="77777777" w:rsidR="00A87F44" w:rsidRPr="00E80090" w:rsidRDefault="00455DB4" w:rsidP="00A87F44">
          <w:pPr>
            <w:pStyle w:val="Inhopg1"/>
            <w:tabs>
              <w:tab w:val="left" w:pos="440"/>
              <w:tab w:val="right" w:leader="dot" w:pos="9016"/>
            </w:tabs>
            <w:spacing w:line="360" w:lineRule="auto"/>
            <w:rPr>
              <w:rFonts w:asciiTheme="minorHAnsi" w:eastAsiaTheme="minorEastAsia" w:hAnsiTheme="minorHAnsi" w:cstheme="minorBidi"/>
              <w:noProof/>
              <w:sz w:val="22"/>
              <w:szCs w:val="22"/>
              <w:lang w:eastAsia="en-US"/>
            </w:rPr>
          </w:pPr>
          <w:hyperlink w:anchor="_Toc368290364" w:history="1">
            <w:r w:rsidR="00A87F44" w:rsidRPr="00E80090">
              <w:rPr>
                <w:rStyle w:val="Hyperlink"/>
                <w:rFonts w:asciiTheme="majorHAnsi" w:hAnsiTheme="majorHAnsi"/>
                <w:noProof/>
                <w:lang w:val="en-GB" w:eastAsia="en-US"/>
              </w:rPr>
              <w:t>5.</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eastAsia="en-US"/>
              </w:rPr>
              <w:t>Discussion</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_Toc368290364 \h </w:instrText>
            </w:r>
            <w:r w:rsidR="00A87F44" w:rsidRPr="00E80090">
              <w:rPr>
                <w:noProof/>
                <w:webHidden/>
              </w:rPr>
            </w:r>
            <w:r w:rsidR="00A87F44" w:rsidRPr="00E80090">
              <w:rPr>
                <w:noProof/>
                <w:webHidden/>
              </w:rPr>
              <w:fldChar w:fldCharType="separate"/>
            </w:r>
            <w:r w:rsidR="00A87F44" w:rsidRPr="00E80090">
              <w:rPr>
                <w:noProof/>
                <w:webHidden/>
              </w:rPr>
              <w:t>26</w:t>
            </w:r>
            <w:r w:rsidR="00A87F44" w:rsidRPr="00E80090">
              <w:rPr>
                <w:noProof/>
                <w:webHidden/>
              </w:rPr>
              <w:fldChar w:fldCharType="end"/>
            </w:r>
          </w:hyperlink>
        </w:p>
        <w:p w14:paraId="6E5841C6"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66" w:history="1">
            <w:r w:rsidR="00A87F44" w:rsidRPr="00E80090">
              <w:rPr>
                <w:rStyle w:val="Hyperlink"/>
                <w:rFonts w:asciiTheme="majorHAnsi" w:hAnsiTheme="majorHAnsi"/>
                <w:noProof/>
                <w:lang w:val="en-GB"/>
              </w:rPr>
              <w:t>5.1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Theoretical implications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_Toc368290366 \h </w:instrText>
            </w:r>
            <w:r w:rsidR="00A87F44" w:rsidRPr="00E80090">
              <w:rPr>
                <w:noProof/>
                <w:webHidden/>
              </w:rPr>
            </w:r>
            <w:r w:rsidR="00A87F44" w:rsidRPr="00E80090">
              <w:rPr>
                <w:noProof/>
                <w:webHidden/>
              </w:rPr>
              <w:fldChar w:fldCharType="separate"/>
            </w:r>
            <w:r w:rsidR="00A87F44" w:rsidRPr="00E80090">
              <w:rPr>
                <w:noProof/>
                <w:webHidden/>
              </w:rPr>
              <w:t>26</w:t>
            </w:r>
            <w:r w:rsidR="00A87F44" w:rsidRPr="00E80090">
              <w:rPr>
                <w:noProof/>
                <w:webHidden/>
              </w:rPr>
              <w:fldChar w:fldCharType="end"/>
            </w:r>
          </w:hyperlink>
        </w:p>
        <w:p w14:paraId="6E5841C7"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67" w:history="1">
            <w:r w:rsidR="00A87F44" w:rsidRPr="00E80090">
              <w:rPr>
                <w:rStyle w:val="Hyperlink"/>
                <w:rFonts w:asciiTheme="majorHAnsi" w:hAnsiTheme="majorHAnsi"/>
                <w:noProof/>
                <w:lang w:val="en-GB"/>
              </w:rPr>
              <w:t>5.2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Practical application of findings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_Toc368290367 \h </w:instrText>
            </w:r>
            <w:r w:rsidR="00A87F44" w:rsidRPr="00E80090">
              <w:rPr>
                <w:noProof/>
                <w:webHidden/>
              </w:rPr>
            </w:r>
            <w:r w:rsidR="00A87F44" w:rsidRPr="00E80090">
              <w:rPr>
                <w:noProof/>
                <w:webHidden/>
              </w:rPr>
              <w:fldChar w:fldCharType="separate"/>
            </w:r>
            <w:r w:rsidR="00A87F44" w:rsidRPr="00E80090">
              <w:rPr>
                <w:noProof/>
                <w:webHidden/>
              </w:rPr>
              <w:t>27</w:t>
            </w:r>
            <w:r w:rsidR="00A87F44" w:rsidRPr="00E80090">
              <w:rPr>
                <w:noProof/>
                <w:webHidden/>
              </w:rPr>
              <w:fldChar w:fldCharType="end"/>
            </w:r>
          </w:hyperlink>
        </w:p>
        <w:p w14:paraId="6E5841C8"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71" w:history="1">
            <w:r w:rsidR="00A87F44" w:rsidRPr="00E80090">
              <w:rPr>
                <w:rStyle w:val="Hyperlink"/>
                <w:rFonts w:asciiTheme="majorHAnsi" w:hAnsiTheme="majorHAnsi"/>
                <w:noProof/>
                <w:lang w:val="en-GB"/>
              </w:rPr>
              <w:t>5.2.1</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Payments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_Toc368290371 \h </w:instrText>
            </w:r>
            <w:r w:rsidR="00A87F44" w:rsidRPr="00E80090">
              <w:rPr>
                <w:noProof/>
                <w:webHidden/>
              </w:rPr>
            </w:r>
            <w:r w:rsidR="00A87F44" w:rsidRPr="00E80090">
              <w:rPr>
                <w:noProof/>
                <w:webHidden/>
              </w:rPr>
              <w:fldChar w:fldCharType="separate"/>
            </w:r>
            <w:r w:rsidR="00A87F44" w:rsidRPr="00E80090">
              <w:rPr>
                <w:noProof/>
                <w:webHidden/>
              </w:rPr>
              <w:t>27</w:t>
            </w:r>
            <w:r w:rsidR="00A87F44" w:rsidRPr="00E80090">
              <w:rPr>
                <w:noProof/>
                <w:webHidden/>
              </w:rPr>
              <w:fldChar w:fldCharType="end"/>
            </w:r>
          </w:hyperlink>
        </w:p>
        <w:p w14:paraId="6E5841C9"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72" w:history="1">
            <w:r w:rsidR="00A87F44" w:rsidRPr="00E80090">
              <w:rPr>
                <w:rStyle w:val="Hyperlink"/>
                <w:rFonts w:asciiTheme="majorHAnsi" w:hAnsiTheme="majorHAnsi"/>
                <w:noProof/>
                <w:lang w:val="en-GB"/>
              </w:rPr>
              <w:t>5.2.2</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FX exposure solution</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_Toc368290372 \h </w:instrText>
            </w:r>
            <w:r w:rsidR="00A87F44" w:rsidRPr="00E80090">
              <w:rPr>
                <w:noProof/>
                <w:webHidden/>
              </w:rPr>
            </w:r>
            <w:r w:rsidR="00A87F44" w:rsidRPr="00E80090">
              <w:rPr>
                <w:noProof/>
                <w:webHidden/>
              </w:rPr>
              <w:fldChar w:fldCharType="separate"/>
            </w:r>
            <w:r w:rsidR="00A87F44" w:rsidRPr="00E80090">
              <w:rPr>
                <w:noProof/>
                <w:webHidden/>
              </w:rPr>
              <w:t>29</w:t>
            </w:r>
            <w:r w:rsidR="00A87F44" w:rsidRPr="00E80090">
              <w:rPr>
                <w:noProof/>
                <w:webHidden/>
              </w:rPr>
              <w:fldChar w:fldCharType="end"/>
            </w:r>
          </w:hyperlink>
        </w:p>
        <w:p w14:paraId="6E5841CA"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73" w:history="1">
            <w:r w:rsidR="00A87F44" w:rsidRPr="00E80090">
              <w:rPr>
                <w:rStyle w:val="Hyperlink"/>
                <w:rFonts w:asciiTheme="majorHAnsi" w:hAnsiTheme="majorHAnsi"/>
                <w:noProof/>
                <w:lang w:val="en-GB"/>
              </w:rPr>
              <w:t>5.2.3</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Pricing negotiation</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_Toc368290373 \h </w:instrText>
            </w:r>
            <w:r w:rsidR="00A87F44" w:rsidRPr="00E80090">
              <w:rPr>
                <w:noProof/>
                <w:webHidden/>
              </w:rPr>
            </w:r>
            <w:r w:rsidR="00A87F44" w:rsidRPr="00E80090">
              <w:rPr>
                <w:noProof/>
                <w:webHidden/>
              </w:rPr>
              <w:fldChar w:fldCharType="separate"/>
            </w:r>
            <w:r w:rsidR="00A87F44" w:rsidRPr="00E80090">
              <w:rPr>
                <w:noProof/>
                <w:webHidden/>
              </w:rPr>
              <w:t>30</w:t>
            </w:r>
            <w:r w:rsidR="00A87F44" w:rsidRPr="00E80090">
              <w:rPr>
                <w:noProof/>
                <w:webHidden/>
              </w:rPr>
              <w:fldChar w:fldCharType="end"/>
            </w:r>
          </w:hyperlink>
        </w:p>
        <w:p w14:paraId="6E5841CB" w14:textId="77777777" w:rsidR="00A87F44" w:rsidRPr="00E80090" w:rsidRDefault="00455DB4" w:rsidP="00A87F44">
          <w:pPr>
            <w:pStyle w:val="Inhopg2"/>
            <w:tabs>
              <w:tab w:val="left" w:pos="1100"/>
              <w:tab w:val="right" w:leader="dot" w:pos="9016"/>
            </w:tabs>
            <w:spacing w:line="360" w:lineRule="auto"/>
            <w:rPr>
              <w:rFonts w:asciiTheme="minorHAnsi" w:eastAsiaTheme="minorEastAsia" w:hAnsiTheme="minorHAnsi" w:cstheme="minorBidi"/>
              <w:noProof/>
              <w:sz w:val="22"/>
              <w:szCs w:val="22"/>
              <w:lang w:eastAsia="en-US"/>
            </w:rPr>
          </w:pPr>
          <w:hyperlink w:anchor="_Toc368290374" w:history="1">
            <w:r w:rsidR="00A87F44" w:rsidRPr="00E80090">
              <w:rPr>
                <w:rStyle w:val="Hyperlink"/>
                <w:rFonts w:asciiTheme="majorHAnsi" w:hAnsiTheme="majorHAnsi"/>
                <w:noProof/>
                <w:lang w:val="en-GB"/>
              </w:rPr>
              <w:t>5.2.4</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System</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_Toc368290374 \h </w:instrText>
            </w:r>
            <w:r w:rsidR="00A87F44" w:rsidRPr="00E80090">
              <w:rPr>
                <w:noProof/>
                <w:webHidden/>
              </w:rPr>
            </w:r>
            <w:r w:rsidR="00A87F44" w:rsidRPr="00E80090">
              <w:rPr>
                <w:noProof/>
                <w:webHidden/>
              </w:rPr>
              <w:fldChar w:fldCharType="separate"/>
            </w:r>
            <w:r w:rsidR="00A87F44" w:rsidRPr="00E80090">
              <w:rPr>
                <w:noProof/>
                <w:webHidden/>
              </w:rPr>
              <w:t>30</w:t>
            </w:r>
            <w:r w:rsidR="00A87F44" w:rsidRPr="00E80090">
              <w:rPr>
                <w:noProof/>
                <w:webHidden/>
              </w:rPr>
              <w:fldChar w:fldCharType="end"/>
            </w:r>
          </w:hyperlink>
        </w:p>
        <w:p w14:paraId="6E5841CC"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75" w:history="1">
            <w:r w:rsidR="00A87F44" w:rsidRPr="00E80090">
              <w:rPr>
                <w:rStyle w:val="Hyperlink"/>
                <w:rFonts w:asciiTheme="majorHAnsi" w:hAnsiTheme="majorHAnsi"/>
                <w:noProof/>
                <w:lang w:val="en-GB"/>
              </w:rPr>
              <w:t>5.3</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Possible conflicts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_Toc368290375 \h </w:instrText>
            </w:r>
            <w:r w:rsidR="00A87F44" w:rsidRPr="00E80090">
              <w:rPr>
                <w:noProof/>
                <w:webHidden/>
              </w:rPr>
            </w:r>
            <w:r w:rsidR="00A87F44" w:rsidRPr="00E80090">
              <w:rPr>
                <w:noProof/>
                <w:webHidden/>
              </w:rPr>
              <w:fldChar w:fldCharType="separate"/>
            </w:r>
            <w:r w:rsidR="00A87F44" w:rsidRPr="00E80090">
              <w:rPr>
                <w:noProof/>
                <w:webHidden/>
              </w:rPr>
              <w:t>30</w:t>
            </w:r>
            <w:r w:rsidR="00A87F44" w:rsidRPr="00E80090">
              <w:rPr>
                <w:noProof/>
                <w:webHidden/>
              </w:rPr>
              <w:fldChar w:fldCharType="end"/>
            </w:r>
          </w:hyperlink>
        </w:p>
        <w:p w14:paraId="6E5841CD"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76" w:history="1">
            <w:r w:rsidR="00A87F44" w:rsidRPr="00E80090">
              <w:rPr>
                <w:rStyle w:val="Hyperlink"/>
                <w:rFonts w:asciiTheme="majorHAnsi" w:hAnsiTheme="majorHAnsi"/>
                <w:noProof/>
                <w:lang w:val="en-GB"/>
              </w:rPr>
              <w:t>5.4</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Timeframe</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_Toc368290376 \h </w:instrText>
            </w:r>
            <w:r w:rsidR="00A87F44" w:rsidRPr="00E80090">
              <w:rPr>
                <w:noProof/>
                <w:webHidden/>
              </w:rPr>
            </w:r>
            <w:r w:rsidR="00A87F44" w:rsidRPr="00E80090">
              <w:rPr>
                <w:noProof/>
                <w:webHidden/>
              </w:rPr>
              <w:fldChar w:fldCharType="separate"/>
            </w:r>
            <w:r w:rsidR="00A87F44" w:rsidRPr="00E80090">
              <w:rPr>
                <w:noProof/>
                <w:webHidden/>
              </w:rPr>
              <w:t>31</w:t>
            </w:r>
            <w:r w:rsidR="00A87F44" w:rsidRPr="00E80090">
              <w:rPr>
                <w:noProof/>
                <w:webHidden/>
              </w:rPr>
              <w:fldChar w:fldCharType="end"/>
            </w:r>
          </w:hyperlink>
        </w:p>
        <w:p w14:paraId="6E5841CE" w14:textId="77777777" w:rsidR="00A87F44" w:rsidRPr="00E80090" w:rsidRDefault="00455DB4" w:rsidP="00A87F44">
          <w:pPr>
            <w:pStyle w:val="Inhopg2"/>
            <w:tabs>
              <w:tab w:val="left" w:pos="880"/>
              <w:tab w:val="right" w:leader="dot" w:pos="9016"/>
            </w:tabs>
            <w:spacing w:line="360" w:lineRule="auto"/>
            <w:rPr>
              <w:rFonts w:asciiTheme="minorHAnsi" w:eastAsiaTheme="minorEastAsia" w:hAnsiTheme="minorHAnsi" w:cstheme="minorBidi"/>
              <w:noProof/>
              <w:sz w:val="22"/>
              <w:szCs w:val="22"/>
              <w:lang w:eastAsia="en-US"/>
            </w:rPr>
          </w:pPr>
          <w:hyperlink w:anchor="_Toc368290377" w:history="1">
            <w:r w:rsidR="00A87F44" w:rsidRPr="00E80090">
              <w:rPr>
                <w:rStyle w:val="Hyperlink"/>
                <w:rFonts w:asciiTheme="majorHAnsi" w:hAnsiTheme="majorHAnsi"/>
                <w:noProof/>
                <w:lang w:val="en-GB"/>
              </w:rPr>
              <w:t>5.5</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rPr>
              <w:t>Suggestions for further research</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_Toc368290377 \h </w:instrText>
            </w:r>
            <w:r w:rsidR="00A87F44" w:rsidRPr="00E80090">
              <w:rPr>
                <w:noProof/>
                <w:webHidden/>
              </w:rPr>
            </w:r>
            <w:r w:rsidR="00A87F44" w:rsidRPr="00E80090">
              <w:rPr>
                <w:noProof/>
                <w:webHidden/>
              </w:rPr>
              <w:fldChar w:fldCharType="separate"/>
            </w:r>
            <w:r w:rsidR="00A87F44" w:rsidRPr="00E80090">
              <w:rPr>
                <w:noProof/>
                <w:webHidden/>
              </w:rPr>
              <w:t>32</w:t>
            </w:r>
            <w:r w:rsidR="00A87F44" w:rsidRPr="00E80090">
              <w:rPr>
                <w:noProof/>
                <w:webHidden/>
              </w:rPr>
              <w:fldChar w:fldCharType="end"/>
            </w:r>
          </w:hyperlink>
        </w:p>
        <w:p w14:paraId="6E5841CF" w14:textId="77777777" w:rsidR="00A87F44" w:rsidRPr="00E80090" w:rsidRDefault="00455DB4" w:rsidP="00A87F44">
          <w:pPr>
            <w:pStyle w:val="Inhopg1"/>
            <w:tabs>
              <w:tab w:val="left" w:pos="440"/>
              <w:tab w:val="right" w:leader="dot" w:pos="9016"/>
            </w:tabs>
            <w:spacing w:line="360" w:lineRule="auto"/>
            <w:rPr>
              <w:rFonts w:asciiTheme="minorHAnsi" w:eastAsiaTheme="minorEastAsia" w:hAnsiTheme="minorHAnsi" w:cstheme="minorBidi"/>
              <w:noProof/>
              <w:sz w:val="22"/>
              <w:szCs w:val="22"/>
              <w:lang w:eastAsia="en-US"/>
            </w:rPr>
          </w:pPr>
          <w:hyperlink w:anchor="_Toc368290378" w:history="1">
            <w:r w:rsidR="00A87F44" w:rsidRPr="00E80090">
              <w:rPr>
                <w:rStyle w:val="Hyperlink"/>
                <w:rFonts w:asciiTheme="majorHAnsi" w:hAnsiTheme="majorHAnsi"/>
                <w:noProof/>
                <w:lang w:val="en-GB" w:eastAsia="en-US"/>
              </w:rPr>
              <w:t>6.</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eastAsia="en-US"/>
              </w:rPr>
              <w:t>Recommendations</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_Toc368290378 \h </w:instrText>
            </w:r>
            <w:r w:rsidR="00A87F44" w:rsidRPr="00E80090">
              <w:rPr>
                <w:noProof/>
                <w:webHidden/>
              </w:rPr>
            </w:r>
            <w:r w:rsidR="00A87F44" w:rsidRPr="00E80090">
              <w:rPr>
                <w:noProof/>
                <w:webHidden/>
              </w:rPr>
              <w:fldChar w:fldCharType="separate"/>
            </w:r>
            <w:r w:rsidR="00A87F44" w:rsidRPr="00E80090">
              <w:rPr>
                <w:noProof/>
                <w:webHidden/>
              </w:rPr>
              <w:t>33</w:t>
            </w:r>
            <w:r w:rsidR="00A87F44" w:rsidRPr="00E80090">
              <w:rPr>
                <w:noProof/>
                <w:webHidden/>
              </w:rPr>
              <w:fldChar w:fldCharType="end"/>
            </w:r>
          </w:hyperlink>
        </w:p>
        <w:p w14:paraId="6E5841D0" w14:textId="77777777" w:rsidR="00A87F44" w:rsidRPr="00E80090" w:rsidRDefault="00455DB4" w:rsidP="00A87F44">
          <w:pPr>
            <w:pStyle w:val="Inhopg1"/>
            <w:tabs>
              <w:tab w:val="left" w:pos="440"/>
              <w:tab w:val="right" w:leader="dot" w:pos="9016"/>
            </w:tabs>
            <w:spacing w:line="360" w:lineRule="auto"/>
            <w:rPr>
              <w:rFonts w:asciiTheme="minorHAnsi" w:eastAsiaTheme="minorEastAsia" w:hAnsiTheme="minorHAnsi" w:cstheme="minorBidi"/>
              <w:noProof/>
              <w:sz w:val="22"/>
              <w:szCs w:val="22"/>
              <w:lang w:eastAsia="en-US"/>
            </w:rPr>
          </w:pPr>
          <w:hyperlink w:anchor="_Toc368290379" w:history="1">
            <w:r w:rsidR="00A87F44" w:rsidRPr="00E80090">
              <w:rPr>
                <w:rStyle w:val="Hyperlink"/>
                <w:rFonts w:asciiTheme="majorHAnsi" w:hAnsiTheme="majorHAnsi"/>
                <w:noProof/>
                <w:lang w:val="en-GB" w:eastAsia="en-US"/>
              </w:rPr>
              <w:t>7.</w:t>
            </w:r>
            <w:r w:rsidR="00A87F44" w:rsidRPr="00E80090">
              <w:rPr>
                <w:rFonts w:asciiTheme="minorHAnsi" w:eastAsiaTheme="minorEastAsia" w:hAnsiTheme="minorHAnsi" w:cstheme="minorBidi"/>
                <w:noProof/>
                <w:sz w:val="22"/>
                <w:szCs w:val="22"/>
                <w:lang w:eastAsia="en-US"/>
              </w:rPr>
              <w:tab/>
            </w:r>
            <w:r w:rsidR="00A87F44" w:rsidRPr="00E80090">
              <w:rPr>
                <w:rStyle w:val="Hyperlink"/>
                <w:rFonts w:asciiTheme="majorHAnsi" w:hAnsiTheme="majorHAnsi"/>
                <w:noProof/>
                <w:lang w:val="en-GB" w:eastAsia="en-US"/>
              </w:rPr>
              <w:t>Conclusion</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_Toc368290379 \h </w:instrText>
            </w:r>
            <w:r w:rsidR="00A87F44" w:rsidRPr="00E80090">
              <w:rPr>
                <w:noProof/>
                <w:webHidden/>
              </w:rPr>
            </w:r>
            <w:r w:rsidR="00A87F44" w:rsidRPr="00E80090">
              <w:rPr>
                <w:noProof/>
                <w:webHidden/>
              </w:rPr>
              <w:fldChar w:fldCharType="separate"/>
            </w:r>
            <w:r w:rsidR="00A87F44" w:rsidRPr="00E80090">
              <w:rPr>
                <w:noProof/>
                <w:webHidden/>
              </w:rPr>
              <w:t>35</w:t>
            </w:r>
            <w:r w:rsidR="00A87F44" w:rsidRPr="00E80090">
              <w:rPr>
                <w:noProof/>
                <w:webHidden/>
              </w:rPr>
              <w:fldChar w:fldCharType="end"/>
            </w:r>
          </w:hyperlink>
        </w:p>
        <w:p w14:paraId="6E5841D1" w14:textId="77777777" w:rsidR="00A87F44" w:rsidRPr="00E80090" w:rsidRDefault="00455DB4" w:rsidP="00A87F44">
          <w:pPr>
            <w:pStyle w:val="Inhopg1"/>
            <w:tabs>
              <w:tab w:val="right" w:leader="dot" w:pos="9016"/>
            </w:tabs>
            <w:spacing w:line="360" w:lineRule="auto"/>
            <w:rPr>
              <w:rFonts w:asciiTheme="minorHAnsi" w:eastAsiaTheme="minorEastAsia" w:hAnsiTheme="minorHAnsi" w:cstheme="minorBidi"/>
              <w:noProof/>
              <w:sz w:val="22"/>
              <w:szCs w:val="22"/>
              <w:lang w:eastAsia="en-US"/>
            </w:rPr>
          </w:pPr>
          <w:hyperlink w:anchor="_Toc368290380" w:history="1">
            <w:r w:rsidR="00A87F44" w:rsidRPr="00E80090">
              <w:rPr>
                <w:rStyle w:val="Hyperlink"/>
                <w:rFonts w:asciiTheme="majorHAnsi" w:hAnsiTheme="majorHAnsi"/>
                <w:noProof/>
                <w:lang w:val="en-GB"/>
              </w:rPr>
              <w:t>Bibliography</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_Toc368290380 \h </w:instrText>
            </w:r>
            <w:r w:rsidR="00A87F44" w:rsidRPr="00E80090">
              <w:rPr>
                <w:noProof/>
                <w:webHidden/>
              </w:rPr>
            </w:r>
            <w:r w:rsidR="00A87F44" w:rsidRPr="00E80090">
              <w:rPr>
                <w:noProof/>
                <w:webHidden/>
              </w:rPr>
              <w:fldChar w:fldCharType="separate"/>
            </w:r>
            <w:r w:rsidR="00A87F44" w:rsidRPr="00E80090">
              <w:rPr>
                <w:noProof/>
                <w:webHidden/>
              </w:rPr>
              <w:t>36</w:t>
            </w:r>
            <w:r w:rsidR="00A87F44" w:rsidRPr="00E80090">
              <w:rPr>
                <w:noProof/>
                <w:webHidden/>
              </w:rPr>
              <w:fldChar w:fldCharType="end"/>
            </w:r>
          </w:hyperlink>
        </w:p>
        <w:p w14:paraId="6E5841D2" w14:textId="77777777" w:rsidR="00A87F44" w:rsidRPr="00E80090" w:rsidRDefault="00455DB4" w:rsidP="00A87F44">
          <w:pPr>
            <w:pStyle w:val="Inhopg1"/>
            <w:tabs>
              <w:tab w:val="right" w:leader="dot" w:pos="9016"/>
            </w:tabs>
            <w:spacing w:line="360" w:lineRule="auto"/>
            <w:rPr>
              <w:rFonts w:asciiTheme="minorHAnsi" w:eastAsiaTheme="minorEastAsia" w:hAnsiTheme="minorHAnsi" w:cstheme="minorBidi"/>
              <w:noProof/>
              <w:sz w:val="22"/>
              <w:szCs w:val="22"/>
              <w:lang w:eastAsia="en-US"/>
            </w:rPr>
          </w:pPr>
          <w:hyperlink w:anchor="_Toc368290381" w:history="1">
            <w:r w:rsidR="00A87F44" w:rsidRPr="00E80090">
              <w:rPr>
                <w:rStyle w:val="Hyperlink"/>
                <w:rFonts w:asciiTheme="majorHAnsi" w:hAnsiTheme="majorHAnsi"/>
                <w:noProof/>
                <w:lang w:val="en-GB" w:eastAsia="en-US"/>
              </w:rPr>
              <w:t>Appendix 1</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_Toc368290381 \h </w:instrText>
            </w:r>
            <w:r w:rsidR="00A87F44" w:rsidRPr="00E80090">
              <w:rPr>
                <w:noProof/>
                <w:webHidden/>
              </w:rPr>
            </w:r>
            <w:r w:rsidR="00A87F44" w:rsidRPr="00E80090">
              <w:rPr>
                <w:noProof/>
                <w:webHidden/>
              </w:rPr>
              <w:fldChar w:fldCharType="separate"/>
            </w:r>
            <w:r w:rsidR="00A87F44" w:rsidRPr="00E80090">
              <w:rPr>
                <w:noProof/>
                <w:webHidden/>
              </w:rPr>
              <w:t>38</w:t>
            </w:r>
            <w:r w:rsidR="00A87F44" w:rsidRPr="00E80090">
              <w:rPr>
                <w:noProof/>
                <w:webHidden/>
              </w:rPr>
              <w:fldChar w:fldCharType="end"/>
            </w:r>
          </w:hyperlink>
        </w:p>
        <w:p w14:paraId="6E5841D3" w14:textId="77777777" w:rsidR="00A87F44" w:rsidRPr="00E80090" w:rsidRDefault="00455DB4" w:rsidP="00A87F44">
          <w:pPr>
            <w:pStyle w:val="Inhopg1"/>
            <w:tabs>
              <w:tab w:val="right" w:leader="dot" w:pos="9016"/>
            </w:tabs>
            <w:spacing w:line="360" w:lineRule="auto"/>
            <w:rPr>
              <w:rFonts w:asciiTheme="minorHAnsi" w:eastAsiaTheme="minorEastAsia" w:hAnsiTheme="minorHAnsi" w:cstheme="minorBidi"/>
              <w:noProof/>
              <w:sz w:val="22"/>
              <w:szCs w:val="22"/>
              <w:lang w:eastAsia="en-US"/>
            </w:rPr>
          </w:pPr>
          <w:hyperlink w:anchor="_Toc368290382" w:history="1">
            <w:r w:rsidR="00A87F44" w:rsidRPr="00E80090">
              <w:rPr>
                <w:rStyle w:val="Hyperlink"/>
                <w:rFonts w:asciiTheme="majorHAnsi" w:hAnsiTheme="majorHAnsi"/>
                <w:noProof/>
                <w:lang w:val="en-GB" w:eastAsia="en-US"/>
              </w:rPr>
              <w:t>Appendix 2</w:t>
            </w:r>
            <w:r w:rsidR="00A87F44" w:rsidRPr="00E80090">
              <w:rPr>
                <w:noProof/>
                <w:webHidden/>
              </w:rPr>
              <w:tab/>
            </w:r>
            <w:r w:rsidR="00A87F44" w:rsidRPr="00E80090">
              <w:rPr>
                <w:noProof/>
                <w:webHidden/>
              </w:rPr>
              <w:fldChar w:fldCharType="begin"/>
            </w:r>
            <w:r w:rsidR="00A87F44" w:rsidRPr="00E80090">
              <w:rPr>
                <w:noProof/>
                <w:webHidden/>
              </w:rPr>
              <w:instrText xml:space="preserve"> PAGEREF _Toc368290382 \h </w:instrText>
            </w:r>
            <w:r w:rsidR="00A87F44" w:rsidRPr="00E80090">
              <w:rPr>
                <w:noProof/>
                <w:webHidden/>
              </w:rPr>
            </w:r>
            <w:r w:rsidR="00A87F44" w:rsidRPr="00E80090">
              <w:rPr>
                <w:noProof/>
                <w:webHidden/>
              </w:rPr>
              <w:fldChar w:fldCharType="separate"/>
            </w:r>
            <w:r w:rsidR="00A87F44" w:rsidRPr="00E80090">
              <w:rPr>
                <w:noProof/>
                <w:webHidden/>
              </w:rPr>
              <w:t>39</w:t>
            </w:r>
            <w:r w:rsidR="00A87F44" w:rsidRPr="00E80090">
              <w:rPr>
                <w:noProof/>
                <w:webHidden/>
              </w:rPr>
              <w:fldChar w:fldCharType="end"/>
            </w:r>
          </w:hyperlink>
        </w:p>
        <w:p w14:paraId="6E5841D4" w14:textId="77777777" w:rsidR="00236D47" w:rsidRPr="00E80090" w:rsidRDefault="00236D47" w:rsidP="00A87F44">
          <w:pPr>
            <w:spacing w:line="360" w:lineRule="auto"/>
            <w:rPr>
              <w:rFonts w:asciiTheme="majorHAnsi" w:hAnsiTheme="majorHAnsi"/>
              <w:lang w:val="en-GB"/>
            </w:rPr>
          </w:pPr>
          <w:r w:rsidRPr="00E80090">
            <w:rPr>
              <w:rFonts w:asciiTheme="majorHAnsi" w:hAnsiTheme="majorHAnsi"/>
              <w:b/>
              <w:bCs/>
              <w:lang w:val="en-GB"/>
            </w:rPr>
            <w:fldChar w:fldCharType="end"/>
          </w:r>
        </w:p>
      </w:sdtContent>
    </w:sdt>
    <w:p w14:paraId="6E5841D5" w14:textId="77777777" w:rsidR="00822F2F" w:rsidRPr="00E80090" w:rsidRDefault="00236D47" w:rsidP="00236D47">
      <w:pPr>
        <w:pStyle w:val="Inhopg1"/>
        <w:tabs>
          <w:tab w:val="left" w:pos="7646"/>
        </w:tabs>
        <w:spacing w:line="360" w:lineRule="auto"/>
        <w:rPr>
          <w:rFonts w:asciiTheme="majorHAnsi" w:hAnsiTheme="majorHAnsi"/>
          <w:lang w:val="en-GB"/>
        </w:rPr>
      </w:pPr>
      <w:r w:rsidRPr="00E80090">
        <w:rPr>
          <w:rFonts w:asciiTheme="majorHAnsi" w:hAnsiTheme="majorHAnsi"/>
          <w:b/>
          <w:bCs/>
          <w:lang w:val="en-GB"/>
        </w:rPr>
        <w:tab/>
      </w:r>
    </w:p>
    <w:p w14:paraId="6E5841D6" w14:textId="77777777" w:rsidR="007F359D" w:rsidRPr="00E80090" w:rsidRDefault="007F359D">
      <w:pPr>
        <w:rPr>
          <w:rFonts w:asciiTheme="majorHAnsi" w:hAnsiTheme="majorHAnsi"/>
          <w:lang w:val="en-GB" w:eastAsia="en-US"/>
        </w:rPr>
      </w:pPr>
    </w:p>
    <w:p w14:paraId="6E5841D7" w14:textId="77777777" w:rsidR="007F359D" w:rsidRPr="00E80090" w:rsidRDefault="007F359D">
      <w:pPr>
        <w:rPr>
          <w:rFonts w:asciiTheme="majorHAnsi" w:hAnsiTheme="majorHAnsi" w:cs="Cambria"/>
          <w:b/>
          <w:bCs/>
          <w:color w:val="365F91"/>
          <w:sz w:val="28"/>
          <w:szCs w:val="28"/>
          <w:lang w:val="en-GB" w:eastAsia="en-US"/>
        </w:rPr>
      </w:pPr>
      <w:r w:rsidRPr="00E80090">
        <w:rPr>
          <w:rFonts w:asciiTheme="majorHAnsi" w:hAnsiTheme="majorHAnsi"/>
          <w:lang w:val="en-GB" w:eastAsia="en-US"/>
        </w:rPr>
        <w:br w:type="page"/>
      </w:r>
    </w:p>
    <w:p w14:paraId="6E5841D8" w14:textId="77777777" w:rsidR="00001664" w:rsidRPr="00E80090" w:rsidRDefault="0061143A" w:rsidP="0061143A">
      <w:pPr>
        <w:pStyle w:val="Kop1"/>
        <w:rPr>
          <w:rFonts w:asciiTheme="majorHAnsi" w:hAnsiTheme="majorHAnsi"/>
          <w:lang w:val="en-GB" w:eastAsia="en-US"/>
        </w:rPr>
      </w:pPr>
      <w:bookmarkStart w:id="6" w:name="_Toc360633008"/>
      <w:bookmarkStart w:id="7" w:name="_Toc368290333"/>
      <w:r w:rsidRPr="00E80090">
        <w:rPr>
          <w:rFonts w:asciiTheme="majorHAnsi" w:hAnsiTheme="majorHAnsi"/>
          <w:lang w:val="en-GB" w:eastAsia="en-US"/>
        </w:rPr>
        <w:lastRenderedPageBreak/>
        <w:t>Glossary</w:t>
      </w:r>
      <w:bookmarkEnd w:id="3"/>
      <w:bookmarkEnd w:id="4"/>
      <w:bookmarkEnd w:id="5"/>
      <w:bookmarkEnd w:id="6"/>
      <w:bookmarkEnd w:id="7"/>
    </w:p>
    <w:p w14:paraId="6E5841D9" w14:textId="77777777" w:rsidR="0061143A" w:rsidRPr="00E80090" w:rsidRDefault="0061143A" w:rsidP="0090792F">
      <w:pPr>
        <w:spacing w:line="276" w:lineRule="auto"/>
        <w:rPr>
          <w:rFonts w:asciiTheme="majorHAnsi" w:hAnsiTheme="majorHAnsi"/>
          <w:lang w:val="en-GB" w:eastAsia="en-US"/>
        </w:rPr>
      </w:pPr>
    </w:p>
    <w:p w14:paraId="6E5841DA" w14:textId="77777777" w:rsidR="00A50AB6" w:rsidRPr="00E80090" w:rsidRDefault="00A50AB6" w:rsidP="0090792F">
      <w:pPr>
        <w:spacing w:line="276" w:lineRule="auto"/>
        <w:rPr>
          <w:rFonts w:asciiTheme="majorHAnsi" w:hAnsiTheme="majorHAnsi"/>
          <w:lang w:val="en-GB" w:eastAsia="en-US"/>
        </w:rPr>
      </w:pPr>
      <w:r w:rsidRPr="00E80090">
        <w:rPr>
          <w:rFonts w:asciiTheme="majorHAnsi" w:hAnsiTheme="majorHAnsi"/>
          <w:lang w:val="en-GB" w:eastAsia="en-US"/>
        </w:rPr>
        <w:t>ATM</w:t>
      </w:r>
      <w:r w:rsidRPr="00E80090">
        <w:rPr>
          <w:rFonts w:asciiTheme="majorHAnsi" w:hAnsiTheme="majorHAnsi"/>
          <w:lang w:val="en-GB" w:eastAsia="en-US"/>
        </w:rPr>
        <w:tab/>
      </w:r>
      <w:r w:rsidRPr="00E80090">
        <w:rPr>
          <w:rFonts w:asciiTheme="majorHAnsi" w:hAnsiTheme="majorHAnsi"/>
          <w:lang w:val="en-GB" w:eastAsia="en-US"/>
        </w:rPr>
        <w:tab/>
      </w:r>
      <w:r w:rsidRPr="00E80090">
        <w:rPr>
          <w:rFonts w:asciiTheme="majorHAnsi" w:hAnsiTheme="majorHAnsi"/>
          <w:lang w:val="en-GB" w:eastAsia="en-US"/>
        </w:rPr>
        <w:tab/>
        <w:t>Automated teller machine, cash dispenser</w:t>
      </w:r>
    </w:p>
    <w:p w14:paraId="6E5841DB" w14:textId="77777777" w:rsidR="00A50AB6" w:rsidRPr="00E80090" w:rsidRDefault="00A50AB6" w:rsidP="0090792F">
      <w:pPr>
        <w:spacing w:line="276" w:lineRule="auto"/>
        <w:rPr>
          <w:rFonts w:asciiTheme="majorHAnsi" w:hAnsiTheme="majorHAnsi"/>
          <w:lang w:val="en-GB" w:eastAsia="en-US"/>
        </w:rPr>
      </w:pPr>
    </w:p>
    <w:p w14:paraId="6E5841DC" w14:textId="77777777" w:rsidR="000B5ABC" w:rsidRPr="00E80090" w:rsidRDefault="00316E45" w:rsidP="0090792F">
      <w:pPr>
        <w:spacing w:line="276" w:lineRule="auto"/>
        <w:rPr>
          <w:rFonts w:asciiTheme="majorHAnsi" w:hAnsiTheme="majorHAnsi"/>
          <w:lang w:val="en-GB" w:eastAsia="en-US"/>
        </w:rPr>
      </w:pPr>
      <w:r w:rsidRPr="00E80090">
        <w:rPr>
          <w:rFonts w:asciiTheme="majorHAnsi" w:hAnsiTheme="majorHAnsi"/>
          <w:lang w:val="en-GB" w:eastAsia="en-US"/>
        </w:rPr>
        <w:t>BGN</w:t>
      </w:r>
      <w:r w:rsidRPr="00E80090">
        <w:rPr>
          <w:rFonts w:asciiTheme="majorHAnsi" w:hAnsiTheme="majorHAnsi"/>
          <w:lang w:val="en-GB" w:eastAsia="en-US"/>
        </w:rPr>
        <w:tab/>
      </w:r>
      <w:r w:rsidR="00380AA9" w:rsidRPr="00E80090">
        <w:rPr>
          <w:rFonts w:asciiTheme="majorHAnsi" w:hAnsiTheme="majorHAnsi"/>
          <w:lang w:val="en-GB" w:eastAsia="en-US"/>
        </w:rPr>
        <w:t xml:space="preserve"> </w:t>
      </w:r>
      <w:r w:rsidRPr="00E80090">
        <w:rPr>
          <w:rFonts w:asciiTheme="majorHAnsi" w:hAnsiTheme="majorHAnsi"/>
          <w:lang w:val="en-GB" w:eastAsia="en-US"/>
        </w:rPr>
        <w:tab/>
      </w:r>
      <w:r w:rsidR="002E3F41" w:rsidRPr="00E80090">
        <w:rPr>
          <w:rFonts w:asciiTheme="majorHAnsi" w:hAnsiTheme="majorHAnsi"/>
          <w:lang w:val="en-GB" w:eastAsia="en-US"/>
        </w:rPr>
        <w:tab/>
      </w:r>
      <w:r w:rsidR="00380AA9" w:rsidRPr="00E80090">
        <w:rPr>
          <w:rFonts w:asciiTheme="majorHAnsi" w:hAnsiTheme="majorHAnsi"/>
          <w:lang w:val="en-GB" w:eastAsia="en-US"/>
        </w:rPr>
        <w:t>Bulgarian new lev</w:t>
      </w:r>
      <w:r w:rsidR="00F30F7B" w:rsidRPr="00E80090">
        <w:rPr>
          <w:rFonts w:asciiTheme="majorHAnsi" w:hAnsiTheme="majorHAnsi"/>
          <w:lang w:val="en-GB" w:eastAsia="en-US"/>
        </w:rPr>
        <w:t xml:space="preserve"> is the currency of Bulgaria</w:t>
      </w:r>
    </w:p>
    <w:p w14:paraId="6E5841DD" w14:textId="77777777" w:rsidR="000B5ABC" w:rsidRPr="00E80090" w:rsidRDefault="000B5ABC" w:rsidP="0090792F">
      <w:pPr>
        <w:spacing w:line="276" w:lineRule="auto"/>
        <w:rPr>
          <w:rFonts w:asciiTheme="majorHAnsi" w:hAnsiTheme="majorHAnsi"/>
          <w:lang w:val="en-GB" w:eastAsia="en-US"/>
        </w:rPr>
      </w:pPr>
    </w:p>
    <w:p w14:paraId="6E5841DE" w14:textId="77777777" w:rsidR="0061143A" w:rsidRPr="00E80090" w:rsidRDefault="00316E45" w:rsidP="0090792F">
      <w:pPr>
        <w:spacing w:line="276" w:lineRule="auto"/>
        <w:rPr>
          <w:rFonts w:asciiTheme="majorHAnsi" w:hAnsiTheme="majorHAnsi"/>
          <w:lang w:val="en-GB" w:eastAsia="en-US"/>
        </w:rPr>
      </w:pPr>
      <w:r w:rsidRPr="00E80090">
        <w:rPr>
          <w:rFonts w:asciiTheme="majorHAnsi" w:hAnsiTheme="majorHAnsi"/>
          <w:lang w:val="en-GB" w:eastAsia="en-US"/>
        </w:rPr>
        <w:t>CEE</w:t>
      </w:r>
      <w:r w:rsidRPr="00E80090">
        <w:rPr>
          <w:rFonts w:asciiTheme="majorHAnsi" w:hAnsiTheme="majorHAnsi"/>
          <w:lang w:val="en-GB" w:eastAsia="en-US"/>
        </w:rPr>
        <w:tab/>
      </w:r>
      <w:r w:rsidRPr="00E80090">
        <w:rPr>
          <w:rFonts w:asciiTheme="majorHAnsi" w:hAnsiTheme="majorHAnsi"/>
          <w:lang w:val="en-GB" w:eastAsia="en-US"/>
        </w:rPr>
        <w:tab/>
      </w:r>
      <w:r w:rsidR="002E3F41" w:rsidRPr="00E80090">
        <w:rPr>
          <w:rFonts w:asciiTheme="majorHAnsi" w:hAnsiTheme="majorHAnsi"/>
          <w:lang w:val="en-GB" w:eastAsia="en-US"/>
        </w:rPr>
        <w:tab/>
      </w:r>
      <w:r w:rsidR="0061143A" w:rsidRPr="00E80090">
        <w:rPr>
          <w:rFonts w:asciiTheme="majorHAnsi" w:hAnsiTheme="majorHAnsi"/>
          <w:lang w:val="en-GB" w:eastAsia="en-US"/>
        </w:rPr>
        <w:t>Central and Eastern Europe</w:t>
      </w:r>
    </w:p>
    <w:p w14:paraId="6E5841DF" w14:textId="77777777" w:rsidR="00FA4527" w:rsidRPr="00E80090" w:rsidRDefault="00FA4527" w:rsidP="0090792F">
      <w:pPr>
        <w:spacing w:line="276" w:lineRule="auto"/>
        <w:rPr>
          <w:rFonts w:asciiTheme="majorHAnsi" w:hAnsiTheme="majorHAnsi"/>
          <w:lang w:val="en-GB" w:eastAsia="en-US"/>
        </w:rPr>
      </w:pPr>
    </w:p>
    <w:p w14:paraId="6E5841E0" w14:textId="77777777" w:rsidR="00FA4527" w:rsidRPr="00E80090" w:rsidRDefault="00316E45" w:rsidP="0090792F">
      <w:pPr>
        <w:spacing w:line="276" w:lineRule="auto"/>
        <w:rPr>
          <w:rFonts w:asciiTheme="majorHAnsi" w:hAnsiTheme="majorHAnsi"/>
          <w:lang w:val="en-GB" w:eastAsia="en-US"/>
        </w:rPr>
      </w:pPr>
      <w:r w:rsidRPr="00E80090">
        <w:rPr>
          <w:rFonts w:asciiTheme="majorHAnsi" w:hAnsiTheme="majorHAnsi"/>
          <w:lang w:val="en-GB" w:eastAsia="en-US"/>
        </w:rPr>
        <w:t>CitiDirect</w:t>
      </w:r>
      <w:r w:rsidRPr="00E80090">
        <w:rPr>
          <w:rFonts w:asciiTheme="majorHAnsi" w:hAnsiTheme="majorHAnsi"/>
          <w:lang w:val="en-GB" w:eastAsia="en-US"/>
        </w:rPr>
        <w:tab/>
      </w:r>
      <w:r w:rsidR="002E3F41" w:rsidRPr="00E80090">
        <w:rPr>
          <w:rFonts w:asciiTheme="majorHAnsi" w:hAnsiTheme="majorHAnsi"/>
          <w:lang w:val="en-GB" w:eastAsia="en-US"/>
        </w:rPr>
        <w:tab/>
      </w:r>
      <w:r w:rsidR="00FA4527" w:rsidRPr="00E80090">
        <w:rPr>
          <w:rFonts w:asciiTheme="majorHAnsi" w:hAnsiTheme="majorHAnsi"/>
          <w:lang w:val="en-GB" w:eastAsia="en-US"/>
        </w:rPr>
        <w:t xml:space="preserve"> The name of the online banking platform of Citibank</w:t>
      </w:r>
    </w:p>
    <w:p w14:paraId="6E5841E1" w14:textId="77777777" w:rsidR="00FA4527" w:rsidRPr="00E80090" w:rsidRDefault="00FA4527" w:rsidP="0090792F">
      <w:pPr>
        <w:spacing w:line="276" w:lineRule="auto"/>
        <w:rPr>
          <w:rFonts w:asciiTheme="majorHAnsi" w:hAnsiTheme="majorHAnsi"/>
          <w:lang w:val="en-GB" w:eastAsia="en-US"/>
        </w:rPr>
      </w:pPr>
    </w:p>
    <w:p w14:paraId="6E5841E2" w14:textId="77777777" w:rsidR="00FA4527" w:rsidRPr="00E80090" w:rsidRDefault="00FA4527" w:rsidP="002E3F41">
      <w:pPr>
        <w:spacing w:line="276" w:lineRule="auto"/>
        <w:ind w:left="2160" w:hanging="2160"/>
        <w:rPr>
          <w:rFonts w:asciiTheme="majorHAnsi" w:hAnsiTheme="majorHAnsi"/>
          <w:lang w:val="en-GB" w:eastAsia="en-US"/>
        </w:rPr>
      </w:pPr>
      <w:r w:rsidRPr="00E80090">
        <w:rPr>
          <w:rFonts w:asciiTheme="majorHAnsi" w:hAnsiTheme="majorHAnsi"/>
          <w:lang w:val="en-GB" w:eastAsia="en-US"/>
        </w:rPr>
        <w:t xml:space="preserve">CitiPulse: </w:t>
      </w:r>
      <w:r w:rsidR="00316E45" w:rsidRPr="00E80090">
        <w:rPr>
          <w:rFonts w:asciiTheme="majorHAnsi" w:hAnsiTheme="majorHAnsi"/>
          <w:lang w:val="en-GB" w:eastAsia="en-US"/>
        </w:rPr>
        <w:tab/>
      </w:r>
      <w:r w:rsidRPr="00E80090">
        <w:rPr>
          <w:rFonts w:asciiTheme="majorHAnsi" w:hAnsiTheme="majorHAnsi"/>
          <w:lang w:val="en-GB" w:eastAsia="en-US"/>
        </w:rPr>
        <w:t xml:space="preserve">The name of the foreign exchange </w:t>
      </w:r>
      <w:r w:rsidR="0019296D" w:rsidRPr="00E80090">
        <w:rPr>
          <w:rFonts w:asciiTheme="majorHAnsi" w:hAnsiTheme="majorHAnsi"/>
          <w:lang w:val="en-GB" w:eastAsia="en-US"/>
        </w:rPr>
        <w:t xml:space="preserve">trading </w:t>
      </w:r>
      <w:r w:rsidRPr="00E80090">
        <w:rPr>
          <w:rFonts w:asciiTheme="majorHAnsi" w:hAnsiTheme="majorHAnsi"/>
          <w:lang w:val="en-GB" w:eastAsia="en-US"/>
        </w:rPr>
        <w:t>platform of Citibank</w:t>
      </w:r>
      <w:r w:rsidR="0090792F" w:rsidRPr="00E80090">
        <w:rPr>
          <w:rFonts w:asciiTheme="majorHAnsi" w:hAnsiTheme="majorHAnsi"/>
          <w:lang w:val="en-GB" w:eastAsia="en-US"/>
        </w:rPr>
        <w:t xml:space="preserve"> (see Trading platform)</w:t>
      </w:r>
    </w:p>
    <w:p w14:paraId="6E5841E3" w14:textId="77777777" w:rsidR="0061143A" w:rsidRPr="00E80090" w:rsidRDefault="0061143A" w:rsidP="0090792F">
      <w:pPr>
        <w:spacing w:line="276" w:lineRule="auto"/>
        <w:rPr>
          <w:rFonts w:asciiTheme="majorHAnsi" w:hAnsiTheme="majorHAnsi"/>
          <w:lang w:val="en-GB" w:eastAsia="en-US"/>
        </w:rPr>
      </w:pPr>
    </w:p>
    <w:p w14:paraId="6E5841E4" w14:textId="77777777" w:rsidR="00166FF3" w:rsidRPr="00E80090" w:rsidRDefault="006673C1" w:rsidP="002E3F41">
      <w:pPr>
        <w:spacing w:line="276" w:lineRule="auto"/>
        <w:ind w:left="2160" w:hanging="2160"/>
        <w:rPr>
          <w:rFonts w:asciiTheme="majorHAnsi" w:hAnsiTheme="majorHAnsi"/>
          <w:lang w:val="en-GB" w:eastAsia="en-US"/>
        </w:rPr>
      </w:pPr>
      <w:r w:rsidRPr="00E80090">
        <w:rPr>
          <w:rFonts w:asciiTheme="majorHAnsi" w:hAnsiTheme="majorHAnsi"/>
          <w:lang w:val="en-GB" w:eastAsia="en-US"/>
        </w:rPr>
        <w:t>Direct debit</w:t>
      </w:r>
      <w:r w:rsidRPr="00E80090">
        <w:rPr>
          <w:rFonts w:asciiTheme="majorHAnsi" w:hAnsiTheme="majorHAnsi"/>
          <w:lang w:val="en-GB" w:eastAsia="en-US"/>
        </w:rPr>
        <w:tab/>
        <w:t>F</w:t>
      </w:r>
      <w:r w:rsidR="0090792F" w:rsidRPr="00E80090">
        <w:rPr>
          <w:rFonts w:asciiTheme="majorHAnsi" w:hAnsiTheme="majorHAnsi"/>
          <w:lang w:val="en-GB" w:eastAsia="en-US"/>
        </w:rPr>
        <w:t>inancial transaction in which one person withdraws funds from another person's bank account.</w:t>
      </w:r>
    </w:p>
    <w:p w14:paraId="6E5841E5" w14:textId="77777777" w:rsidR="00166FF3" w:rsidRPr="00E80090" w:rsidRDefault="00166FF3" w:rsidP="0090792F">
      <w:pPr>
        <w:spacing w:line="276" w:lineRule="auto"/>
        <w:rPr>
          <w:rFonts w:asciiTheme="majorHAnsi" w:hAnsiTheme="majorHAnsi"/>
          <w:lang w:val="en-GB" w:eastAsia="en-US"/>
        </w:rPr>
      </w:pPr>
    </w:p>
    <w:p w14:paraId="6E5841E6" w14:textId="77777777" w:rsidR="00EE436E" w:rsidRPr="00E80090" w:rsidRDefault="00EE436E" w:rsidP="0090792F">
      <w:pPr>
        <w:spacing w:line="276" w:lineRule="auto"/>
        <w:rPr>
          <w:rFonts w:asciiTheme="majorHAnsi" w:hAnsiTheme="majorHAnsi"/>
          <w:lang w:val="en-GB" w:eastAsia="en-US"/>
        </w:rPr>
      </w:pPr>
      <w:r w:rsidRPr="00E80090">
        <w:rPr>
          <w:rFonts w:asciiTheme="majorHAnsi" w:hAnsiTheme="majorHAnsi"/>
          <w:lang w:val="en-GB" w:eastAsia="en-US"/>
        </w:rPr>
        <w:t>EFT</w:t>
      </w:r>
      <w:r w:rsidR="00316E45" w:rsidRPr="00E80090">
        <w:rPr>
          <w:rFonts w:asciiTheme="majorHAnsi" w:hAnsiTheme="majorHAnsi"/>
          <w:lang w:val="en-GB" w:eastAsia="en-US"/>
        </w:rPr>
        <w:tab/>
      </w:r>
      <w:r w:rsidR="00316E45" w:rsidRPr="00E80090">
        <w:rPr>
          <w:rFonts w:asciiTheme="majorHAnsi" w:hAnsiTheme="majorHAnsi"/>
          <w:lang w:val="en-GB" w:eastAsia="en-US"/>
        </w:rPr>
        <w:tab/>
      </w:r>
      <w:r w:rsidR="002E3F41" w:rsidRPr="00E80090">
        <w:rPr>
          <w:rFonts w:asciiTheme="majorHAnsi" w:hAnsiTheme="majorHAnsi"/>
          <w:lang w:val="en-GB" w:eastAsia="en-US"/>
        </w:rPr>
        <w:tab/>
      </w:r>
      <w:r w:rsidRPr="00E80090">
        <w:rPr>
          <w:rFonts w:asciiTheme="majorHAnsi" w:hAnsiTheme="majorHAnsi"/>
          <w:lang w:val="en-GB" w:eastAsia="en-US"/>
        </w:rPr>
        <w:t xml:space="preserve"> Electronic funds transfer</w:t>
      </w:r>
    </w:p>
    <w:p w14:paraId="6E5841E7" w14:textId="77777777" w:rsidR="00EE436E" w:rsidRPr="00E80090" w:rsidRDefault="00EE436E" w:rsidP="0090792F">
      <w:pPr>
        <w:spacing w:line="276" w:lineRule="auto"/>
        <w:rPr>
          <w:rFonts w:asciiTheme="majorHAnsi" w:hAnsiTheme="majorHAnsi"/>
          <w:lang w:val="en-GB" w:eastAsia="en-US"/>
        </w:rPr>
      </w:pPr>
    </w:p>
    <w:p w14:paraId="6E5841E8" w14:textId="77777777" w:rsidR="0033130E" w:rsidRPr="00E80090" w:rsidRDefault="0033130E" w:rsidP="002E3F41">
      <w:pPr>
        <w:spacing w:line="276" w:lineRule="auto"/>
        <w:ind w:left="2160" w:hanging="2160"/>
        <w:rPr>
          <w:rFonts w:asciiTheme="majorHAnsi" w:hAnsiTheme="majorHAnsi"/>
          <w:lang w:val="en-GB" w:eastAsia="en-US"/>
        </w:rPr>
      </w:pPr>
      <w:r w:rsidRPr="00E80090">
        <w:rPr>
          <w:rFonts w:asciiTheme="majorHAnsi" w:hAnsiTheme="majorHAnsi"/>
          <w:lang w:val="en-GB" w:eastAsia="en-US"/>
        </w:rPr>
        <w:t>ERP</w:t>
      </w:r>
      <w:r w:rsidR="00316E45" w:rsidRPr="00E80090">
        <w:rPr>
          <w:rFonts w:asciiTheme="majorHAnsi" w:hAnsiTheme="majorHAnsi"/>
          <w:lang w:val="en-GB" w:eastAsia="en-US"/>
        </w:rPr>
        <w:tab/>
        <w:t>E</w:t>
      </w:r>
      <w:r w:rsidRPr="00E80090">
        <w:rPr>
          <w:rFonts w:asciiTheme="majorHAnsi" w:hAnsiTheme="majorHAnsi"/>
          <w:lang w:val="en-GB" w:eastAsia="en-US"/>
        </w:rPr>
        <w:t>nterprise resource planning</w:t>
      </w:r>
      <w:r w:rsidR="00F30F7B" w:rsidRPr="00E80090">
        <w:rPr>
          <w:rFonts w:asciiTheme="majorHAnsi" w:hAnsiTheme="majorHAnsi"/>
          <w:lang w:val="en-GB" w:eastAsia="en-US"/>
        </w:rPr>
        <w:t>; s</w:t>
      </w:r>
      <w:r w:rsidR="003B3171" w:rsidRPr="00E80090">
        <w:rPr>
          <w:rFonts w:asciiTheme="majorHAnsi" w:hAnsiTheme="majorHAnsi"/>
          <w:lang w:val="en-GB" w:eastAsia="en-US"/>
        </w:rPr>
        <w:t>uch systems integrate internal and external management of information across an entire organization</w:t>
      </w:r>
      <w:r w:rsidR="00316E45" w:rsidRPr="00E80090">
        <w:rPr>
          <w:rFonts w:asciiTheme="majorHAnsi" w:hAnsiTheme="majorHAnsi"/>
          <w:lang w:val="en-GB" w:eastAsia="en-US"/>
        </w:rPr>
        <w:t>.</w:t>
      </w:r>
    </w:p>
    <w:p w14:paraId="6E5841E9" w14:textId="77777777" w:rsidR="004A10B5" w:rsidRPr="00E80090" w:rsidRDefault="004A10B5" w:rsidP="0090792F">
      <w:pPr>
        <w:spacing w:line="276" w:lineRule="auto"/>
        <w:rPr>
          <w:rFonts w:asciiTheme="majorHAnsi" w:hAnsiTheme="majorHAnsi"/>
          <w:lang w:val="en-GB" w:eastAsia="en-US"/>
        </w:rPr>
      </w:pPr>
    </w:p>
    <w:p w14:paraId="6E5841EA" w14:textId="77777777" w:rsidR="00163636" w:rsidRPr="00E80090" w:rsidRDefault="00316E45" w:rsidP="0090792F">
      <w:pPr>
        <w:spacing w:line="276" w:lineRule="auto"/>
        <w:rPr>
          <w:rFonts w:asciiTheme="majorHAnsi" w:hAnsiTheme="majorHAnsi"/>
          <w:lang w:val="en-GB" w:eastAsia="en-US"/>
        </w:rPr>
      </w:pPr>
      <w:r w:rsidRPr="00E80090">
        <w:rPr>
          <w:rFonts w:asciiTheme="majorHAnsi" w:hAnsiTheme="majorHAnsi"/>
          <w:lang w:val="en-GB" w:eastAsia="en-US"/>
        </w:rPr>
        <w:t xml:space="preserve">FCY </w:t>
      </w:r>
      <w:r w:rsidRPr="00E80090">
        <w:rPr>
          <w:rFonts w:asciiTheme="majorHAnsi" w:hAnsiTheme="majorHAnsi"/>
          <w:lang w:val="en-GB" w:eastAsia="en-US"/>
        </w:rPr>
        <w:tab/>
      </w:r>
      <w:r w:rsidRPr="00E80090">
        <w:rPr>
          <w:rFonts w:asciiTheme="majorHAnsi" w:hAnsiTheme="majorHAnsi"/>
          <w:lang w:val="en-GB" w:eastAsia="en-US"/>
        </w:rPr>
        <w:tab/>
      </w:r>
      <w:r w:rsidR="002E3F41" w:rsidRPr="00E80090">
        <w:rPr>
          <w:rFonts w:asciiTheme="majorHAnsi" w:hAnsiTheme="majorHAnsi"/>
          <w:lang w:val="en-GB" w:eastAsia="en-US"/>
        </w:rPr>
        <w:tab/>
      </w:r>
      <w:r w:rsidRPr="00E80090">
        <w:rPr>
          <w:rFonts w:asciiTheme="majorHAnsi" w:hAnsiTheme="majorHAnsi"/>
          <w:lang w:val="en-GB" w:eastAsia="en-US"/>
        </w:rPr>
        <w:t>F</w:t>
      </w:r>
      <w:r w:rsidR="00163636" w:rsidRPr="00E80090">
        <w:rPr>
          <w:rFonts w:asciiTheme="majorHAnsi" w:hAnsiTheme="majorHAnsi"/>
          <w:lang w:val="en-GB" w:eastAsia="en-US"/>
        </w:rPr>
        <w:t>oreign currency</w:t>
      </w:r>
    </w:p>
    <w:p w14:paraId="6E5841EB" w14:textId="77777777" w:rsidR="00163636" w:rsidRPr="00E80090" w:rsidRDefault="00163636" w:rsidP="0090792F">
      <w:pPr>
        <w:spacing w:line="276" w:lineRule="auto"/>
        <w:rPr>
          <w:rFonts w:asciiTheme="majorHAnsi" w:hAnsiTheme="majorHAnsi"/>
          <w:lang w:val="en-GB" w:eastAsia="en-US"/>
        </w:rPr>
      </w:pPr>
    </w:p>
    <w:p w14:paraId="6E5841EC" w14:textId="77777777" w:rsidR="00527EE0" w:rsidRPr="00E80090" w:rsidRDefault="00316E45" w:rsidP="0090792F">
      <w:pPr>
        <w:spacing w:line="276" w:lineRule="auto"/>
        <w:rPr>
          <w:rFonts w:asciiTheme="majorHAnsi" w:hAnsiTheme="majorHAnsi"/>
          <w:lang w:val="en-GB" w:eastAsia="en-US"/>
        </w:rPr>
      </w:pPr>
      <w:r w:rsidRPr="00E80090">
        <w:rPr>
          <w:rFonts w:asciiTheme="majorHAnsi" w:hAnsiTheme="majorHAnsi"/>
          <w:lang w:val="en-GB" w:eastAsia="en-US"/>
        </w:rPr>
        <w:t>FX</w:t>
      </w:r>
      <w:r w:rsidRPr="00E80090">
        <w:rPr>
          <w:rFonts w:asciiTheme="majorHAnsi" w:hAnsiTheme="majorHAnsi"/>
          <w:lang w:val="en-GB" w:eastAsia="en-US"/>
        </w:rPr>
        <w:tab/>
      </w:r>
      <w:r w:rsidRPr="00E80090">
        <w:rPr>
          <w:rFonts w:asciiTheme="majorHAnsi" w:hAnsiTheme="majorHAnsi"/>
          <w:lang w:val="en-GB" w:eastAsia="en-US"/>
        </w:rPr>
        <w:tab/>
      </w:r>
      <w:r w:rsidR="002E3F41" w:rsidRPr="00E80090">
        <w:rPr>
          <w:rFonts w:asciiTheme="majorHAnsi" w:hAnsiTheme="majorHAnsi"/>
          <w:lang w:val="en-GB" w:eastAsia="en-US"/>
        </w:rPr>
        <w:tab/>
      </w:r>
      <w:r w:rsidR="006673C1" w:rsidRPr="00E80090">
        <w:rPr>
          <w:rFonts w:asciiTheme="majorHAnsi" w:hAnsiTheme="majorHAnsi"/>
          <w:lang w:val="en-GB" w:eastAsia="en-US"/>
        </w:rPr>
        <w:t>F</w:t>
      </w:r>
      <w:r w:rsidR="00527EE0" w:rsidRPr="00E80090">
        <w:rPr>
          <w:rFonts w:asciiTheme="majorHAnsi" w:hAnsiTheme="majorHAnsi"/>
          <w:lang w:val="en-GB" w:eastAsia="en-US"/>
        </w:rPr>
        <w:t>oreign exchange</w:t>
      </w:r>
    </w:p>
    <w:p w14:paraId="6E5841ED" w14:textId="77777777" w:rsidR="00166FF3" w:rsidRPr="00E80090" w:rsidRDefault="00166FF3" w:rsidP="0090792F">
      <w:pPr>
        <w:spacing w:line="276" w:lineRule="auto"/>
        <w:rPr>
          <w:rFonts w:asciiTheme="majorHAnsi" w:hAnsiTheme="majorHAnsi"/>
          <w:lang w:val="en-GB" w:eastAsia="en-US"/>
        </w:rPr>
      </w:pPr>
    </w:p>
    <w:p w14:paraId="6E5841EE" w14:textId="77777777" w:rsidR="00166FF3" w:rsidRPr="00E80090" w:rsidRDefault="002E3F41" w:rsidP="002E3F41">
      <w:pPr>
        <w:spacing w:line="276" w:lineRule="auto"/>
        <w:ind w:left="2160" w:hanging="2160"/>
        <w:rPr>
          <w:rFonts w:asciiTheme="majorHAnsi" w:hAnsiTheme="majorHAnsi"/>
          <w:lang w:val="en-GB" w:eastAsia="en-US"/>
        </w:rPr>
      </w:pPr>
      <w:r w:rsidRPr="00E80090">
        <w:rPr>
          <w:rFonts w:asciiTheme="majorHAnsi" w:hAnsiTheme="majorHAnsi"/>
          <w:lang w:val="en-GB" w:eastAsia="en-US"/>
        </w:rPr>
        <w:t>FXall</w:t>
      </w:r>
      <w:r w:rsidRPr="00E80090">
        <w:rPr>
          <w:rFonts w:asciiTheme="majorHAnsi" w:hAnsiTheme="majorHAnsi"/>
          <w:lang w:val="en-GB" w:eastAsia="en-US"/>
        </w:rPr>
        <w:tab/>
      </w:r>
      <w:r w:rsidR="00166FF3" w:rsidRPr="00E80090">
        <w:rPr>
          <w:rFonts w:asciiTheme="majorHAnsi" w:hAnsiTheme="majorHAnsi"/>
          <w:lang w:val="en-GB" w:eastAsia="en-US"/>
        </w:rPr>
        <w:t>A multi-bank foreign exchange trading platform</w:t>
      </w:r>
      <w:r w:rsidR="0090792F" w:rsidRPr="00E80090">
        <w:rPr>
          <w:rFonts w:asciiTheme="majorHAnsi" w:hAnsiTheme="majorHAnsi"/>
          <w:lang w:val="en-GB" w:eastAsia="en-US"/>
        </w:rPr>
        <w:t xml:space="preserve"> (see Trading platform)</w:t>
      </w:r>
    </w:p>
    <w:p w14:paraId="6E5841EF" w14:textId="77777777" w:rsidR="002E3F41" w:rsidRPr="00E80090" w:rsidRDefault="002E3F41" w:rsidP="0090792F">
      <w:pPr>
        <w:spacing w:line="276" w:lineRule="auto"/>
        <w:rPr>
          <w:rFonts w:asciiTheme="majorHAnsi" w:hAnsiTheme="majorHAnsi"/>
          <w:lang w:val="en-GB" w:eastAsia="en-US"/>
        </w:rPr>
      </w:pPr>
    </w:p>
    <w:p w14:paraId="6E5841F0" w14:textId="77777777" w:rsidR="002E3F41" w:rsidRPr="00E80090" w:rsidRDefault="002E3F41" w:rsidP="00DA6EE7">
      <w:pPr>
        <w:spacing w:line="276" w:lineRule="auto"/>
        <w:ind w:left="2160" w:hanging="2160"/>
        <w:rPr>
          <w:rFonts w:asciiTheme="majorHAnsi" w:hAnsiTheme="majorHAnsi"/>
          <w:lang w:val="en-GB" w:eastAsia="en-US"/>
        </w:rPr>
      </w:pPr>
      <w:r w:rsidRPr="00E80090">
        <w:rPr>
          <w:rFonts w:asciiTheme="majorHAnsi" w:hAnsiTheme="majorHAnsi" w:cs="Cambria"/>
          <w:lang w:val="en-GB" w:eastAsia="en-US"/>
        </w:rPr>
        <w:t>Petty cash</w:t>
      </w:r>
      <w:r w:rsidRPr="00E80090">
        <w:rPr>
          <w:rFonts w:asciiTheme="majorHAnsi" w:hAnsiTheme="majorHAnsi" w:cs="Cambria"/>
          <w:lang w:val="en-GB" w:eastAsia="en-US"/>
        </w:rPr>
        <w:tab/>
      </w:r>
      <w:r w:rsidR="00DA6EE7" w:rsidRPr="00E80090">
        <w:rPr>
          <w:rFonts w:asciiTheme="majorHAnsi" w:hAnsiTheme="majorHAnsi" w:cs="Cambria"/>
          <w:lang w:val="en-GB" w:eastAsia="en-US"/>
        </w:rPr>
        <w:t>A small cash fund kept on a firm's premises for the payment of minor incidental expenses</w:t>
      </w:r>
    </w:p>
    <w:p w14:paraId="6E5841F1" w14:textId="77777777" w:rsidR="008C130E" w:rsidRPr="00E80090" w:rsidRDefault="008C130E" w:rsidP="0090792F">
      <w:pPr>
        <w:spacing w:line="276" w:lineRule="auto"/>
        <w:rPr>
          <w:rFonts w:asciiTheme="majorHAnsi" w:hAnsiTheme="majorHAnsi"/>
          <w:lang w:val="en-GB" w:eastAsia="en-US"/>
        </w:rPr>
      </w:pPr>
    </w:p>
    <w:p w14:paraId="6E5841F2" w14:textId="77777777" w:rsidR="000B5ABC" w:rsidRPr="00E80090" w:rsidRDefault="00316E45" w:rsidP="0090792F">
      <w:pPr>
        <w:spacing w:line="276" w:lineRule="auto"/>
        <w:rPr>
          <w:rFonts w:asciiTheme="majorHAnsi" w:hAnsiTheme="majorHAnsi"/>
          <w:lang w:val="en-GB" w:eastAsia="en-US"/>
        </w:rPr>
      </w:pPr>
      <w:r w:rsidRPr="00E80090">
        <w:rPr>
          <w:rFonts w:asciiTheme="majorHAnsi" w:hAnsiTheme="majorHAnsi"/>
          <w:lang w:val="en-GB" w:eastAsia="en-US"/>
        </w:rPr>
        <w:t>RON</w:t>
      </w:r>
      <w:r w:rsidRPr="00E80090">
        <w:rPr>
          <w:rFonts w:asciiTheme="majorHAnsi" w:hAnsiTheme="majorHAnsi"/>
          <w:lang w:val="en-GB" w:eastAsia="en-US"/>
        </w:rPr>
        <w:tab/>
      </w:r>
      <w:r w:rsidRPr="00E80090">
        <w:rPr>
          <w:rFonts w:asciiTheme="majorHAnsi" w:hAnsiTheme="majorHAnsi"/>
          <w:lang w:val="en-GB" w:eastAsia="en-US"/>
        </w:rPr>
        <w:tab/>
      </w:r>
      <w:r w:rsidR="002E3F41" w:rsidRPr="00E80090">
        <w:rPr>
          <w:rFonts w:asciiTheme="majorHAnsi" w:hAnsiTheme="majorHAnsi"/>
          <w:lang w:val="en-GB" w:eastAsia="en-US"/>
        </w:rPr>
        <w:tab/>
      </w:r>
      <w:r w:rsidR="000B5ABC" w:rsidRPr="00E80090">
        <w:rPr>
          <w:rFonts w:asciiTheme="majorHAnsi" w:hAnsiTheme="majorHAnsi"/>
          <w:lang w:val="en-GB" w:eastAsia="en-US"/>
        </w:rPr>
        <w:t>Romanian new le</w:t>
      </w:r>
      <w:r w:rsidR="00B323F0" w:rsidRPr="00E80090">
        <w:rPr>
          <w:rFonts w:asciiTheme="majorHAnsi" w:hAnsiTheme="majorHAnsi"/>
          <w:lang w:val="en-GB" w:eastAsia="en-US"/>
        </w:rPr>
        <w:t>i</w:t>
      </w:r>
      <w:r w:rsidR="00F30F7B" w:rsidRPr="00E80090">
        <w:rPr>
          <w:rFonts w:asciiTheme="majorHAnsi" w:hAnsiTheme="majorHAnsi"/>
          <w:lang w:val="en-GB" w:eastAsia="en-US"/>
        </w:rPr>
        <w:t xml:space="preserve"> is the currency of Romania</w:t>
      </w:r>
    </w:p>
    <w:p w14:paraId="6E5841F3" w14:textId="77777777" w:rsidR="00527EE0" w:rsidRPr="00E80090" w:rsidRDefault="00527EE0" w:rsidP="0090792F">
      <w:pPr>
        <w:spacing w:line="276" w:lineRule="auto"/>
        <w:rPr>
          <w:rFonts w:asciiTheme="majorHAnsi" w:hAnsiTheme="majorHAnsi"/>
          <w:lang w:val="en-GB" w:eastAsia="en-US"/>
        </w:rPr>
      </w:pPr>
    </w:p>
    <w:p w14:paraId="6E5841F4" w14:textId="77777777" w:rsidR="0061143A" w:rsidRPr="00E80090" w:rsidRDefault="00316E45" w:rsidP="0090792F">
      <w:pPr>
        <w:spacing w:line="276" w:lineRule="auto"/>
        <w:rPr>
          <w:rFonts w:asciiTheme="majorHAnsi" w:hAnsiTheme="majorHAnsi"/>
          <w:lang w:val="en-GB" w:eastAsia="en-US"/>
        </w:rPr>
      </w:pPr>
      <w:r w:rsidRPr="00E80090">
        <w:rPr>
          <w:rFonts w:asciiTheme="majorHAnsi" w:hAnsiTheme="majorHAnsi"/>
          <w:lang w:val="en-GB" w:eastAsia="en-US"/>
        </w:rPr>
        <w:t>SAP</w:t>
      </w:r>
      <w:r w:rsidRPr="00E80090">
        <w:rPr>
          <w:rFonts w:asciiTheme="majorHAnsi" w:hAnsiTheme="majorHAnsi"/>
          <w:lang w:val="en-GB" w:eastAsia="en-US"/>
        </w:rPr>
        <w:tab/>
      </w:r>
      <w:r w:rsidRPr="00E80090">
        <w:rPr>
          <w:rFonts w:asciiTheme="majorHAnsi" w:hAnsiTheme="majorHAnsi"/>
          <w:lang w:val="en-GB" w:eastAsia="en-US"/>
        </w:rPr>
        <w:tab/>
      </w:r>
      <w:r w:rsidR="002E3F41" w:rsidRPr="00E80090">
        <w:rPr>
          <w:rFonts w:asciiTheme="majorHAnsi" w:hAnsiTheme="majorHAnsi"/>
          <w:lang w:val="en-GB" w:eastAsia="en-US"/>
        </w:rPr>
        <w:tab/>
      </w:r>
      <w:r w:rsidR="0061143A" w:rsidRPr="00E80090">
        <w:rPr>
          <w:rFonts w:asciiTheme="majorHAnsi" w:hAnsiTheme="majorHAnsi"/>
          <w:lang w:val="en-GB" w:eastAsia="en-US"/>
        </w:rPr>
        <w:t>German ERP system</w:t>
      </w:r>
      <w:r w:rsidR="0033130E" w:rsidRPr="00E80090">
        <w:rPr>
          <w:rFonts w:asciiTheme="majorHAnsi" w:hAnsiTheme="majorHAnsi"/>
          <w:lang w:val="en-GB" w:eastAsia="en-US"/>
        </w:rPr>
        <w:t xml:space="preserve"> (see ERP)</w:t>
      </w:r>
    </w:p>
    <w:p w14:paraId="6E5841F5" w14:textId="77777777" w:rsidR="000A09D3" w:rsidRPr="00E80090" w:rsidRDefault="000A09D3" w:rsidP="0090792F">
      <w:pPr>
        <w:spacing w:line="276" w:lineRule="auto"/>
        <w:rPr>
          <w:rFonts w:asciiTheme="majorHAnsi" w:hAnsiTheme="majorHAnsi"/>
          <w:lang w:val="en-GB" w:eastAsia="en-US"/>
        </w:rPr>
      </w:pPr>
    </w:p>
    <w:p w14:paraId="6E5841F6" w14:textId="77777777" w:rsidR="000A09D3" w:rsidRPr="00E80090" w:rsidRDefault="00097F09" w:rsidP="00097F09">
      <w:pPr>
        <w:spacing w:line="276" w:lineRule="auto"/>
        <w:ind w:left="2160" w:hanging="2160"/>
        <w:rPr>
          <w:rFonts w:asciiTheme="majorHAnsi" w:hAnsiTheme="majorHAnsi"/>
          <w:lang w:val="en-GB" w:eastAsia="en-US"/>
        </w:rPr>
      </w:pPr>
      <w:r w:rsidRPr="00E80090">
        <w:rPr>
          <w:rFonts w:asciiTheme="majorHAnsi" w:hAnsiTheme="majorHAnsi"/>
          <w:lang w:val="en-GB" w:eastAsia="en-US"/>
        </w:rPr>
        <w:t>SBU</w:t>
      </w:r>
      <w:r w:rsidR="000A6999" w:rsidRPr="00E80090">
        <w:rPr>
          <w:rFonts w:asciiTheme="majorHAnsi" w:hAnsiTheme="majorHAnsi"/>
          <w:lang w:val="en-GB" w:eastAsia="en-US"/>
        </w:rPr>
        <w:t xml:space="preserve"> controller</w:t>
      </w:r>
      <w:r w:rsidRPr="00E80090">
        <w:rPr>
          <w:rFonts w:asciiTheme="majorHAnsi" w:hAnsiTheme="majorHAnsi"/>
          <w:lang w:val="en-GB" w:eastAsia="en-US"/>
        </w:rPr>
        <w:tab/>
      </w:r>
      <w:r w:rsidR="000A09D3" w:rsidRPr="00E80090">
        <w:rPr>
          <w:rFonts w:asciiTheme="majorHAnsi" w:hAnsiTheme="majorHAnsi"/>
          <w:lang w:val="en-GB" w:eastAsia="en-US"/>
        </w:rPr>
        <w:t>Strategic Business Unit</w:t>
      </w:r>
      <w:r w:rsidR="000A6999" w:rsidRPr="00E80090">
        <w:rPr>
          <w:rFonts w:asciiTheme="majorHAnsi" w:hAnsiTheme="majorHAnsi"/>
          <w:lang w:val="en-GB" w:eastAsia="en-US"/>
        </w:rPr>
        <w:t xml:space="preserve"> controller</w:t>
      </w:r>
      <w:r w:rsidRPr="00E80090">
        <w:rPr>
          <w:rFonts w:asciiTheme="majorHAnsi" w:hAnsiTheme="majorHAnsi"/>
          <w:lang w:val="en-GB" w:eastAsia="en-US"/>
        </w:rPr>
        <w:t>; For Sun Chemical this is a person based in Austria, who is responsible for directly controlling all branches in the CEE region.</w:t>
      </w:r>
    </w:p>
    <w:p w14:paraId="6E5841F7" w14:textId="77777777" w:rsidR="0040129E" w:rsidRPr="00E80090" w:rsidRDefault="0040129E" w:rsidP="0090792F">
      <w:pPr>
        <w:spacing w:line="276" w:lineRule="auto"/>
        <w:rPr>
          <w:rFonts w:asciiTheme="majorHAnsi" w:hAnsiTheme="majorHAnsi"/>
          <w:lang w:val="en-GB" w:eastAsia="en-US"/>
        </w:rPr>
      </w:pPr>
    </w:p>
    <w:p w14:paraId="6E5841F8" w14:textId="77777777" w:rsidR="0040129E" w:rsidRPr="00E80090" w:rsidRDefault="00316E45" w:rsidP="002E3F41">
      <w:pPr>
        <w:spacing w:line="276" w:lineRule="auto"/>
        <w:ind w:left="2160" w:hanging="2160"/>
        <w:rPr>
          <w:rFonts w:asciiTheme="majorHAnsi" w:hAnsiTheme="majorHAnsi"/>
          <w:lang w:val="en-GB" w:eastAsia="en-US"/>
        </w:rPr>
      </w:pPr>
      <w:r w:rsidRPr="00E80090">
        <w:rPr>
          <w:rFonts w:asciiTheme="majorHAnsi" w:hAnsiTheme="majorHAnsi"/>
          <w:lang w:val="en-GB" w:eastAsia="en-US"/>
        </w:rPr>
        <w:t>Trading platform</w:t>
      </w:r>
      <w:r w:rsidRPr="00E80090">
        <w:rPr>
          <w:rFonts w:asciiTheme="majorHAnsi" w:hAnsiTheme="majorHAnsi"/>
          <w:lang w:val="en-GB" w:eastAsia="en-US"/>
        </w:rPr>
        <w:tab/>
      </w:r>
      <w:r w:rsidR="0040129E" w:rsidRPr="00E80090">
        <w:rPr>
          <w:rFonts w:asciiTheme="majorHAnsi" w:hAnsiTheme="majorHAnsi"/>
          <w:lang w:val="en-GB" w:eastAsia="en-US"/>
        </w:rPr>
        <w:t>Software that allows investors and traders to pl</w:t>
      </w:r>
      <w:r w:rsidR="0090792F" w:rsidRPr="00E80090">
        <w:rPr>
          <w:rFonts w:asciiTheme="majorHAnsi" w:hAnsiTheme="majorHAnsi"/>
          <w:lang w:val="en-GB" w:eastAsia="en-US"/>
        </w:rPr>
        <w:t>ace trades and monitor accounts</w:t>
      </w:r>
    </w:p>
    <w:p w14:paraId="6E5841F9" w14:textId="77777777" w:rsidR="0061143A" w:rsidRPr="00E80090" w:rsidRDefault="0061143A">
      <w:pPr>
        <w:rPr>
          <w:rFonts w:asciiTheme="majorHAnsi" w:hAnsiTheme="majorHAnsi"/>
          <w:lang w:val="en-GB" w:eastAsia="en-US"/>
        </w:rPr>
      </w:pPr>
    </w:p>
    <w:p w14:paraId="6E5841FA" w14:textId="77777777" w:rsidR="0061143A" w:rsidRPr="00E80090" w:rsidRDefault="0061143A">
      <w:pPr>
        <w:rPr>
          <w:rFonts w:asciiTheme="majorHAnsi" w:hAnsiTheme="majorHAnsi" w:cs="Cambria"/>
          <w:b/>
          <w:bCs/>
          <w:color w:val="365F91"/>
          <w:sz w:val="28"/>
          <w:szCs w:val="28"/>
          <w:lang w:val="en-GB" w:eastAsia="en-US"/>
        </w:rPr>
      </w:pPr>
      <w:r w:rsidRPr="00E80090">
        <w:rPr>
          <w:rFonts w:asciiTheme="majorHAnsi" w:hAnsiTheme="majorHAnsi"/>
          <w:lang w:val="en-GB" w:eastAsia="en-US"/>
        </w:rPr>
        <w:br w:type="page"/>
      </w:r>
    </w:p>
    <w:p w14:paraId="6E5841FB" w14:textId="77777777" w:rsidR="0061143A" w:rsidRPr="00E80090" w:rsidRDefault="0061143A" w:rsidP="0061143A">
      <w:pPr>
        <w:pStyle w:val="Kop1"/>
        <w:numPr>
          <w:ilvl w:val="0"/>
          <w:numId w:val="10"/>
        </w:numPr>
        <w:rPr>
          <w:rFonts w:asciiTheme="majorHAnsi" w:hAnsiTheme="majorHAnsi"/>
          <w:lang w:val="en-GB" w:eastAsia="en-US"/>
        </w:rPr>
      </w:pPr>
      <w:bookmarkStart w:id="8" w:name="_Toc368290334"/>
      <w:r w:rsidRPr="00E80090">
        <w:rPr>
          <w:rFonts w:asciiTheme="majorHAnsi" w:hAnsiTheme="majorHAnsi"/>
          <w:lang w:val="en-GB" w:eastAsia="en-US"/>
        </w:rPr>
        <w:lastRenderedPageBreak/>
        <w:t>Introduction</w:t>
      </w:r>
      <w:bookmarkEnd w:id="8"/>
    </w:p>
    <w:p w14:paraId="6E5841FC" w14:textId="77777777" w:rsidR="00001664" w:rsidRPr="00E80090" w:rsidRDefault="00001664" w:rsidP="0000014C">
      <w:pPr>
        <w:rPr>
          <w:rFonts w:asciiTheme="majorHAnsi" w:hAnsiTheme="majorHAnsi"/>
          <w:lang w:val="en-GB" w:eastAsia="en-US"/>
        </w:rPr>
      </w:pPr>
    </w:p>
    <w:p w14:paraId="6E5841FD" w14:textId="77777777" w:rsidR="009F13CB" w:rsidRPr="00E80090" w:rsidRDefault="00BB0183" w:rsidP="00BB018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Sun</w:t>
      </w:r>
      <w:r w:rsidR="00A2381C"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Chemical is a chemical </w:t>
      </w:r>
      <w:r w:rsidR="006C6771" w:rsidRPr="00E80090">
        <w:rPr>
          <w:rFonts w:asciiTheme="majorHAnsi" w:hAnsiTheme="majorHAnsi" w:cs="Cambria"/>
          <w:lang w:val="en-GB" w:eastAsia="en-US"/>
        </w:rPr>
        <w:t>enterprise</w:t>
      </w:r>
      <w:r w:rsidRPr="00E80090">
        <w:rPr>
          <w:rFonts w:asciiTheme="majorHAnsi" w:hAnsiTheme="majorHAnsi" w:cs="Cambria"/>
          <w:lang w:val="en-GB" w:eastAsia="en-US"/>
        </w:rPr>
        <w:t xml:space="preserve"> producing printing inks and pigments for the publication and packaging industry. Currently the company operates in around 50 countries globally. </w:t>
      </w:r>
      <w:r w:rsidR="00CE605C" w:rsidRPr="00E80090">
        <w:rPr>
          <w:rFonts w:asciiTheme="majorHAnsi" w:hAnsiTheme="majorHAnsi" w:cs="Cambria"/>
          <w:lang w:val="en-GB" w:eastAsia="en-US"/>
        </w:rPr>
        <w:t>It</w:t>
      </w:r>
      <w:r w:rsidR="004F00F8" w:rsidRPr="00E80090">
        <w:rPr>
          <w:rFonts w:asciiTheme="majorHAnsi" w:hAnsiTheme="majorHAnsi" w:cs="Cambria"/>
          <w:lang w:val="en-GB" w:eastAsia="en-US"/>
        </w:rPr>
        <w:t xml:space="preserve"> has annual sales of over $3.5 billion and more than 8,000 employees supporting customers around the world</w:t>
      </w:r>
      <w:r w:rsidR="00CE605C" w:rsidRPr="00E80090">
        <w:rPr>
          <w:rFonts w:asciiTheme="majorHAnsi" w:hAnsiTheme="majorHAnsi" w:cs="Cambria"/>
          <w:lang w:val="en-GB" w:eastAsia="en-US"/>
        </w:rPr>
        <w:t xml:space="preserve"> (Sun Chemical, 2013)</w:t>
      </w:r>
      <w:r w:rsidR="004F00F8" w:rsidRPr="00E80090">
        <w:rPr>
          <w:rFonts w:asciiTheme="majorHAnsi" w:hAnsiTheme="majorHAnsi" w:cs="Cambria"/>
          <w:lang w:val="en-GB" w:eastAsia="en-US"/>
        </w:rPr>
        <w:t xml:space="preserve">. </w:t>
      </w:r>
      <w:r w:rsidR="009F13CB" w:rsidRPr="00E80090">
        <w:rPr>
          <w:rFonts w:asciiTheme="majorHAnsi" w:hAnsiTheme="majorHAnsi" w:cs="Cambria"/>
          <w:lang w:val="en-GB" w:eastAsia="en-US"/>
        </w:rPr>
        <w:t xml:space="preserve">For tax purposes </w:t>
      </w:r>
      <w:r w:rsidRPr="00E80090">
        <w:rPr>
          <w:rFonts w:asciiTheme="majorHAnsi" w:hAnsiTheme="majorHAnsi" w:cs="Cambria"/>
          <w:lang w:val="en-GB" w:eastAsia="en-US"/>
        </w:rPr>
        <w:t>Sun</w:t>
      </w:r>
      <w:r w:rsidR="00A2381C" w:rsidRPr="00E80090">
        <w:rPr>
          <w:rFonts w:asciiTheme="majorHAnsi" w:hAnsiTheme="majorHAnsi" w:cs="Cambria"/>
          <w:lang w:val="en-GB" w:eastAsia="en-US"/>
        </w:rPr>
        <w:t xml:space="preserve"> </w:t>
      </w:r>
      <w:r w:rsidRPr="00E80090">
        <w:rPr>
          <w:rFonts w:asciiTheme="majorHAnsi" w:hAnsiTheme="majorHAnsi" w:cs="Cambria"/>
          <w:lang w:val="en-GB" w:eastAsia="en-US"/>
        </w:rPr>
        <w:t>Chemical Group Coöperatief U.A.</w:t>
      </w:r>
      <w:r w:rsidR="009F13CB" w:rsidRPr="00E80090">
        <w:rPr>
          <w:rFonts w:asciiTheme="majorHAnsi" w:hAnsiTheme="majorHAnsi" w:cs="Cambria"/>
          <w:lang w:val="en-GB" w:eastAsia="en-US"/>
        </w:rPr>
        <w:t>,</w:t>
      </w:r>
      <w:r w:rsidRPr="00E80090">
        <w:rPr>
          <w:rFonts w:asciiTheme="majorHAnsi" w:hAnsiTheme="majorHAnsi" w:cs="Cambria"/>
          <w:lang w:val="en-GB" w:eastAsia="en-US"/>
        </w:rPr>
        <w:t xml:space="preserve"> </w:t>
      </w:r>
      <w:r w:rsidR="009F13CB" w:rsidRPr="00E80090">
        <w:rPr>
          <w:rFonts w:asciiTheme="majorHAnsi" w:hAnsiTheme="majorHAnsi" w:cs="Cambria"/>
          <w:lang w:val="en-GB" w:eastAsia="en-US"/>
        </w:rPr>
        <w:t>based in the Netherlands, is set up as the legal headquarters of the company. However, major corporate decisions are taken in the operational headquarters in Parsippany, New Jersey, USA.</w:t>
      </w:r>
      <w:r w:rsidR="00345DD0" w:rsidRPr="00E80090">
        <w:rPr>
          <w:rFonts w:asciiTheme="majorHAnsi" w:hAnsiTheme="majorHAnsi" w:cs="Cambria"/>
          <w:lang w:val="en-GB" w:eastAsia="en-US"/>
        </w:rPr>
        <w:t xml:space="preserve"> The Dutch office houses Group Treasury, which is </w:t>
      </w:r>
      <w:r w:rsidR="007265DA" w:rsidRPr="00E80090">
        <w:rPr>
          <w:rFonts w:asciiTheme="majorHAnsi" w:hAnsiTheme="majorHAnsi" w:cs="Cambria"/>
          <w:lang w:val="en-GB" w:eastAsia="en-US"/>
        </w:rPr>
        <w:t xml:space="preserve">the </w:t>
      </w:r>
      <w:r w:rsidR="006D522A" w:rsidRPr="00E80090">
        <w:rPr>
          <w:rFonts w:asciiTheme="majorHAnsi" w:hAnsiTheme="majorHAnsi" w:cs="Cambria"/>
          <w:lang w:val="en-GB" w:eastAsia="en-US"/>
        </w:rPr>
        <w:t>department that</w:t>
      </w:r>
      <w:r w:rsidR="007265DA" w:rsidRPr="00E80090">
        <w:rPr>
          <w:rFonts w:asciiTheme="majorHAnsi" w:hAnsiTheme="majorHAnsi" w:cs="Cambria"/>
          <w:lang w:val="en-GB" w:eastAsia="en-US"/>
        </w:rPr>
        <w:t xml:space="preserve"> oversees the all European branches.</w:t>
      </w:r>
      <w:r w:rsidR="00D3240E" w:rsidRPr="00E80090">
        <w:rPr>
          <w:rFonts w:asciiTheme="majorHAnsi" w:hAnsiTheme="majorHAnsi" w:cs="Cambria"/>
          <w:lang w:val="en-GB" w:eastAsia="en-US"/>
        </w:rPr>
        <w:t xml:space="preserve"> </w:t>
      </w:r>
    </w:p>
    <w:p w14:paraId="6E5841FE" w14:textId="77777777" w:rsidR="00D21D03" w:rsidRPr="00E80090" w:rsidRDefault="00345BD7" w:rsidP="00345BD7">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Currently Sun Chemical uses the financial services of several banks for its operations in the Central and Eastern Europe</w:t>
      </w:r>
      <w:r w:rsidR="00141F31" w:rsidRPr="00E80090">
        <w:rPr>
          <w:rFonts w:asciiTheme="majorHAnsi" w:hAnsiTheme="majorHAnsi" w:cs="Cambria"/>
          <w:lang w:val="en-GB" w:eastAsia="en-US"/>
        </w:rPr>
        <w:t>an</w:t>
      </w:r>
      <w:r w:rsidRPr="00E80090">
        <w:rPr>
          <w:rFonts w:asciiTheme="majorHAnsi" w:hAnsiTheme="majorHAnsi" w:cs="Cambria"/>
          <w:lang w:val="en-GB" w:eastAsia="en-US"/>
        </w:rPr>
        <w:t xml:space="preserve"> (CEE) </w:t>
      </w:r>
      <w:r w:rsidR="0017311E" w:rsidRPr="00E80090">
        <w:rPr>
          <w:rFonts w:asciiTheme="majorHAnsi" w:hAnsiTheme="majorHAnsi" w:cs="Cambria"/>
          <w:lang w:val="en-GB" w:eastAsia="en-US"/>
        </w:rPr>
        <w:t>region and sees such decentralis</w:t>
      </w:r>
      <w:r w:rsidRPr="00E80090">
        <w:rPr>
          <w:rFonts w:asciiTheme="majorHAnsi" w:hAnsiTheme="majorHAnsi" w:cs="Cambria"/>
          <w:lang w:val="en-GB" w:eastAsia="en-US"/>
        </w:rPr>
        <w:t>ation as inefficient. Due to the fragmentation of the banking landscape in the region transparency</w:t>
      </w:r>
      <w:r w:rsidR="00345DD0" w:rsidRPr="00E80090">
        <w:rPr>
          <w:rFonts w:asciiTheme="majorHAnsi" w:hAnsiTheme="majorHAnsi" w:cs="Cambria"/>
          <w:lang w:val="en-GB" w:eastAsia="en-US"/>
        </w:rPr>
        <w:t xml:space="preserve"> of transactions is low and Group </w:t>
      </w:r>
      <w:r w:rsidRPr="00E80090">
        <w:rPr>
          <w:rFonts w:asciiTheme="majorHAnsi" w:hAnsiTheme="majorHAnsi" w:cs="Cambria"/>
          <w:lang w:val="en-GB" w:eastAsia="en-US"/>
        </w:rPr>
        <w:t xml:space="preserve">Treasury </w:t>
      </w:r>
      <w:r w:rsidR="0061143A" w:rsidRPr="00E80090">
        <w:rPr>
          <w:rFonts w:asciiTheme="majorHAnsi" w:hAnsiTheme="majorHAnsi" w:cs="Cambria"/>
          <w:lang w:val="en-GB" w:eastAsia="en-US"/>
        </w:rPr>
        <w:t>is not satisfied with its level of</w:t>
      </w:r>
      <w:r w:rsidRPr="00E80090">
        <w:rPr>
          <w:rFonts w:asciiTheme="majorHAnsi" w:hAnsiTheme="majorHAnsi" w:cs="Cambria"/>
          <w:lang w:val="en-GB" w:eastAsia="en-US"/>
        </w:rPr>
        <w:t xml:space="preserve"> control over the local activities. </w:t>
      </w:r>
      <w:r w:rsidR="00363715" w:rsidRPr="00E80090">
        <w:rPr>
          <w:rFonts w:asciiTheme="majorHAnsi" w:hAnsiTheme="majorHAnsi" w:cs="Cambria"/>
          <w:lang w:val="en-GB" w:eastAsia="en-US"/>
        </w:rPr>
        <w:t>As a result</w:t>
      </w:r>
      <w:r w:rsidRPr="00E80090">
        <w:rPr>
          <w:rFonts w:asciiTheme="majorHAnsi" w:hAnsiTheme="majorHAnsi" w:cs="Cambria"/>
          <w:lang w:val="en-GB" w:eastAsia="en-US"/>
        </w:rPr>
        <w:t xml:space="preserve">, Sun Chemical would like to pull away from </w:t>
      </w:r>
      <w:r w:rsidR="0059268A" w:rsidRPr="00E80090">
        <w:rPr>
          <w:rFonts w:asciiTheme="majorHAnsi" w:hAnsiTheme="majorHAnsi" w:cs="Cambria"/>
          <w:lang w:val="en-GB" w:eastAsia="en-US"/>
        </w:rPr>
        <w:t>the local banks</w:t>
      </w:r>
      <w:r w:rsidRPr="00E80090">
        <w:rPr>
          <w:rFonts w:asciiTheme="majorHAnsi" w:hAnsiTheme="majorHAnsi" w:cs="Cambria"/>
          <w:lang w:val="en-GB" w:eastAsia="en-US"/>
        </w:rPr>
        <w:t xml:space="preserve"> and move to </w:t>
      </w:r>
      <w:r w:rsidR="0059268A" w:rsidRPr="00E80090">
        <w:rPr>
          <w:rFonts w:asciiTheme="majorHAnsi" w:hAnsiTheme="majorHAnsi" w:cs="Cambria"/>
          <w:lang w:val="en-GB" w:eastAsia="en-US"/>
        </w:rPr>
        <w:t xml:space="preserve">a more secure </w:t>
      </w:r>
      <w:r w:rsidR="009943AD" w:rsidRPr="00E80090">
        <w:rPr>
          <w:rFonts w:asciiTheme="majorHAnsi" w:hAnsiTheme="majorHAnsi" w:cs="Cambria"/>
          <w:lang w:val="en-GB" w:eastAsia="en-US"/>
        </w:rPr>
        <w:t xml:space="preserve">global </w:t>
      </w:r>
      <w:r w:rsidR="0059268A" w:rsidRPr="00E80090">
        <w:rPr>
          <w:rFonts w:asciiTheme="majorHAnsi" w:hAnsiTheme="majorHAnsi" w:cs="Cambria"/>
          <w:lang w:val="en-GB" w:eastAsia="en-US"/>
        </w:rPr>
        <w:t>partner</w:t>
      </w:r>
      <w:r w:rsidRPr="00E80090">
        <w:rPr>
          <w:rFonts w:asciiTheme="majorHAnsi" w:hAnsiTheme="majorHAnsi" w:cs="Cambria"/>
          <w:lang w:val="en-GB" w:eastAsia="en-US"/>
        </w:rPr>
        <w:t xml:space="preserve">. </w:t>
      </w:r>
      <w:r w:rsidR="004016F3" w:rsidRPr="00E80090">
        <w:rPr>
          <w:rFonts w:asciiTheme="majorHAnsi" w:hAnsiTheme="majorHAnsi" w:cs="Cambria"/>
          <w:lang w:val="en-GB" w:eastAsia="en-US"/>
        </w:rPr>
        <w:t>T</w:t>
      </w:r>
      <w:r w:rsidR="00311105" w:rsidRPr="00E80090">
        <w:rPr>
          <w:rFonts w:asciiTheme="majorHAnsi" w:hAnsiTheme="majorHAnsi" w:cs="Cambria"/>
          <w:lang w:val="en-GB" w:eastAsia="en-US"/>
        </w:rPr>
        <w:t xml:space="preserve">he banks </w:t>
      </w:r>
      <w:r w:rsidR="006A0A6F" w:rsidRPr="00E80090">
        <w:rPr>
          <w:rFonts w:asciiTheme="majorHAnsi" w:hAnsiTheme="majorHAnsi" w:cs="Cambria"/>
          <w:lang w:val="en-GB" w:eastAsia="en-US"/>
        </w:rPr>
        <w:t>c</w:t>
      </w:r>
      <w:r w:rsidR="00311105" w:rsidRPr="00E80090">
        <w:rPr>
          <w:rFonts w:asciiTheme="majorHAnsi" w:hAnsiTheme="majorHAnsi" w:cs="Cambria"/>
          <w:lang w:val="en-GB" w:eastAsia="en-US"/>
        </w:rPr>
        <w:t>hosen</w:t>
      </w:r>
      <w:r w:rsidR="006A0A6F" w:rsidRPr="00E80090">
        <w:rPr>
          <w:rFonts w:asciiTheme="majorHAnsi" w:hAnsiTheme="majorHAnsi" w:cs="Cambria"/>
          <w:lang w:val="en-GB" w:eastAsia="en-US"/>
        </w:rPr>
        <w:t xml:space="preserve"> by the company</w:t>
      </w:r>
      <w:r w:rsidR="00311105" w:rsidRPr="00E80090">
        <w:rPr>
          <w:rFonts w:asciiTheme="majorHAnsi" w:hAnsiTheme="majorHAnsi" w:cs="Cambria"/>
          <w:lang w:val="en-GB" w:eastAsia="en-US"/>
        </w:rPr>
        <w:t xml:space="preserve"> for the project are Citibank and UniCredit. </w:t>
      </w:r>
      <w:r w:rsidR="00345DD0" w:rsidRPr="00E80090">
        <w:rPr>
          <w:rFonts w:asciiTheme="majorHAnsi" w:hAnsiTheme="majorHAnsi" w:cs="Cambria"/>
          <w:lang w:val="en-GB" w:eastAsia="en-US"/>
        </w:rPr>
        <w:t>Group Treasury</w:t>
      </w:r>
      <w:r w:rsidRPr="00E80090">
        <w:rPr>
          <w:rFonts w:asciiTheme="majorHAnsi" w:hAnsiTheme="majorHAnsi" w:cs="Cambria"/>
          <w:lang w:val="en-GB" w:eastAsia="en-US"/>
        </w:rPr>
        <w:t xml:space="preserve"> hopes that by concentrating </w:t>
      </w:r>
      <w:r w:rsidR="00522587" w:rsidRPr="00E80090">
        <w:rPr>
          <w:rFonts w:asciiTheme="majorHAnsi" w:hAnsiTheme="majorHAnsi" w:cs="Cambria"/>
          <w:lang w:val="en-GB" w:eastAsia="en-US"/>
        </w:rPr>
        <w:t>banking</w:t>
      </w:r>
      <w:r w:rsidRPr="00E80090">
        <w:rPr>
          <w:rFonts w:asciiTheme="majorHAnsi" w:hAnsiTheme="majorHAnsi" w:cs="Cambria"/>
          <w:lang w:val="en-GB" w:eastAsia="en-US"/>
        </w:rPr>
        <w:t xml:space="preserve"> services under one intermediary it </w:t>
      </w:r>
      <w:r w:rsidR="00D21D03" w:rsidRPr="00E80090">
        <w:rPr>
          <w:rFonts w:asciiTheme="majorHAnsi" w:hAnsiTheme="majorHAnsi" w:cs="Cambria"/>
          <w:lang w:val="en-GB" w:eastAsia="en-US"/>
        </w:rPr>
        <w:t xml:space="preserve">would enhance controls and security regarding electronic banking and foreign exchange (FX) trading. </w:t>
      </w:r>
      <w:r w:rsidRPr="00E80090">
        <w:rPr>
          <w:rFonts w:asciiTheme="majorHAnsi" w:hAnsiTheme="majorHAnsi" w:cs="Cambria"/>
          <w:lang w:val="en-GB" w:eastAsia="en-US"/>
        </w:rPr>
        <w:t xml:space="preserve">In addition, </w:t>
      </w:r>
      <w:r w:rsidR="00D21D03" w:rsidRPr="00E80090">
        <w:rPr>
          <w:rFonts w:asciiTheme="majorHAnsi" w:hAnsiTheme="majorHAnsi" w:cs="Cambria"/>
          <w:lang w:val="en-GB" w:eastAsia="en-US"/>
        </w:rPr>
        <w:t xml:space="preserve">through </w:t>
      </w:r>
      <w:r w:rsidRPr="00E80090">
        <w:rPr>
          <w:rFonts w:asciiTheme="majorHAnsi" w:hAnsiTheme="majorHAnsi" w:cs="Cambria"/>
          <w:lang w:val="en-GB" w:eastAsia="en-US"/>
        </w:rPr>
        <w:t xml:space="preserve">the </w:t>
      </w:r>
      <w:r w:rsidR="00D21D03" w:rsidRPr="00E80090">
        <w:rPr>
          <w:rFonts w:asciiTheme="majorHAnsi" w:hAnsiTheme="majorHAnsi" w:cs="Cambria"/>
          <w:lang w:val="en-GB" w:eastAsia="en-US"/>
        </w:rPr>
        <w:t xml:space="preserve">integration the company expects to benefit from higher transparency, decreased banking costs and lower need for reporting </w:t>
      </w:r>
      <w:r w:rsidR="007A74E1" w:rsidRPr="00E80090">
        <w:rPr>
          <w:rFonts w:asciiTheme="majorHAnsi" w:hAnsiTheme="majorHAnsi" w:cs="Cambria"/>
          <w:lang w:val="en-GB" w:eastAsia="en-US"/>
        </w:rPr>
        <w:t>at</w:t>
      </w:r>
      <w:r w:rsidR="00D21D03" w:rsidRPr="00E80090">
        <w:rPr>
          <w:rFonts w:asciiTheme="majorHAnsi" w:hAnsiTheme="majorHAnsi" w:cs="Cambria"/>
          <w:lang w:val="en-GB" w:eastAsia="en-US"/>
        </w:rPr>
        <w:t xml:space="preserve"> the local level.</w:t>
      </w:r>
    </w:p>
    <w:p w14:paraId="6E5841FF" w14:textId="77777777" w:rsidR="00BB0183" w:rsidRPr="00E80090" w:rsidRDefault="00BB0183" w:rsidP="00BB018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main research question is:</w:t>
      </w:r>
      <w:r w:rsidR="00E614F9" w:rsidRPr="00E80090">
        <w:rPr>
          <w:rFonts w:asciiTheme="majorHAnsi" w:hAnsiTheme="majorHAnsi" w:cs="Cambria"/>
          <w:lang w:val="en-GB" w:eastAsia="en-US"/>
        </w:rPr>
        <w:t xml:space="preserve"> </w:t>
      </w:r>
      <w:r w:rsidRPr="00E80090">
        <w:rPr>
          <w:rFonts w:asciiTheme="majorHAnsi" w:hAnsiTheme="majorHAnsi" w:cs="Cambria"/>
          <w:lang w:val="en-GB" w:eastAsia="en-US"/>
        </w:rPr>
        <w:t>“How should Sun</w:t>
      </w:r>
      <w:r w:rsidR="00A2381C"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Chemical </w:t>
      </w:r>
      <w:r w:rsidR="0017311E" w:rsidRPr="00E80090">
        <w:rPr>
          <w:rFonts w:asciiTheme="majorHAnsi" w:hAnsiTheme="majorHAnsi" w:cs="Cambria"/>
          <w:lang w:val="en-GB" w:eastAsia="en-US"/>
        </w:rPr>
        <w:t>centralis</w:t>
      </w:r>
      <w:r w:rsidR="009E73F9" w:rsidRPr="00E80090">
        <w:rPr>
          <w:rFonts w:asciiTheme="majorHAnsi" w:hAnsiTheme="majorHAnsi" w:cs="Cambria"/>
          <w:lang w:val="en-GB" w:eastAsia="en-US"/>
        </w:rPr>
        <w:t>e its banking relations</w:t>
      </w:r>
      <w:r w:rsidRPr="00E80090">
        <w:rPr>
          <w:rFonts w:asciiTheme="majorHAnsi" w:hAnsiTheme="majorHAnsi" w:cs="Cambria"/>
          <w:lang w:val="en-GB" w:eastAsia="en-US"/>
        </w:rPr>
        <w:t xml:space="preserve"> </w:t>
      </w:r>
      <w:r w:rsidR="00893D49" w:rsidRPr="00E80090">
        <w:rPr>
          <w:rFonts w:asciiTheme="majorHAnsi" w:hAnsiTheme="majorHAnsi" w:cs="Cambria"/>
          <w:lang w:val="en-GB" w:eastAsia="en-US"/>
        </w:rPr>
        <w:t xml:space="preserve">in the CEE region in order </w:t>
      </w:r>
      <w:r w:rsidR="00F8717D" w:rsidRPr="00E80090">
        <w:rPr>
          <w:rFonts w:asciiTheme="majorHAnsi" w:hAnsiTheme="majorHAnsi" w:cs="Cambria"/>
          <w:lang w:val="en-GB" w:eastAsia="en-US"/>
        </w:rPr>
        <w:t xml:space="preserve">to improve </w:t>
      </w:r>
      <w:r w:rsidR="00DF6012" w:rsidRPr="00E80090">
        <w:rPr>
          <w:rFonts w:asciiTheme="majorHAnsi" w:hAnsiTheme="majorHAnsi" w:cs="Cambria"/>
          <w:lang w:val="en-GB" w:eastAsia="en-US"/>
        </w:rPr>
        <w:t xml:space="preserve">the </w:t>
      </w:r>
      <w:r w:rsidR="00F8717D" w:rsidRPr="00E80090">
        <w:rPr>
          <w:rFonts w:asciiTheme="majorHAnsi" w:hAnsiTheme="majorHAnsi" w:cs="Cambria"/>
          <w:lang w:val="en-GB" w:eastAsia="en-US"/>
        </w:rPr>
        <w:t xml:space="preserve">security </w:t>
      </w:r>
      <w:r w:rsidR="00520FA8" w:rsidRPr="00E80090">
        <w:rPr>
          <w:rFonts w:asciiTheme="majorHAnsi" w:hAnsiTheme="majorHAnsi" w:cs="Cambria"/>
          <w:lang w:val="en-GB" w:eastAsia="en-US"/>
        </w:rPr>
        <w:t xml:space="preserve">of </w:t>
      </w:r>
      <w:r w:rsidR="00FD1A52" w:rsidRPr="00E80090">
        <w:rPr>
          <w:rFonts w:asciiTheme="majorHAnsi" w:hAnsiTheme="majorHAnsi" w:cs="Cambria"/>
          <w:lang w:val="en-GB" w:eastAsia="en-US"/>
        </w:rPr>
        <w:t xml:space="preserve">its local operations </w:t>
      </w:r>
      <w:r w:rsidRPr="00E80090">
        <w:rPr>
          <w:rFonts w:asciiTheme="majorHAnsi" w:hAnsiTheme="majorHAnsi" w:cs="Cambria"/>
          <w:lang w:val="en-GB" w:eastAsia="en-US"/>
        </w:rPr>
        <w:t>by the end of 2013?</w:t>
      </w:r>
      <w:r w:rsidR="00B10A6A" w:rsidRPr="00E80090">
        <w:rPr>
          <w:rFonts w:asciiTheme="majorHAnsi" w:hAnsiTheme="majorHAnsi" w:cs="Cambria"/>
          <w:lang w:val="en-GB" w:eastAsia="en-US"/>
        </w:rPr>
        <w:t>”</w:t>
      </w:r>
      <w:r w:rsidRPr="00E80090">
        <w:rPr>
          <w:rFonts w:asciiTheme="majorHAnsi" w:hAnsiTheme="majorHAnsi" w:cs="Cambria"/>
          <w:lang w:val="en-GB" w:eastAsia="en-US"/>
        </w:rPr>
        <w:t xml:space="preserve">  </w:t>
      </w:r>
      <w:r w:rsidR="00896259" w:rsidRPr="00E80090">
        <w:rPr>
          <w:rFonts w:asciiTheme="majorHAnsi" w:hAnsiTheme="majorHAnsi" w:cs="Cambria"/>
          <w:lang w:val="en-GB" w:eastAsia="en-US"/>
        </w:rPr>
        <w:t>In this respect s</w:t>
      </w:r>
      <w:r w:rsidR="002B2CA1" w:rsidRPr="00E80090">
        <w:rPr>
          <w:rFonts w:asciiTheme="majorHAnsi" w:hAnsiTheme="majorHAnsi" w:cs="Cambria"/>
          <w:lang w:val="en-GB" w:eastAsia="en-US"/>
        </w:rPr>
        <w:t>ecurity</w:t>
      </w:r>
      <w:r w:rsidR="008F3DD8" w:rsidRPr="00E80090">
        <w:rPr>
          <w:rFonts w:asciiTheme="majorHAnsi" w:hAnsiTheme="majorHAnsi" w:cs="Cambria"/>
          <w:lang w:val="en-GB" w:eastAsia="en-US"/>
        </w:rPr>
        <w:t xml:space="preserve"> </w:t>
      </w:r>
      <w:r w:rsidR="00846DB6" w:rsidRPr="00E80090">
        <w:rPr>
          <w:rFonts w:asciiTheme="majorHAnsi" w:hAnsiTheme="majorHAnsi" w:cs="Cambria"/>
          <w:lang w:val="en-GB" w:eastAsia="en-US"/>
        </w:rPr>
        <w:t xml:space="preserve">improvement </w:t>
      </w:r>
      <w:r w:rsidR="001D7B93" w:rsidRPr="00E80090">
        <w:rPr>
          <w:rFonts w:asciiTheme="majorHAnsi" w:hAnsiTheme="majorHAnsi" w:cs="Cambria"/>
          <w:lang w:val="en-GB" w:eastAsia="en-US"/>
        </w:rPr>
        <w:t xml:space="preserve">is considered from the </w:t>
      </w:r>
      <w:r w:rsidR="00456C19" w:rsidRPr="00E80090">
        <w:rPr>
          <w:rFonts w:asciiTheme="majorHAnsi" w:hAnsiTheme="majorHAnsi" w:cs="Cambria"/>
          <w:lang w:val="en-GB" w:eastAsia="en-US"/>
        </w:rPr>
        <w:t xml:space="preserve">perspective of </w:t>
      </w:r>
      <w:r w:rsidR="00B66153" w:rsidRPr="00E80090">
        <w:rPr>
          <w:rFonts w:asciiTheme="majorHAnsi" w:hAnsiTheme="majorHAnsi" w:cs="Cambria"/>
          <w:lang w:val="en-GB" w:eastAsia="en-US"/>
        </w:rPr>
        <w:t>Group Treasury</w:t>
      </w:r>
      <w:r w:rsidR="001D7B93" w:rsidRPr="00E80090">
        <w:rPr>
          <w:rFonts w:asciiTheme="majorHAnsi" w:hAnsiTheme="majorHAnsi" w:cs="Cambria"/>
          <w:lang w:val="en-GB" w:eastAsia="en-US"/>
        </w:rPr>
        <w:t xml:space="preserve"> and e</w:t>
      </w:r>
      <w:r w:rsidR="00910A9E" w:rsidRPr="00E80090">
        <w:rPr>
          <w:rFonts w:asciiTheme="majorHAnsi" w:hAnsiTheme="majorHAnsi" w:cs="Cambria"/>
          <w:lang w:val="en-GB" w:eastAsia="en-US"/>
        </w:rPr>
        <w:t xml:space="preserve">ntails </w:t>
      </w:r>
      <w:r w:rsidR="009A247B" w:rsidRPr="00E80090">
        <w:rPr>
          <w:rFonts w:asciiTheme="majorHAnsi" w:hAnsiTheme="majorHAnsi" w:cs="Cambria"/>
          <w:lang w:val="en-GB" w:eastAsia="en-US"/>
        </w:rPr>
        <w:t xml:space="preserve">increase in </w:t>
      </w:r>
      <w:r w:rsidR="00910A9E" w:rsidRPr="00E80090">
        <w:rPr>
          <w:rFonts w:asciiTheme="majorHAnsi" w:hAnsiTheme="majorHAnsi" w:cs="Cambria"/>
          <w:lang w:val="en-GB" w:eastAsia="en-US"/>
        </w:rPr>
        <w:t xml:space="preserve">control </w:t>
      </w:r>
      <w:r w:rsidR="001D7B93" w:rsidRPr="00E80090">
        <w:rPr>
          <w:rFonts w:asciiTheme="majorHAnsi" w:hAnsiTheme="majorHAnsi" w:cs="Cambria"/>
          <w:lang w:val="en-GB" w:eastAsia="en-US"/>
        </w:rPr>
        <w:t>and transparency</w:t>
      </w:r>
      <w:r w:rsidR="009A247B" w:rsidRPr="00E80090">
        <w:rPr>
          <w:rFonts w:asciiTheme="majorHAnsi" w:hAnsiTheme="majorHAnsi" w:cs="Cambria"/>
          <w:lang w:val="en-GB" w:eastAsia="en-US"/>
        </w:rPr>
        <w:t xml:space="preserve"> regarding the local cash management and FX trading</w:t>
      </w:r>
      <w:r w:rsidR="001D7B93" w:rsidRPr="00E80090">
        <w:rPr>
          <w:rFonts w:asciiTheme="majorHAnsi" w:hAnsiTheme="majorHAnsi" w:cs="Cambria"/>
          <w:lang w:val="en-GB" w:eastAsia="en-US"/>
        </w:rPr>
        <w:t>.</w:t>
      </w:r>
      <w:r w:rsidR="00FB5416" w:rsidRPr="00E80090">
        <w:rPr>
          <w:rFonts w:asciiTheme="majorHAnsi" w:hAnsiTheme="majorHAnsi" w:cs="Cambria"/>
          <w:lang w:val="en-GB" w:eastAsia="en-US"/>
        </w:rPr>
        <w:t xml:space="preserve"> </w:t>
      </w:r>
      <w:r w:rsidRPr="00E80090">
        <w:rPr>
          <w:rFonts w:asciiTheme="majorHAnsi" w:hAnsiTheme="majorHAnsi" w:cs="Cambria"/>
          <w:lang w:val="en-GB" w:eastAsia="en-US"/>
        </w:rPr>
        <w:t>The aim of the research is to analyse the gap between the</w:t>
      </w:r>
      <w:r w:rsidRPr="00E80090">
        <w:rPr>
          <w:rFonts w:asciiTheme="majorHAnsi" w:hAnsiTheme="majorHAnsi" w:cs="Cambria"/>
          <w:b/>
          <w:lang w:val="en-GB" w:eastAsia="en-US"/>
        </w:rPr>
        <w:t xml:space="preserve"> </w:t>
      </w:r>
      <w:r w:rsidRPr="00E80090">
        <w:rPr>
          <w:rFonts w:asciiTheme="majorHAnsi" w:hAnsiTheme="majorHAnsi" w:cs="Cambria"/>
          <w:lang w:val="en-GB" w:eastAsia="en-US"/>
        </w:rPr>
        <w:t xml:space="preserve">current situation and the desired state and to identify ways for narrowing that gap. In this respect the research first focuses on the current situation in the CEE region and then </w:t>
      </w:r>
      <w:r w:rsidR="00484D13" w:rsidRPr="00E80090">
        <w:rPr>
          <w:rFonts w:asciiTheme="majorHAnsi" w:hAnsiTheme="majorHAnsi" w:cs="Cambria"/>
          <w:lang w:val="en-GB" w:eastAsia="en-US"/>
        </w:rPr>
        <w:t>discusses whe</w:t>
      </w:r>
      <w:r w:rsidR="000228FC" w:rsidRPr="00E80090">
        <w:rPr>
          <w:rFonts w:asciiTheme="majorHAnsi" w:hAnsiTheme="majorHAnsi" w:cs="Cambria"/>
          <w:lang w:val="en-GB" w:eastAsia="en-US"/>
        </w:rPr>
        <w:t>ther and how the corporate goal</w:t>
      </w:r>
      <w:r w:rsidR="00484D13" w:rsidRPr="00E80090">
        <w:rPr>
          <w:rFonts w:asciiTheme="majorHAnsi" w:hAnsiTheme="majorHAnsi" w:cs="Cambria"/>
          <w:lang w:val="en-GB" w:eastAsia="en-US"/>
        </w:rPr>
        <w:t xml:space="preserve"> can be achieved</w:t>
      </w:r>
      <w:r w:rsidRPr="00E80090">
        <w:rPr>
          <w:rFonts w:asciiTheme="majorHAnsi" w:hAnsiTheme="majorHAnsi" w:cs="Cambria"/>
          <w:lang w:val="en-GB" w:eastAsia="en-US"/>
        </w:rPr>
        <w:t xml:space="preserve">. In order to answer the </w:t>
      </w:r>
      <w:r w:rsidR="00C93BF0" w:rsidRPr="00E80090">
        <w:rPr>
          <w:rFonts w:asciiTheme="majorHAnsi" w:hAnsiTheme="majorHAnsi" w:cs="Cambria"/>
          <w:lang w:val="en-GB" w:eastAsia="en-US"/>
        </w:rPr>
        <w:t>main</w:t>
      </w:r>
      <w:r w:rsidRPr="00E80090">
        <w:rPr>
          <w:rFonts w:asciiTheme="majorHAnsi" w:hAnsiTheme="majorHAnsi" w:cs="Cambria"/>
          <w:lang w:val="en-GB" w:eastAsia="en-US"/>
        </w:rPr>
        <w:t xml:space="preserve"> research question, there are several sub-questions t</w:t>
      </w:r>
      <w:r w:rsidR="004172B9" w:rsidRPr="00E80090">
        <w:rPr>
          <w:rFonts w:asciiTheme="majorHAnsi" w:hAnsiTheme="majorHAnsi" w:cs="Cambria"/>
          <w:lang w:val="en-GB" w:eastAsia="en-US"/>
        </w:rPr>
        <w:t>hat also require a response. The</w:t>
      </w:r>
      <w:r w:rsidRPr="00E80090">
        <w:rPr>
          <w:rFonts w:asciiTheme="majorHAnsi" w:hAnsiTheme="majorHAnsi" w:cs="Cambria"/>
          <w:lang w:val="en-GB" w:eastAsia="en-US"/>
        </w:rPr>
        <w:t xml:space="preserve">se include: </w:t>
      </w:r>
    </w:p>
    <w:p w14:paraId="6E584200" w14:textId="77777777" w:rsidR="00345BD7" w:rsidRPr="00E80090" w:rsidRDefault="00345BD7" w:rsidP="00345BD7">
      <w:pPr>
        <w:pStyle w:val="Default"/>
        <w:numPr>
          <w:ilvl w:val="0"/>
          <w:numId w:val="14"/>
        </w:numPr>
        <w:spacing w:line="360" w:lineRule="auto"/>
        <w:jc w:val="both"/>
        <w:rPr>
          <w:rFonts w:asciiTheme="majorHAnsi" w:hAnsiTheme="majorHAnsi" w:cs="Times New Roman"/>
          <w:lang w:val="en-GB"/>
        </w:rPr>
      </w:pPr>
      <w:r w:rsidRPr="00E80090">
        <w:rPr>
          <w:rFonts w:asciiTheme="majorHAnsi" w:hAnsiTheme="majorHAnsi" w:cs="Times New Roman"/>
          <w:lang w:val="en-GB"/>
        </w:rPr>
        <w:t xml:space="preserve">What </w:t>
      </w:r>
      <w:r w:rsidR="00713549" w:rsidRPr="00E80090">
        <w:rPr>
          <w:rFonts w:asciiTheme="majorHAnsi" w:hAnsiTheme="majorHAnsi" w:cs="Times New Roman"/>
          <w:lang w:val="en-GB"/>
        </w:rPr>
        <w:t>banking</w:t>
      </w:r>
      <w:r w:rsidRPr="00E80090">
        <w:rPr>
          <w:rFonts w:asciiTheme="majorHAnsi" w:hAnsiTheme="majorHAnsi" w:cs="Times New Roman"/>
          <w:lang w:val="en-GB"/>
        </w:rPr>
        <w:t xml:space="preserve"> services do the Sun</w:t>
      </w:r>
      <w:r w:rsidR="00506573" w:rsidRPr="00E80090">
        <w:rPr>
          <w:rFonts w:asciiTheme="majorHAnsi" w:hAnsiTheme="majorHAnsi" w:cs="Times New Roman"/>
          <w:lang w:val="en-GB"/>
        </w:rPr>
        <w:t xml:space="preserve"> </w:t>
      </w:r>
      <w:r w:rsidRPr="00E80090">
        <w:rPr>
          <w:rFonts w:asciiTheme="majorHAnsi" w:hAnsiTheme="majorHAnsi" w:cs="Times New Roman"/>
          <w:lang w:val="en-GB"/>
        </w:rPr>
        <w:t xml:space="preserve">Chemical </w:t>
      </w:r>
      <w:r w:rsidR="00F41849" w:rsidRPr="00E80090">
        <w:rPr>
          <w:rFonts w:asciiTheme="majorHAnsi" w:hAnsiTheme="majorHAnsi" w:cs="Times New Roman"/>
          <w:lang w:val="en-GB"/>
        </w:rPr>
        <w:t>subsidiaries in</w:t>
      </w:r>
      <w:r w:rsidRPr="00E80090">
        <w:rPr>
          <w:rFonts w:asciiTheme="majorHAnsi" w:hAnsiTheme="majorHAnsi" w:cs="Times New Roman"/>
          <w:lang w:val="en-GB"/>
        </w:rPr>
        <w:t xml:space="preserve"> the CEE region currently use? </w:t>
      </w:r>
    </w:p>
    <w:p w14:paraId="6E584201" w14:textId="77777777" w:rsidR="00345BD7" w:rsidRPr="00E80090" w:rsidRDefault="00345BD7" w:rsidP="00345BD7">
      <w:pPr>
        <w:pStyle w:val="Default"/>
        <w:numPr>
          <w:ilvl w:val="0"/>
          <w:numId w:val="14"/>
        </w:numPr>
        <w:spacing w:line="360" w:lineRule="auto"/>
        <w:jc w:val="both"/>
        <w:rPr>
          <w:rFonts w:asciiTheme="majorHAnsi" w:hAnsiTheme="majorHAnsi" w:cs="Times New Roman"/>
          <w:lang w:val="en-GB"/>
        </w:rPr>
      </w:pPr>
      <w:r w:rsidRPr="00E80090">
        <w:rPr>
          <w:rFonts w:asciiTheme="majorHAnsi" w:hAnsiTheme="majorHAnsi" w:cs="Times New Roman"/>
          <w:lang w:val="en-GB"/>
        </w:rPr>
        <w:lastRenderedPageBreak/>
        <w:t xml:space="preserve">How should </w:t>
      </w:r>
      <w:r w:rsidR="00713549" w:rsidRPr="00E80090">
        <w:rPr>
          <w:rFonts w:asciiTheme="majorHAnsi" w:hAnsiTheme="majorHAnsi" w:cs="Times New Roman"/>
          <w:lang w:val="en-GB"/>
        </w:rPr>
        <w:t>banking</w:t>
      </w:r>
      <w:r w:rsidRPr="00E80090">
        <w:rPr>
          <w:rFonts w:asciiTheme="majorHAnsi" w:hAnsiTheme="majorHAnsi" w:cs="Times New Roman"/>
          <w:lang w:val="en-GB"/>
        </w:rPr>
        <w:t xml:space="preserve"> services be provided to the company in the future</w:t>
      </w:r>
      <w:r w:rsidR="00363715" w:rsidRPr="00E80090">
        <w:rPr>
          <w:rFonts w:asciiTheme="majorHAnsi" w:hAnsiTheme="majorHAnsi" w:cs="Times New Roman"/>
          <w:lang w:val="en-GB"/>
        </w:rPr>
        <w:t xml:space="preserve"> in order </w:t>
      </w:r>
      <w:r w:rsidR="001974A3" w:rsidRPr="00E80090">
        <w:rPr>
          <w:rFonts w:asciiTheme="majorHAnsi" w:hAnsiTheme="majorHAnsi" w:cs="Times New Roman"/>
          <w:lang w:val="en-GB"/>
        </w:rPr>
        <w:t>to impr</w:t>
      </w:r>
      <w:r w:rsidR="00742C43" w:rsidRPr="00E80090">
        <w:rPr>
          <w:rFonts w:asciiTheme="majorHAnsi" w:hAnsiTheme="majorHAnsi" w:cs="Times New Roman"/>
          <w:lang w:val="en-GB"/>
        </w:rPr>
        <w:t>ove the security of local operations</w:t>
      </w:r>
      <w:r w:rsidRPr="00E80090">
        <w:rPr>
          <w:rFonts w:asciiTheme="majorHAnsi" w:hAnsiTheme="majorHAnsi" w:cs="Times New Roman"/>
          <w:lang w:val="en-GB"/>
        </w:rPr>
        <w:t xml:space="preserve">? </w:t>
      </w:r>
    </w:p>
    <w:p w14:paraId="6E584202" w14:textId="77777777" w:rsidR="00345BD7" w:rsidRPr="00E80090" w:rsidRDefault="00D90404" w:rsidP="00D90404">
      <w:pPr>
        <w:pStyle w:val="Default"/>
        <w:numPr>
          <w:ilvl w:val="0"/>
          <w:numId w:val="14"/>
        </w:numPr>
        <w:spacing w:line="360" w:lineRule="auto"/>
        <w:jc w:val="both"/>
        <w:rPr>
          <w:rFonts w:asciiTheme="majorHAnsi" w:hAnsiTheme="majorHAnsi" w:cs="Times New Roman"/>
          <w:lang w:val="en-GB"/>
        </w:rPr>
      </w:pPr>
      <w:r w:rsidRPr="00E80090">
        <w:rPr>
          <w:rFonts w:asciiTheme="majorHAnsi" w:hAnsiTheme="majorHAnsi" w:cs="Times New Roman"/>
          <w:lang w:val="en-GB"/>
        </w:rPr>
        <w:t xml:space="preserve">Can </w:t>
      </w:r>
      <w:r w:rsidR="005003D9" w:rsidRPr="00E80090">
        <w:rPr>
          <w:rFonts w:asciiTheme="majorHAnsi" w:hAnsiTheme="majorHAnsi" w:cs="Times New Roman"/>
          <w:lang w:val="en-GB"/>
        </w:rPr>
        <w:t>security be improved i</w:t>
      </w:r>
      <w:r w:rsidRPr="00E80090">
        <w:rPr>
          <w:rFonts w:asciiTheme="majorHAnsi" w:hAnsiTheme="majorHAnsi" w:cs="Times New Roman"/>
          <w:lang w:val="en-GB"/>
        </w:rPr>
        <w:t xml:space="preserve">f the CEE branches are migrated to </w:t>
      </w:r>
      <w:r w:rsidR="009C7EE8" w:rsidRPr="00E80090">
        <w:rPr>
          <w:rFonts w:asciiTheme="majorHAnsi" w:hAnsiTheme="majorHAnsi" w:cs="Times New Roman"/>
          <w:lang w:val="en-GB"/>
        </w:rPr>
        <w:t>Citibank and UniCredit</w:t>
      </w:r>
      <w:r w:rsidR="00345BD7" w:rsidRPr="00E80090">
        <w:rPr>
          <w:rFonts w:asciiTheme="majorHAnsi" w:hAnsiTheme="majorHAnsi" w:cs="Times New Roman"/>
          <w:lang w:val="en-GB"/>
        </w:rPr>
        <w:t xml:space="preserve">? </w:t>
      </w:r>
    </w:p>
    <w:p w14:paraId="6E584203" w14:textId="77777777" w:rsidR="00345BD7" w:rsidRPr="00E80090" w:rsidRDefault="00363715" w:rsidP="00345BD7">
      <w:pPr>
        <w:numPr>
          <w:ilvl w:val="0"/>
          <w:numId w:val="14"/>
        </w:num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How would the</w:t>
      </w:r>
      <w:r w:rsidR="0017311E" w:rsidRPr="00E80090">
        <w:rPr>
          <w:rFonts w:asciiTheme="majorHAnsi" w:hAnsiTheme="majorHAnsi" w:cs="Cambria"/>
          <w:lang w:val="en-GB" w:eastAsia="en-US"/>
        </w:rPr>
        <w:t xml:space="preserve"> centralis</w:t>
      </w:r>
      <w:r w:rsidR="00345BD7" w:rsidRPr="00E80090">
        <w:rPr>
          <w:rFonts w:asciiTheme="majorHAnsi" w:hAnsiTheme="majorHAnsi" w:cs="Cambria"/>
          <w:lang w:val="en-GB" w:eastAsia="en-US"/>
        </w:rPr>
        <w:t>ation</w:t>
      </w:r>
      <w:r w:rsidRPr="00E80090">
        <w:rPr>
          <w:rFonts w:asciiTheme="majorHAnsi" w:hAnsiTheme="majorHAnsi" w:cs="Cambria"/>
          <w:lang w:val="en-GB" w:eastAsia="en-US"/>
        </w:rPr>
        <w:t xml:space="preserve"> impact the company financially</w:t>
      </w:r>
      <w:r w:rsidR="00345BD7" w:rsidRPr="00E80090">
        <w:rPr>
          <w:rFonts w:asciiTheme="majorHAnsi" w:hAnsiTheme="majorHAnsi" w:cs="Cambria"/>
          <w:lang w:val="en-GB" w:eastAsia="en-US"/>
        </w:rPr>
        <w:t xml:space="preserve">? </w:t>
      </w:r>
    </w:p>
    <w:p w14:paraId="6E584204" w14:textId="77777777" w:rsidR="00BB0183" w:rsidRPr="00E80090" w:rsidRDefault="00BB0183" w:rsidP="00BB018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report is intended at the </w:t>
      </w:r>
      <w:r w:rsidR="00F65AC3" w:rsidRPr="00E80090">
        <w:rPr>
          <w:rFonts w:asciiTheme="majorHAnsi" w:hAnsiTheme="majorHAnsi" w:cs="Cambria"/>
          <w:lang w:val="en-GB" w:eastAsia="en-US"/>
        </w:rPr>
        <w:t xml:space="preserve">employees of Group </w:t>
      </w:r>
      <w:r w:rsidRPr="00E80090">
        <w:rPr>
          <w:rFonts w:asciiTheme="majorHAnsi" w:hAnsiTheme="majorHAnsi" w:cs="Cambria"/>
          <w:lang w:val="en-GB" w:eastAsia="en-US"/>
        </w:rPr>
        <w:t xml:space="preserve">Treasury. This is the team in charge of the CEE banking migration project and as such is the team that would use the report to take action. The results from the study should give a clear overview of the current situation and proposed future state. Additionally, the recommendation would outline the actions that need to be taken for </w:t>
      </w:r>
      <w:r w:rsidR="00742C43" w:rsidRPr="00E80090">
        <w:rPr>
          <w:rFonts w:asciiTheme="majorHAnsi" w:hAnsiTheme="majorHAnsi" w:cs="Cambria"/>
          <w:lang w:val="en-GB" w:eastAsia="en-US"/>
        </w:rPr>
        <w:t>executing the project and achieving the company goals</w:t>
      </w:r>
      <w:r w:rsidRPr="00E80090">
        <w:rPr>
          <w:rFonts w:asciiTheme="majorHAnsi" w:hAnsiTheme="majorHAnsi" w:cs="Cambria"/>
          <w:lang w:val="en-GB" w:eastAsia="en-US"/>
        </w:rPr>
        <w:t xml:space="preserve">. </w:t>
      </w:r>
    </w:p>
    <w:p w14:paraId="6E584205" w14:textId="77777777" w:rsidR="00BB0183" w:rsidRPr="00E80090" w:rsidRDefault="00BB0183" w:rsidP="00BB018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This report first considers what is already</w:t>
      </w:r>
      <w:r w:rsidR="0017311E" w:rsidRPr="00E80090">
        <w:rPr>
          <w:rFonts w:asciiTheme="majorHAnsi" w:hAnsiTheme="majorHAnsi" w:cs="Cambria"/>
          <w:lang w:val="en-GB" w:eastAsia="en-US"/>
        </w:rPr>
        <w:t xml:space="preserve"> known on the topic of centralis</w:t>
      </w:r>
      <w:r w:rsidRPr="00E80090">
        <w:rPr>
          <w:rFonts w:asciiTheme="majorHAnsi" w:hAnsiTheme="majorHAnsi" w:cs="Cambria"/>
          <w:lang w:val="en-GB" w:eastAsia="en-US"/>
        </w:rPr>
        <w:t xml:space="preserve">ation of </w:t>
      </w:r>
      <w:r w:rsidR="00522587" w:rsidRPr="00E80090">
        <w:rPr>
          <w:rFonts w:asciiTheme="majorHAnsi" w:hAnsiTheme="majorHAnsi" w:cs="Cambria"/>
          <w:lang w:val="en-GB" w:eastAsia="en-US"/>
        </w:rPr>
        <w:t>banking</w:t>
      </w:r>
      <w:r w:rsidRPr="00E80090">
        <w:rPr>
          <w:rFonts w:asciiTheme="majorHAnsi" w:hAnsiTheme="majorHAnsi" w:cs="Cambria"/>
          <w:lang w:val="en-GB" w:eastAsia="en-US"/>
        </w:rPr>
        <w:t xml:space="preserve"> services in general. Then it explains the methodology used for the study, including the research design, scope and limitations of the investigation. </w:t>
      </w:r>
      <w:r w:rsidR="00C874F2" w:rsidRPr="00E80090">
        <w:rPr>
          <w:rFonts w:asciiTheme="majorHAnsi" w:hAnsiTheme="majorHAnsi" w:cs="Cambria"/>
          <w:lang w:val="en-GB" w:eastAsia="en-US"/>
        </w:rPr>
        <w:t xml:space="preserve">In Chapter </w:t>
      </w:r>
      <w:r w:rsidR="003C316C" w:rsidRPr="00E80090">
        <w:rPr>
          <w:rFonts w:asciiTheme="majorHAnsi" w:hAnsiTheme="majorHAnsi" w:cs="Cambria"/>
          <w:lang w:val="en-GB" w:eastAsia="en-US"/>
        </w:rPr>
        <w:t>4</w:t>
      </w:r>
      <w:r w:rsidRPr="00E80090">
        <w:rPr>
          <w:rFonts w:asciiTheme="majorHAnsi" w:hAnsiTheme="majorHAnsi" w:cs="Cambria"/>
          <w:lang w:val="en-GB" w:eastAsia="en-US"/>
        </w:rPr>
        <w:t xml:space="preserve">, the findings from the three stages of research are stated. The latter include familiarization with the problem, data collection on subsidiary level and research on the selected banks. The results first present the currently used products and services per entity, then explain the reasons for the choice of the preferred banks, and finish with an analysis of the </w:t>
      </w:r>
      <w:r w:rsidR="00585E72" w:rsidRPr="00E80090">
        <w:rPr>
          <w:rFonts w:asciiTheme="majorHAnsi" w:hAnsiTheme="majorHAnsi" w:cs="Cambria"/>
          <w:lang w:val="en-GB" w:eastAsia="en-US"/>
        </w:rPr>
        <w:t>financial effect</w:t>
      </w:r>
      <w:r w:rsidRPr="00E80090">
        <w:rPr>
          <w:rFonts w:asciiTheme="majorHAnsi" w:hAnsiTheme="majorHAnsi" w:cs="Cambria"/>
          <w:lang w:val="en-GB" w:eastAsia="en-US"/>
        </w:rPr>
        <w:t xml:space="preserve"> </w:t>
      </w:r>
      <w:r w:rsidR="00585E72" w:rsidRPr="00E80090">
        <w:rPr>
          <w:rFonts w:asciiTheme="majorHAnsi" w:hAnsiTheme="majorHAnsi" w:cs="Cambria"/>
          <w:lang w:val="en-GB" w:eastAsia="en-US"/>
        </w:rPr>
        <w:t xml:space="preserve">of the </w:t>
      </w:r>
      <w:r w:rsidR="00126DCB" w:rsidRPr="00E80090">
        <w:rPr>
          <w:rFonts w:asciiTheme="majorHAnsi" w:hAnsiTheme="majorHAnsi" w:cs="Cambria"/>
          <w:lang w:val="en-GB" w:eastAsia="en-US"/>
        </w:rPr>
        <w:t>project</w:t>
      </w:r>
      <w:r w:rsidR="00585E72" w:rsidRPr="00E80090">
        <w:rPr>
          <w:rFonts w:asciiTheme="majorHAnsi" w:hAnsiTheme="majorHAnsi" w:cs="Cambria"/>
          <w:lang w:val="en-GB" w:eastAsia="en-US"/>
        </w:rPr>
        <w:t xml:space="preserve"> </w:t>
      </w:r>
      <w:r w:rsidRPr="00E80090">
        <w:rPr>
          <w:rFonts w:asciiTheme="majorHAnsi" w:hAnsiTheme="majorHAnsi" w:cs="Cambria"/>
          <w:lang w:val="en-GB" w:eastAsia="en-US"/>
        </w:rPr>
        <w:t>and challenges</w:t>
      </w:r>
      <w:r w:rsidR="00585E72" w:rsidRPr="00E80090">
        <w:rPr>
          <w:rFonts w:asciiTheme="majorHAnsi" w:hAnsiTheme="majorHAnsi" w:cs="Cambria"/>
          <w:lang w:val="en-GB" w:eastAsia="en-US"/>
        </w:rPr>
        <w:t xml:space="preserve"> for its execution</w:t>
      </w:r>
      <w:r w:rsidRPr="00E80090">
        <w:rPr>
          <w:rFonts w:asciiTheme="majorHAnsi" w:hAnsiTheme="majorHAnsi" w:cs="Cambria"/>
          <w:lang w:val="en-GB" w:eastAsia="en-US"/>
        </w:rPr>
        <w:t xml:space="preserve">. </w:t>
      </w:r>
      <w:r w:rsidR="00314EA2" w:rsidRPr="00E80090">
        <w:rPr>
          <w:rFonts w:asciiTheme="majorHAnsi" w:hAnsiTheme="majorHAnsi" w:cs="Cambria"/>
          <w:lang w:val="en-GB" w:eastAsia="en-US"/>
        </w:rPr>
        <w:t xml:space="preserve">Chapter </w:t>
      </w:r>
      <w:r w:rsidR="003C316C" w:rsidRPr="00E80090">
        <w:rPr>
          <w:rFonts w:asciiTheme="majorHAnsi" w:hAnsiTheme="majorHAnsi" w:cs="Cambria"/>
          <w:lang w:val="en-GB" w:eastAsia="en-US"/>
        </w:rPr>
        <w:t>5</w:t>
      </w:r>
      <w:r w:rsidR="00022406" w:rsidRPr="00E80090">
        <w:rPr>
          <w:rFonts w:asciiTheme="majorHAnsi" w:hAnsiTheme="majorHAnsi" w:cs="Cambria"/>
          <w:lang w:val="en-GB" w:eastAsia="en-US"/>
        </w:rPr>
        <w:t xml:space="preserve"> includes the</w:t>
      </w:r>
      <w:r w:rsidRPr="00E80090">
        <w:rPr>
          <w:rFonts w:asciiTheme="majorHAnsi" w:hAnsiTheme="majorHAnsi" w:cs="Cambria"/>
          <w:lang w:val="en-GB" w:eastAsia="en-US"/>
        </w:rPr>
        <w:t xml:space="preserve"> </w:t>
      </w:r>
      <w:r w:rsidR="00022406" w:rsidRPr="00E80090">
        <w:rPr>
          <w:rFonts w:asciiTheme="majorHAnsi" w:hAnsiTheme="majorHAnsi" w:cs="Cambria"/>
          <w:lang w:val="en-GB" w:eastAsia="en-US"/>
        </w:rPr>
        <w:t>discussion on</w:t>
      </w:r>
      <w:r w:rsidRPr="00E80090">
        <w:rPr>
          <w:rFonts w:asciiTheme="majorHAnsi" w:hAnsiTheme="majorHAnsi" w:cs="Cambria"/>
          <w:lang w:val="en-GB" w:eastAsia="en-US"/>
        </w:rPr>
        <w:t xml:space="preserve"> </w:t>
      </w:r>
      <w:r w:rsidR="00022406" w:rsidRPr="00E80090">
        <w:rPr>
          <w:rFonts w:asciiTheme="majorHAnsi" w:hAnsiTheme="majorHAnsi" w:cs="Cambria"/>
          <w:lang w:val="en-GB" w:eastAsia="en-US"/>
        </w:rPr>
        <w:t xml:space="preserve">the theoretical implications of the findings, their practical application, </w:t>
      </w:r>
      <w:r w:rsidR="003C316C" w:rsidRPr="00E80090">
        <w:rPr>
          <w:rFonts w:asciiTheme="majorHAnsi" w:hAnsiTheme="majorHAnsi" w:cs="Cambria"/>
          <w:lang w:val="en-GB" w:eastAsia="en-US"/>
        </w:rPr>
        <w:t xml:space="preserve">possible conflicts, </w:t>
      </w:r>
      <w:r w:rsidR="00022406" w:rsidRPr="00E80090">
        <w:rPr>
          <w:rFonts w:asciiTheme="majorHAnsi" w:hAnsiTheme="majorHAnsi" w:cs="Cambria"/>
          <w:lang w:val="en-GB" w:eastAsia="en-US"/>
        </w:rPr>
        <w:t xml:space="preserve">timeline for the project and suggestions for further research. </w:t>
      </w:r>
      <w:r w:rsidRPr="00E80090">
        <w:rPr>
          <w:rFonts w:asciiTheme="majorHAnsi" w:hAnsiTheme="majorHAnsi" w:cs="Cambria"/>
          <w:lang w:val="en-GB" w:eastAsia="en-US"/>
        </w:rPr>
        <w:t xml:space="preserve">Finally, the report finishes with </w:t>
      </w:r>
      <w:r w:rsidR="00CC4693" w:rsidRPr="00E80090">
        <w:rPr>
          <w:rFonts w:asciiTheme="majorHAnsi" w:hAnsiTheme="majorHAnsi" w:cs="Cambria"/>
          <w:lang w:val="en-GB" w:eastAsia="en-US"/>
        </w:rPr>
        <w:t xml:space="preserve">the </w:t>
      </w:r>
      <w:r w:rsidRPr="00E80090">
        <w:rPr>
          <w:rFonts w:asciiTheme="majorHAnsi" w:hAnsiTheme="majorHAnsi" w:cs="Cambria"/>
          <w:lang w:val="en-GB" w:eastAsia="en-US"/>
        </w:rPr>
        <w:t>recommendations to the company on how to execute the project.</w:t>
      </w:r>
    </w:p>
    <w:p w14:paraId="6E584206" w14:textId="77777777" w:rsidR="00001664" w:rsidRPr="00E80090" w:rsidRDefault="00001664" w:rsidP="0064539B">
      <w:pPr>
        <w:ind w:right="236"/>
        <w:rPr>
          <w:rFonts w:asciiTheme="majorHAnsi" w:hAnsiTheme="majorHAnsi"/>
          <w:lang w:val="en-GB"/>
        </w:rPr>
      </w:pPr>
    </w:p>
    <w:p w14:paraId="6E584207" w14:textId="77777777" w:rsidR="00001664" w:rsidRPr="00E80090" w:rsidRDefault="00001664">
      <w:pPr>
        <w:rPr>
          <w:rFonts w:asciiTheme="majorHAnsi" w:hAnsiTheme="majorHAnsi" w:cs="Cambria"/>
          <w:b/>
          <w:bCs/>
          <w:color w:val="365F91"/>
          <w:sz w:val="28"/>
          <w:szCs w:val="28"/>
          <w:lang w:val="en-GB" w:eastAsia="en-US"/>
        </w:rPr>
      </w:pPr>
      <w:bookmarkStart w:id="9" w:name="_Toc357626993"/>
      <w:r w:rsidRPr="00E80090">
        <w:rPr>
          <w:rFonts w:asciiTheme="majorHAnsi" w:eastAsia="Times New Roman" w:hAnsiTheme="majorHAnsi"/>
          <w:lang w:val="en-GB" w:eastAsia="en-US"/>
        </w:rPr>
        <w:br w:type="page"/>
      </w:r>
    </w:p>
    <w:p w14:paraId="6E584208" w14:textId="77777777" w:rsidR="00001664" w:rsidRPr="00E80090" w:rsidRDefault="00001664" w:rsidP="00E6019C">
      <w:pPr>
        <w:pStyle w:val="Kop1"/>
        <w:numPr>
          <w:ilvl w:val="0"/>
          <w:numId w:val="10"/>
        </w:numPr>
        <w:rPr>
          <w:rFonts w:asciiTheme="majorHAnsi" w:hAnsiTheme="majorHAnsi"/>
          <w:lang w:val="en-GB" w:eastAsia="en-US"/>
        </w:rPr>
      </w:pPr>
      <w:bookmarkStart w:id="10" w:name="_Toc360633009"/>
      <w:bookmarkStart w:id="11" w:name="_Toc368290335"/>
      <w:bookmarkStart w:id="12" w:name="_Toc359145820"/>
      <w:bookmarkStart w:id="13" w:name="_Toc359408841"/>
      <w:r w:rsidRPr="00E80090">
        <w:rPr>
          <w:rFonts w:asciiTheme="majorHAnsi" w:hAnsiTheme="majorHAnsi"/>
          <w:lang w:val="en-GB" w:eastAsia="en-US"/>
        </w:rPr>
        <w:lastRenderedPageBreak/>
        <w:t>Literature review</w:t>
      </w:r>
      <w:bookmarkEnd w:id="10"/>
      <w:bookmarkEnd w:id="11"/>
      <w:r w:rsidRPr="00E80090">
        <w:rPr>
          <w:rFonts w:asciiTheme="majorHAnsi" w:hAnsiTheme="majorHAnsi"/>
          <w:lang w:val="en-GB" w:eastAsia="en-US"/>
        </w:rPr>
        <w:t xml:space="preserve"> </w:t>
      </w:r>
      <w:bookmarkEnd w:id="9"/>
      <w:bookmarkEnd w:id="12"/>
      <w:bookmarkEnd w:id="13"/>
    </w:p>
    <w:p w14:paraId="6E584209" w14:textId="77777777" w:rsidR="00001664" w:rsidRPr="00E80090" w:rsidRDefault="00001664" w:rsidP="00A32C66">
      <w:pPr>
        <w:ind w:right="236"/>
        <w:rPr>
          <w:rFonts w:asciiTheme="majorHAnsi" w:hAnsiTheme="majorHAnsi"/>
          <w:color w:val="0000FF"/>
          <w:lang w:val="en-GB"/>
        </w:rPr>
      </w:pPr>
    </w:p>
    <w:p w14:paraId="6E58420A" w14:textId="77777777" w:rsidR="00001664" w:rsidRPr="00E80090" w:rsidRDefault="00001664"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As multinational corporations (MNCs) operate on a global scale they experience complications with the organisation of their capital structure and international treasury management </w:t>
      </w:r>
      <w:r w:rsidR="00E34B3A" w:rsidRPr="00E80090">
        <w:rPr>
          <w:rFonts w:asciiTheme="majorHAnsi" w:hAnsiTheme="majorHAnsi" w:cs="Cambria"/>
          <w:lang w:val="en-GB" w:eastAsia="en-US"/>
        </w:rPr>
        <w:t>(McMillan &amp; Camara, 2012)</w:t>
      </w:r>
      <w:r w:rsidRPr="00E80090">
        <w:rPr>
          <w:rFonts w:asciiTheme="majorHAnsi" w:hAnsiTheme="majorHAnsi" w:cs="Cambria"/>
          <w:lang w:val="en-GB" w:eastAsia="en-US"/>
        </w:rPr>
        <w:t xml:space="preserve">. They face the challenge of developing a robust and efficient treasury infrastructure that supports the needs of a constantly evolving and developing business </w:t>
      </w:r>
      <w:r w:rsidR="00E34B3A" w:rsidRPr="00E80090">
        <w:rPr>
          <w:rFonts w:asciiTheme="majorHAnsi" w:hAnsiTheme="majorHAnsi" w:cs="Cambria"/>
          <w:lang w:val="en-GB" w:eastAsia="en-US"/>
        </w:rPr>
        <w:t>(Polák &amp; Klusáček, 2010)</w:t>
      </w:r>
      <w:r w:rsidRPr="00E80090">
        <w:rPr>
          <w:rFonts w:asciiTheme="majorHAnsi" w:hAnsiTheme="majorHAnsi" w:cs="Cambria"/>
          <w:lang w:val="en-GB" w:eastAsia="en-US"/>
        </w:rPr>
        <w:t xml:space="preserve">. Because of that many MNCs tend to adopt a centralised structure for their cash management and other treasury activities </w:t>
      </w:r>
      <w:r w:rsidR="00E34B3A" w:rsidRPr="00E80090">
        <w:rPr>
          <w:rFonts w:asciiTheme="majorHAnsi" w:hAnsiTheme="majorHAnsi" w:cs="Cambria"/>
          <w:lang w:val="en-GB" w:eastAsia="en-US"/>
        </w:rPr>
        <w:t>(Mulligan, 2001)</w:t>
      </w:r>
      <w:r w:rsidRPr="00E80090">
        <w:rPr>
          <w:rFonts w:asciiTheme="majorHAnsi" w:hAnsiTheme="majorHAnsi" w:cs="Cambria"/>
          <w:lang w:val="en-GB" w:eastAsia="en-US"/>
        </w:rPr>
        <w:t xml:space="preserve">. </w:t>
      </w:r>
    </w:p>
    <w:p w14:paraId="6E58420B" w14:textId="77777777" w:rsidR="00001664" w:rsidRPr="00E80090" w:rsidRDefault="00001664"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Treasury management consists of four elements. Those include currency risk management, funds management, cash management and banking relationships </w:t>
      </w:r>
      <w:r w:rsidR="00E34B3A" w:rsidRPr="00E80090">
        <w:rPr>
          <w:rFonts w:asciiTheme="majorHAnsi" w:hAnsiTheme="majorHAnsi" w:cs="Cambria"/>
          <w:lang w:val="en-GB" w:eastAsia="en-US"/>
        </w:rPr>
        <w:t>(Mulligan, 2001)</w:t>
      </w:r>
      <w:r w:rsidRPr="00E80090">
        <w:rPr>
          <w:rFonts w:asciiTheme="majorHAnsi" w:hAnsiTheme="majorHAnsi" w:cs="Cambria"/>
          <w:lang w:val="en-GB" w:eastAsia="en-US"/>
        </w:rPr>
        <w:t>. The focus in the following analysis falls on banking relationships and cash management th</w:t>
      </w:r>
      <w:r w:rsidR="00F90876" w:rsidRPr="00E80090">
        <w:rPr>
          <w:rFonts w:asciiTheme="majorHAnsi" w:hAnsiTheme="majorHAnsi" w:cs="Cambria"/>
          <w:lang w:val="en-GB" w:eastAsia="en-US"/>
        </w:rPr>
        <w:t>r</w:t>
      </w:r>
      <w:r w:rsidRPr="00E80090">
        <w:rPr>
          <w:rFonts w:asciiTheme="majorHAnsi" w:hAnsiTheme="majorHAnsi" w:cs="Cambria"/>
          <w:lang w:val="en-GB" w:eastAsia="en-US"/>
        </w:rPr>
        <w:t>ough financial intermediaries and the benefits and challenges related to centralising these services. Sheedy (1993) singles out banking relations as one of the more important duties of a corporate t</w:t>
      </w:r>
      <w:r w:rsidR="00F90876" w:rsidRPr="00E80090">
        <w:rPr>
          <w:rFonts w:asciiTheme="majorHAnsi" w:hAnsiTheme="majorHAnsi" w:cs="Cambria"/>
          <w:lang w:val="en-GB" w:eastAsia="en-US"/>
        </w:rPr>
        <w:t xml:space="preserve">reasurer. As such they require special attention and it is advisable that the treasurer is aware of what implications they hide. </w:t>
      </w:r>
      <w:r w:rsidRPr="00E80090">
        <w:rPr>
          <w:rFonts w:asciiTheme="majorHAnsi" w:hAnsiTheme="majorHAnsi" w:cs="Cambria"/>
          <w:lang w:val="en-GB" w:eastAsia="en-US"/>
        </w:rPr>
        <w:t xml:space="preserve">Shapiro (1989) </w:t>
      </w:r>
      <w:r w:rsidR="00F90876" w:rsidRPr="00E80090">
        <w:rPr>
          <w:rFonts w:asciiTheme="majorHAnsi" w:hAnsiTheme="majorHAnsi" w:cs="Cambria"/>
          <w:lang w:val="en-GB" w:eastAsia="en-US"/>
        </w:rPr>
        <w:t xml:space="preserve">identifies several problems related to banking relations. Those </w:t>
      </w:r>
      <w:r w:rsidRPr="00E80090">
        <w:rPr>
          <w:rFonts w:asciiTheme="majorHAnsi" w:hAnsiTheme="majorHAnsi" w:cs="Cambria"/>
          <w:lang w:val="en-GB" w:eastAsia="en-US"/>
        </w:rPr>
        <w:t>include</w:t>
      </w:r>
      <w:r w:rsidR="00F90876" w:rsidRPr="00E80090">
        <w:rPr>
          <w:rFonts w:asciiTheme="majorHAnsi" w:hAnsiTheme="majorHAnsi" w:cs="Cambria"/>
          <w:lang w:val="en-GB" w:eastAsia="en-US"/>
        </w:rPr>
        <w:t>:</w:t>
      </w:r>
      <w:r w:rsidRPr="00E80090">
        <w:rPr>
          <w:rFonts w:asciiTheme="majorHAnsi" w:hAnsiTheme="majorHAnsi" w:cs="Cambria"/>
          <w:lang w:val="en-GB" w:eastAsia="en-US"/>
        </w:rPr>
        <w:t xml:space="preserve"> too many relations, high banking costs, inadequate reporting and excessive clearing delays. </w:t>
      </w:r>
    </w:p>
    <w:p w14:paraId="6E58420C" w14:textId="77777777" w:rsidR="00001664" w:rsidRPr="00E80090" w:rsidRDefault="0017311E"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Centralis</w:t>
      </w:r>
      <w:r w:rsidR="00001664" w:rsidRPr="00E80090">
        <w:rPr>
          <w:rFonts w:asciiTheme="majorHAnsi" w:hAnsiTheme="majorHAnsi" w:cs="Cambria"/>
          <w:lang w:val="en-GB" w:eastAsia="en-US"/>
        </w:rPr>
        <w:t xml:space="preserve">ation of </w:t>
      </w:r>
      <w:r w:rsidR="00277E49" w:rsidRPr="00E80090">
        <w:rPr>
          <w:rFonts w:asciiTheme="majorHAnsi" w:hAnsiTheme="majorHAnsi" w:cs="Cambria"/>
          <w:lang w:val="en-GB" w:eastAsia="en-US"/>
        </w:rPr>
        <w:t>cash management</w:t>
      </w:r>
      <w:r w:rsidR="00001664" w:rsidRPr="00E80090">
        <w:rPr>
          <w:rFonts w:asciiTheme="majorHAnsi" w:hAnsiTheme="majorHAnsi" w:cs="Cambria"/>
          <w:lang w:val="en-GB" w:eastAsia="en-US"/>
        </w:rPr>
        <w:t xml:space="preserve"> activities can offer MNCs the ability to achieve greater efficiencies, high transparency and access to real time information across a broad geographic area, multiple time zones, and many entities</w:t>
      </w:r>
      <w:r w:rsidR="00822F2F" w:rsidRPr="00E80090">
        <w:rPr>
          <w:rFonts w:asciiTheme="majorHAnsi" w:hAnsiTheme="majorHAnsi" w:cs="Cambria"/>
          <w:lang w:val="en-GB" w:eastAsia="en-US"/>
        </w:rPr>
        <w:t xml:space="preserve"> </w:t>
      </w:r>
      <w:r w:rsidR="00E34B3A" w:rsidRPr="00E80090">
        <w:rPr>
          <w:rFonts w:asciiTheme="majorHAnsi" w:hAnsiTheme="majorHAnsi" w:cs="Cambria"/>
          <w:lang w:val="en-GB" w:eastAsia="en-US"/>
        </w:rPr>
        <w:t>(Polák &amp; Klusáček, 2010)</w:t>
      </w:r>
      <w:r w:rsidR="00001664" w:rsidRPr="00E80090">
        <w:rPr>
          <w:rFonts w:asciiTheme="majorHAnsi" w:hAnsiTheme="majorHAnsi" w:cs="Cambria"/>
          <w:lang w:val="en-GB" w:eastAsia="en-US"/>
        </w:rPr>
        <w:t xml:space="preserve">. Moreover, Walton (1995) suggests </w:t>
      </w:r>
      <w:r w:rsidR="001403DC" w:rsidRPr="00E80090">
        <w:rPr>
          <w:rFonts w:asciiTheme="majorHAnsi" w:hAnsiTheme="majorHAnsi" w:cs="Cambria"/>
          <w:lang w:val="en-GB" w:eastAsia="en-US"/>
        </w:rPr>
        <w:t xml:space="preserve">that </w:t>
      </w:r>
      <w:r w:rsidR="00001664" w:rsidRPr="00E80090">
        <w:rPr>
          <w:rFonts w:asciiTheme="majorHAnsi" w:hAnsiTheme="majorHAnsi" w:cs="Cambria"/>
          <w:lang w:val="en-GB" w:eastAsia="en-US"/>
        </w:rPr>
        <w:t>there are three main drivers of centralisation. Those include cost savings achieved through the reduction of banking fees</w:t>
      </w:r>
      <w:r w:rsidR="00A60F9E" w:rsidRPr="00E80090">
        <w:rPr>
          <w:rFonts w:asciiTheme="majorHAnsi" w:hAnsiTheme="majorHAnsi" w:cs="Cambria"/>
          <w:lang w:val="en-GB" w:eastAsia="en-US"/>
        </w:rPr>
        <w:t>,</w:t>
      </w:r>
      <w:r w:rsidR="00001664" w:rsidRPr="00E80090">
        <w:rPr>
          <w:rFonts w:asciiTheme="majorHAnsi" w:hAnsiTheme="majorHAnsi" w:cs="Cambria"/>
          <w:lang w:val="en-GB" w:eastAsia="en-US"/>
        </w:rPr>
        <w:t xml:space="preserve"> more efficient use of human resources and improved risk management. He supports the belief that the centralisation of cash management services would facilitate economies of scale</w:t>
      </w:r>
      <w:r w:rsidR="00A60F9E" w:rsidRPr="00E80090">
        <w:rPr>
          <w:rFonts w:asciiTheme="majorHAnsi" w:hAnsiTheme="majorHAnsi" w:cs="Cambria"/>
          <w:lang w:val="en-GB" w:eastAsia="en-US"/>
        </w:rPr>
        <w:t xml:space="preserve"> and eliminate repetitive work. </w:t>
      </w:r>
    </w:p>
    <w:p w14:paraId="6E58420D" w14:textId="77777777" w:rsidR="003100E5" w:rsidRPr="00E80090" w:rsidRDefault="00511941" w:rsidP="002A60B6">
      <w:pPr>
        <w:autoSpaceDE w:val="0"/>
        <w:autoSpaceDN w:val="0"/>
        <w:adjustRightInd w:val="0"/>
        <w:spacing w:line="360" w:lineRule="auto"/>
        <w:jc w:val="both"/>
        <w:rPr>
          <w:rFonts w:asciiTheme="majorHAnsi" w:hAnsiTheme="majorHAnsi"/>
          <w:color w:val="FF0000"/>
        </w:rPr>
      </w:pPr>
      <w:r w:rsidRPr="00E80090">
        <w:rPr>
          <w:rFonts w:asciiTheme="majorHAnsi" w:hAnsiTheme="majorHAnsi"/>
        </w:rPr>
        <w:t xml:space="preserve">The management consulting firm, Scott Madden, has </w:t>
      </w:r>
      <w:r w:rsidR="00224CF0" w:rsidRPr="00E80090">
        <w:rPr>
          <w:rFonts w:asciiTheme="majorHAnsi" w:hAnsiTheme="majorHAnsi"/>
        </w:rPr>
        <w:t>discovered</w:t>
      </w:r>
      <w:r w:rsidRPr="00E80090">
        <w:rPr>
          <w:rFonts w:asciiTheme="majorHAnsi" w:hAnsiTheme="majorHAnsi"/>
        </w:rPr>
        <w:t xml:space="preserve"> that </w:t>
      </w:r>
      <w:r w:rsidR="00A24492" w:rsidRPr="00E80090">
        <w:rPr>
          <w:rFonts w:asciiTheme="majorHAnsi" w:hAnsiTheme="majorHAnsi"/>
        </w:rPr>
        <w:t>reductions</w:t>
      </w:r>
      <w:r w:rsidRPr="00E80090">
        <w:rPr>
          <w:rFonts w:asciiTheme="majorHAnsi" w:hAnsiTheme="majorHAnsi"/>
        </w:rPr>
        <w:t xml:space="preserve"> in labor costs </w:t>
      </w:r>
      <w:r w:rsidR="002A60B6" w:rsidRPr="00E80090">
        <w:rPr>
          <w:rFonts w:asciiTheme="majorHAnsi" w:hAnsiTheme="majorHAnsi"/>
        </w:rPr>
        <w:t>form</w:t>
      </w:r>
      <w:r w:rsidRPr="00E80090">
        <w:rPr>
          <w:rFonts w:asciiTheme="majorHAnsi" w:hAnsiTheme="majorHAnsi"/>
        </w:rPr>
        <w:t xml:space="preserve"> the </w:t>
      </w:r>
      <w:r w:rsidR="00FA5085" w:rsidRPr="00E80090">
        <w:rPr>
          <w:rFonts w:asciiTheme="majorHAnsi" w:hAnsiTheme="majorHAnsi"/>
        </w:rPr>
        <w:t>larges</w:t>
      </w:r>
      <w:r w:rsidR="00A24492" w:rsidRPr="00E80090">
        <w:rPr>
          <w:rFonts w:asciiTheme="majorHAnsi" w:hAnsiTheme="majorHAnsi"/>
        </w:rPr>
        <w:t>t</w:t>
      </w:r>
      <w:r w:rsidRPr="00E80090">
        <w:rPr>
          <w:rFonts w:asciiTheme="majorHAnsi" w:hAnsiTheme="majorHAnsi"/>
        </w:rPr>
        <w:t xml:space="preserve"> </w:t>
      </w:r>
      <w:r w:rsidR="002A60B6" w:rsidRPr="00E80090">
        <w:rPr>
          <w:rFonts w:asciiTheme="majorHAnsi" w:hAnsiTheme="majorHAnsi"/>
        </w:rPr>
        <w:t>share</w:t>
      </w:r>
      <w:r w:rsidRPr="00E80090">
        <w:rPr>
          <w:rFonts w:asciiTheme="majorHAnsi" w:hAnsiTheme="majorHAnsi"/>
        </w:rPr>
        <w:t xml:space="preserve"> of the </w:t>
      </w:r>
      <w:r w:rsidR="002A60B6" w:rsidRPr="00E80090">
        <w:rPr>
          <w:rFonts w:asciiTheme="majorHAnsi" w:hAnsiTheme="majorHAnsi"/>
        </w:rPr>
        <w:t xml:space="preserve">cost </w:t>
      </w:r>
      <w:r w:rsidRPr="00E80090">
        <w:rPr>
          <w:rFonts w:asciiTheme="majorHAnsi" w:hAnsiTheme="majorHAnsi"/>
        </w:rPr>
        <w:t>savings from c</w:t>
      </w:r>
      <w:r w:rsidR="00F331D5" w:rsidRPr="00E80090">
        <w:rPr>
          <w:rFonts w:asciiTheme="majorHAnsi" w:hAnsiTheme="majorHAnsi"/>
        </w:rPr>
        <w:t>oncentration</w:t>
      </w:r>
      <w:r w:rsidRPr="00E80090">
        <w:rPr>
          <w:rFonts w:asciiTheme="majorHAnsi" w:hAnsiTheme="majorHAnsi"/>
        </w:rPr>
        <w:t xml:space="preserve"> of services</w:t>
      </w:r>
      <w:r w:rsidR="003100E5" w:rsidRPr="00E80090">
        <w:rPr>
          <w:rFonts w:asciiTheme="majorHAnsi" w:hAnsiTheme="majorHAnsi"/>
        </w:rPr>
        <w:t xml:space="preserve"> </w:t>
      </w:r>
      <w:sdt>
        <w:sdtPr>
          <w:rPr>
            <w:rFonts w:asciiTheme="majorHAnsi" w:hAnsiTheme="majorHAnsi"/>
          </w:rPr>
          <w:id w:val="1509941715"/>
          <w:citation/>
        </w:sdtPr>
        <w:sdtEndPr/>
        <w:sdtContent>
          <w:r w:rsidR="003100E5" w:rsidRPr="00E80090">
            <w:rPr>
              <w:rFonts w:asciiTheme="majorHAnsi" w:hAnsiTheme="majorHAnsi"/>
            </w:rPr>
            <w:fldChar w:fldCharType="begin"/>
          </w:r>
          <w:r w:rsidR="003100E5" w:rsidRPr="00E80090">
            <w:rPr>
              <w:rFonts w:asciiTheme="majorHAnsi" w:hAnsiTheme="majorHAnsi"/>
            </w:rPr>
            <w:instrText xml:space="preserve">CITATION Dan12 \l 1033 </w:instrText>
          </w:r>
          <w:r w:rsidR="003100E5" w:rsidRPr="00E80090">
            <w:rPr>
              <w:rFonts w:asciiTheme="majorHAnsi" w:hAnsiTheme="majorHAnsi"/>
            </w:rPr>
            <w:fldChar w:fldCharType="separate"/>
          </w:r>
          <w:r w:rsidR="004D1237" w:rsidRPr="00E80090">
            <w:rPr>
              <w:rFonts w:asciiTheme="majorHAnsi" w:hAnsiTheme="majorHAnsi"/>
              <w:noProof/>
            </w:rPr>
            <w:t>(Berthiaume, 2012)</w:t>
          </w:r>
          <w:r w:rsidR="003100E5" w:rsidRPr="00E80090">
            <w:rPr>
              <w:rFonts w:asciiTheme="majorHAnsi" w:hAnsiTheme="majorHAnsi"/>
            </w:rPr>
            <w:fldChar w:fldCharType="end"/>
          </w:r>
        </w:sdtContent>
      </w:sdt>
      <w:r w:rsidRPr="00E80090">
        <w:rPr>
          <w:rFonts w:asciiTheme="majorHAnsi" w:hAnsiTheme="majorHAnsi"/>
        </w:rPr>
        <w:t xml:space="preserve">. </w:t>
      </w:r>
      <w:r w:rsidR="003100E5" w:rsidRPr="00E80090">
        <w:rPr>
          <w:rFonts w:asciiTheme="majorHAnsi" w:hAnsiTheme="majorHAnsi"/>
        </w:rPr>
        <w:t xml:space="preserve">According to them, the median labor cost reduction at companies </w:t>
      </w:r>
      <w:r w:rsidR="00224CF0" w:rsidRPr="00E80090">
        <w:rPr>
          <w:rFonts w:asciiTheme="majorHAnsi" w:hAnsiTheme="majorHAnsi"/>
        </w:rPr>
        <w:t>after centralizing</w:t>
      </w:r>
      <w:r w:rsidR="003100E5" w:rsidRPr="00E80090">
        <w:rPr>
          <w:rFonts w:asciiTheme="majorHAnsi" w:hAnsiTheme="majorHAnsi"/>
        </w:rPr>
        <w:t xml:space="preserve"> banking services equals 24%.</w:t>
      </w:r>
      <w:r w:rsidR="0032628F" w:rsidRPr="00E80090">
        <w:rPr>
          <w:rFonts w:asciiTheme="majorHAnsi" w:hAnsiTheme="majorHAnsi"/>
        </w:rPr>
        <w:t xml:space="preserve"> </w:t>
      </w:r>
      <w:r w:rsidR="00A351EE" w:rsidRPr="00E80090">
        <w:rPr>
          <w:rFonts w:asciiTheme="majorHAnsi" w:hAnsiTheme="majorHAnsi"/>
        </w:rPr>
        <w:t>The firm also states that the businesses they studies have achieved payback</w:t>
      </w:r>
      <w:r w:rsidR="00FA5085" w:rsidRPr="00E80090">
        <w:rPr>
          <w:rFonts w:asciiTheme="majorHAnsi" w:hAnsiTheme="majorHAnsi"/>
        </w:rPr>
        <w:t xml:space="preserve"> of the invested in the project capital</w:t>
      </w:r>
      <w:r w:rsidR="00A351EE" w:rsidRPr="00E80090">
        <w:rPr>
          <w:rFonts w:asciiTheme="majorHAnsi" w:hAnsiTheme="majorHAnsi"/>
        </w:rPr>
        <w:t xml:space="preserve"> within 19 to 44 months</w:t>
      </w:r>
      <w:r w:rsidR="00BE43F7" w:rsidRPr="00E80090">
        <w:rPr>
          <w:rFonts w:asciiTheme="majorHAnsi" w:hAnsiTheme="majorHAnsi"/>
        </w:rPr>
        <w:t>.</w:t>
      </w:r>
    </w:p>
    <w:p w14:paraId="6E58420E" w14:textId="77777777" w:rsidR="00C31523" w:rsidRPr="00E80090" w:rsidRDefault="00001664" w:rsidP="00BC15ED">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lastRenderedPageBreak/>
        <w:t xml:space="preserve">However, there are also certain </w:t>
      </w:r>
      <w:r w:rsidR="00652F69" w:rsidRPr="00E80090">
        <w:rPr>
          <w:rFonts w:asciiTheme="majorHAnsi" w:hAnsiTheme="majorHAnsi" w:cs="Cambria"/>
          <w:lang w:val="en-GB" w:eastAsia="en-US"/>
        </w:rPr>
        <w:t xml:space="preserve">costs </w:t>
      </w:r>
      <w:r w:rsidRPr="00E80090">
        <w:rPr>
          <w:rFonts w:asciiTheme="majorHAnsi" w:hAnsiTheme="majorHAnsi" w:cs="Cambria"/>
          <w:lang w:val="en-GB" w:eastAsia="en-US"/>
        </w:rPr>
        <w:t xml:space="preserve">associated with the centralised structure. </w:t>
      </w:r>
      <w:r w:rsidR="005806FE" w:rsidRPr="00E80090">
        <w:rPr>
          <w:rFonts w:asciiTheme="majorHAnsi" w:hAnsiTheme="majorHAnsi"/>
          <w:noProof/>
        </w:rPr>
        <w:t xml:space="preserve">Berthiaume (2012) lists </w:t>
      </w:r>
      <w:r w:rsidR="00B13AFF" w:rsidRPr="00E80090">
        <w:rPr>
          <w:rFonts w:asciiTheme="majorHAnsi" w:hAnsiTheme="majorHAnsi"/>
          <w:noProof/>
        </w:rPr>
        <w:t xml:space="preserve">four main categories: </w:t>
      </w:r>
      <w:r w:rsidR="00B13AFF" w:rsidRPr="00E80090">
        <w:rPr>
          <w:rFonts w:asciiTheme="majorHAnsi" w:hAnsiTheme="majorHAnsi" w:cs="Cambria"/>
          <w:lang w:val="en-GB" w:eastAsia="en-US"/>
        </w:rPr>
        <w:t xml:space="preserve">technology, facilities, implementation support, and severance. </w:t>
      </w:r>
      <w:r w:rsidR="00720DC7" w:rsidRPr="00E80090">
        <w:rPr>
          <w:rFonts w:asciiTheme="majorHAnsi" w:hAnsiTheme="majorHAnsi" w:cs="Cambria"/>
          <w:lang w:val="en-GB" w:eastAsia="en-US"/>
        </w:rPr>
        <w:t xml:space="preserve">The last two typically represent the largest component of the total cost. </w:t>
      </w:r>
      <w:r w:rsidR="00652F69" w:rsidRPr="00E80090">
        <w:rPr>
          <w:rFonts w:asciiTheme="majorHAnsi" w:hAnsiTheme="majorHAnsi" w:cs="Cambria"/>
          <w:lang w:val="en-GB" w:eastAsia="en-US"/>
        </w:rPr>
        <w:t xml:space="preserve">Implementation support </w:t>
      </w:r>
      <w:r w:rsidR="00C31523" w:rsidRPr="00E80090">
        <w:rPr>
          <w:rFonts w:asciiTheme="majorHAnsi" w:hAnsiTheme="majorHAnsi" w:cs="Cambria"/>
          <w:lang w:val="en-GB" w:eastAsia="en-US"/>
        </w:rPr>
        <w:t>refers to</w:t>
      </w:r>
      <w:r w:rsidR="00652F69" w:rsidRPr="00E80090">
        <w:rPr>
          <w:rFonts w:asciiTheme="majorHAnsi" w:hAnsiTheme="majorHAnsi" w:cs="Cambria"/>
          <w:lang w:val="en-GB" w:eastAsia="en-US"/>
        </w:rPr>
        <w:t xml:space="preserve"> </w:t>
      </w:r>
      <w:r w:rsidR="00C31523" w:rsidRPr="00E80090">
        <w:rPr>
          <w:rFonts w:asciiTheme="majorHAnsi" w:hAnsiTheme="majorHAnsi" w:cs="Cambria"/>
          <w:lang w:val="en-GB" w:eastAsia="en-US"/>
        </w:rPr>
        <w:t xml:space="preserve">the labour </w:t>
      </w:r>
      <w:r w:rsidR="00652F69" w:rsidRPr="00E80090">
        <w:rPr>
          <w:rFonts w:asciiTheme="majorHAnsi" w:hAnsiTheme="majorHAnsi" w:cs="Cambria"/>
          <w:lang w:val="en-GB" w:eastAsia="en-US"/>
        </w:rPr>
        <w:t xml:space="preserve">costs for </w:t>
      </w:r>
      <w:r w:rsidR="00C31523" w:rsidRPr="00E80090">
        <w:rPr>
          <w:rFonts w:asciiTheme="majorHAnsi" w:hAnsiTheme="majorHAnsi" w:cs="Cambria"/>
          <w:lang w:val="en-GB" w:eastAsia="en-US"/>
        </w:rPr>
        <w:t>project</w:t>
      </w:r>
      <w:r w:rsidR="00652F69" w:rsidRPr="00E80090">
        <w:rPr>
          <w:rFonts w:asciiTheme="majorHAnsi" w:hAnsiTheme="majorHAnsi" w:cs="Cambria"/>
          <w:lang w:val="en-GB" w:eastAsia="en-US"/>
        </w:rPr>
        <w:t xml:space="preserve"> implementation </w:t>
      </w:r>
      <w:r w:rsidR="00C31523" w:rsidRPr="00E80090">
        <w:rPr>
          <w:rFonts w:asciiTheme="majorHAnsi" w:hAnsiTheme="majorHAnsi" w:cs="Cambria"/>
          <w:lang w:val="en-GB" w:eastAsia="en-US"/>
        </w:rPr>
        <w:t xml:space="preserve">and includes </w:t>
      </w:r>
      <w:r w:rsidR="00652F69" w:rsidRPr="00E80090">
        <w:rPr>
          <w:rFonts w:asciiTheme="majorHAnsi" w:hAnsiTheme="majorHAnsi" w:cs="Cambria"/>
          <w:lang w:val="en-GB" w:eastAsia="en-US"/>
        </w:rPr>
        <w:t>internal IT support, consulting support, and other vendor support.</w:t>
      </w:r>
      <w:r w:rsidR="00C31523" w:rsidRPr="00E80090">
        <w:rPr>
          <w:rFonts w:asciiTheme="majorHAnsi" w:hAnsiTheme="majorHAnsi" w:cs="Cambria"/>
          <w:lang w:val="en-GB" w:eastAsia="en-US"/>
        </w:rPr>
        <w:t xml:space="preserve"> According to Scott Madden, different businesses have different project implementation costs, because of the difference in focus across the companies. The latter can be driven by company strategy, availability of resources, presence of existing technologies, and other constraints and priorities.</w:t>
      </w:r>
    </w:p>
    <w:p w14:paraId="6E58420F" w14:textId="77777777" w:rsidR="00001664" w:rsidRPr="00E80090" w:rsidRDefault="00652F69"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Additionally, </w:t>
      </w:r>
      <w:r w:rsidR="00DD3E3B" w:rsidRPr="00E80090">
        <w:rPr>
          <w:rFonts w:asciiTheme="majorHAnsi" w:hAnsiTheme="majorHAnsi" w:cs="Cambria"/>
          <w:lang w:val="en-GB" w:eastAsia="en-US"/>
        </w:rPr>
        <w:t xml:space="preserve">the literature shows that the </w:t>
      </w:r>
      <w:r w:rsidRPr="00E80090">
        <w:rPr>
          <w:rFonts w:asciiTheme="majorHAnsi" w:hAnsiTheme="majorHAnsi" w:cs="Cambria"/>
          <w:lang w:val="en-GB" w:eastAsia="en-US"/>
        </w:rPr>
        <w:t xml:space="preserve">centralization of banking services may involve several problems. </w:t>
      </w:r>
      <w:r w:rsidR="00001664" w:rsidRPr="00E80090">
        <w:rPr>
          <w:rFonts w:asciiTheme="majorHAnsi" w:hAnsiTheme="majorHAnsi" w:cs="Cambria"/>
          <w:lang w:val="en-GB" w:eastAsia="en-US"/>
        </w:rPr>
        <w:t xml:space="preserve">Success in the centralisation approach requires knowledge of legal and tax regulations of each country in which the MNC operates. Mulligan (2001) argues that it may be </w:t>
      </w:r>
      <w:r w:rsidR="00914BB0" w:rsidRPr="00E80090">
        <w:rPr>
          <w:rFonts w:asciiTheme="majorHAnsi" w:hAnsiTheme="majorHAnsi" w:cs="Cambria"/>
          <w:lang w:val="en-GB" w:eastAsia="en-US"/>
        </w:rPr>
        <w:t>difficult</w:t>
      </w:r>
      <w:r w:rsidR="00001664" w:rsidRPr="00E80090">
        <w:rPr>
          <w:rFonts w:asciiTheme="majorHAnsi" w:hAnsiTheme="majorHAnsi" w:cs="Cambria"/>
          <w:lang w:val="en-GB" w:eastAsia="en-US"/>
        </w:rPr>
        <w:t xml:space="preserve"> to have the required knowledge in a single financial intermediary. Considering the CEE region it needs to be taken into consideration that the countries that comprise it differ in their economic and financial development. According to the Institutional Investor Journal (2010) the region should not be seen as a homogenous bloc but as a collection of markets with different opportunities and challenges.</w:t>
      </w:r>
    </w:p>
    <w:p w14:paraId="6E584210" w14:textId="77777777" w:rsidR="00001664" w:rsidRPr="00E80090" w:rsidRDefault="00001664"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Furthermore, under a centralised structure there may be problems with information transfers between subsidiaries making this approach inefficient </w:t>
      </w:r>
      <w:r w:rsidR="00E34B3A" w:rsidRPr="00E80090">
        <w:rPr>
          <w:rFonts w:asciiTheme="majorHAnsi" w:hAnsiTheme="majorHAnsi" w:cs="Cambria"/>
          <w:lang w:val="en-GB" w:eastAsia="en-US"/>
        </w:rPr>
        <w:t>(Mulligan, 2001)</w:t>
      </w:r>
      <w:r w:rsidRPr="00E80090">
        <w:rPr>
          <w:rFonts w:asciiTheme="majorHAnsi" w:hAnsiTheme="majorHAnsi" w:cs="Cambria"/>
          <w:lang w:val="en-GB" w:eastAsia="en-US"/>
        </w:rPr>
        <w:t xml:space="preserve">. Additionally, </w:t>
      </w:r>
      <w:r w:rsidR="00B50D3D" w:rsidRPr="00E80090">
        <w:rPr>
          <w:rFonts w:asciiTheme="majorHAnsi" w:hAnsiTheme="majorHAnsi" w:cs="Cambria"/>
          <w:lang w:val="en-GB" w:eastAsia="en-US"/>
        </w:rPr>
        <w:t>Mulligan (2001)</w:t>
      </w:r>
      <w:r w:rsidRPr="00E80090">
        <w:rPr>
          <w:rFonts w:asciiTheme="majorHAnsi" w:hAnsiTheme="majorHAnsi" w:cs="Cambria"/>
          <w:lang w:val="en-GB" w:eastAsia="en-US"/>
        </w:rPr>
        <w:t xml:space="preserve"> considers the possibility that the centralised structure could have a negative impact on the motivation of regional subsidiary management as lo</w:t>
      </w:r>
      <w:r w:rsidR="00822F2F" w:rsidRPr="00E80090">
        <w:rPr>
          <w:rFonts w:asciiTheme="majorHAnsi" w:hAnsiTheme="majorHAnsi" w:cs="Cambria"/>
          <w:lang w:val="en-GB" w:eastAsia="en-US"/>
        </w:rPr>
        <w:t>cal treasury functions lose aut</w:t>
      </w:r>
      <w:r w:rsidRPr="00E80090">
        <w:rPr>
          <w:rFonts w:asciiTheme="majorHAnsi" w:hAnsiTheme="majorHAnsi" w:cs="Cambria"/>
          <w:lang w:val="en-GB" w:eastAsia="en-US"/>
        </w:rPr>
        <w:t xml:space="preserve">onomy. </w:t>
      </w:r>
    </w:p>
    <w:p w14:paraId="6E584211" w14:textId="77777777" w:rsidR="00001664" w:rsidRPr="00E80090" w:rsidRDefault="00001664"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literature suggests that there is no generic optimal solution for the structure of each MNC (Ross, 1990). Collier et al. (1989) single out several factors that need to </w:t>
      </w:r>
      <w:r w:rsidR="00822F2F" w:rsidRPr="00E80090">
        <w:rPr>
          <w:rFonts w:asciiTheme="majorHAnsi" w:hAnsiTheme="majorHAnsi" w:cs="Cambria"/>
          <w:lang w:val="en-GB" w:eastAsia="en-US"/>
        </w:rPr>
        <w:t xml:space="preserve">be </w:t>
      </w:r>
      <w:r w:rsidRPr="00E80090">
        <w:rPr>
          <w:rFonts w:asciiTheme="majorHAnsi" w:hAnsiTheme="majorHAnsi" w:cs="Cambria"/>
          <w:lang w:val="en-GB" w:eastAsia="en-US"/>
        </w:rPr>
        <w:t xml:space="preserve">taken into consideration when choosing the appropriate </w:t>
      </w:r>
      <w:r w:rsidR="001403DC" w:rsidRPr="00E80090">
        <w:rPr>
          <w:rFonts w:asciiTheme="majorHAnsi" w:hAnsiTheme="majorHAnsi" w:cs="Cambria"/>
          <w:lang w:val="en-GB" w:eastAsia="en-US"/>
        </w:rPr>
        <w:t xml:space="preserve">structure for the </w:t>
      </w:r>
      <w:r w:rsidRPr="00E80090">
        <w:rPr>
          <w:rFonts w:asciiTheme="majorHAnsi" w:hAnsiTheme="majorHAnsi" w:cs="Cambria"/>
          <w:lang w:val="en-GB" w:eastAsia="en-US"/>
        </w:rPr>
        <w:t>financial services</w:t>
      </w:r>
      <w:r w:rsidR="001403DC" w:rsidRPr="00E80090">
        <w:rPr>
          <w:rFonts w:asciiTheme="majorHAnsi" w:hAnsiTheme="majorHAnsi" w:cs="Cambria"/>
          <w:lang w:val="en-GB" w:eastAsia="en-US"/>
        </w:rPr>
        <w:t xml:space="preserve"> </w:t>
      </w:r>
      <w:r w:rsidR="006A6D97" w:rsidRPr="00E80090">
        <w:rPr>
          <w:rFonts w:asciiTheme="majorHAnsi" w:hAnsiTheme="majorHAnsi" w:cs="Cambria"/>
          <w:lang w:val="en-GB" w:eastAsia="en-US"/>
        </w:rPr>
        <w:t xml:space="preserve">management </w:t>
      </w:r>
      <w:r w:rsidR="001403DC" w:rsidRPr="00E80090">
        <w:rPr>
          <w:rFonts w:asciiTheme="majorHAnsi" w:hAnsiTheme="majorHAnsi" w:cs="Cambria"/>
          <w:lang w:val="en-GB" w:eastAsia="en-US"/>
        </w:rPr>
        <w:t>in an</w:t>
      </w:r>
      <w:r w:rsidRPr="00E80090">
        <w:rPr>
          <w:rFonts w:asciiTheme="majorHAnsi" w:hAnsiTheme="majorHAnsi" w:cs="Cambria"/>
          <w:lang w:val="en-GB" w:eastAsia="en-US"/>
        </w:rPr>
        <w:t xml:space="preserve"> MNC. These factors include: group structure, extend of risk, evolution of treasury structure, management philosophy, </w:t>
      </w:r>
      <w:r w:rsidR="00822F2F" w:rsidRPr="00E80090">
        <w:rPr>
          <w:rFonts w:asciiTheme="majorHAnsi" w:hAnsiTheme="majorHAnsi" w:cs="Cambria"/>
          <w:lang w:val="en-GB" w:eastAsia="en-US"/>
        </w:rPr>
        <w:t>quality</w:t>
      </w:r>
      <w:r w:rsidRPr="00E80090">
        <w:rPr>
          <w:rFonts w:asciiTheme="majorHAnsi" w:hAnsiTheme="majorHAnsi" w:cs="Cambria"/>
          <w:lang w:val="en-GB" w:eastAsia="en-US"/>
        </w:rPr>
        <w:t xml:space="preserve"> of management</w:t>
      </w:r>
      <w:r w:rsidR="00B50D3D" w:rsidRPr="00E80090">
        <w:rPr>
          <w:rFonts w:asciiTheme="majorHAnsi" w:hAnsiTheme="majorHAnsi" w:cs="Cambria"/>
          <w:lang w:val="en-GB" w:eastAsia="en-US"/>
        </w:rPr>
        <w:t>,</w:t>
      </w:r>
      <w:r w:rsidRPr="00E80090">
        <w:rPr>
          <w:rFonts w:asciiTheme="majorHAnsi" w:hAnsiTheme="majorHAnsi" w:cs="Cambria"/>
          <w:lang w:val="en-GB" w:eastAsia="en-US"/>
        </w:rPr>
        <w:t xml:space="preserve"> and economies of scale. </w:t>
      </w:r>
    </w:p>
    <w:p w14:paraId="6E584212" w14:textId="77777777" w:rsidR="00001664" w:rsidRPr="00E80090" w:rsidRDefault="00001664"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Research from 1995 conducted by Price Waterhouse suggests that </w:t>
      </w:r>
      <w:r w:rsidR="006D63AB" w:rsidRPr="00E80090">
        <w:rPr>
          <w:rFonts w:asciiTheme="majorHAnsi" w:hAnsiTheme="majorHAnsi" w:cs="Cambria"/>
          <w:lang w:val="en-GB" w:eastAsia="en-US"/>
        </w:rPr>
        <w:t>pure</w:t>
      </w:r>
      <w:r w:rsidRPr="00E80090">
        <w:rPr>
          <w:rFonts w:asciiTheme="majorHAnsi" w:hAnsiTheme="majorHAnsi" w:cs="Cambria"/>
          <w:lang w:val="en-GB" w:eastAsia="en-US"/>
        </w:rPr>
        <w:t xml:space="preserve"> forms of fully centralised or decentralised treasury organisations are rare. In most cases the two a</w:t>
      </w:r>
      <w:r w:rsidR="00A26FDF" w:rsidRPr="00E80090">
        <w:rPr>
          <w:rFonts w:asciiTheme="majorHAnsi" w:hAnsiTheme="majorHAnsi" w:cs="Cambria"/>
          <w:lang w:val="en-GB" w:eastAsia="en-US"/>
        </w:rPr>
        <w:t>pproaches overlap in any MNC. Sl</w:t>
      </w:r>
      <w:r w:rsidRPr="00E80090">
        <w:rPr>
          <w:rFonts w:asciiTheme="majorHAnsi" w:hAnsiTheme="majorHAnsi" w:cs="Cambria"/>
          <w:lang w:val="en-GB" w:eastAsia="en-US"/>
        </w:rPr>
        <w:t xml:space="preserve">other (1993) found a strong relationship between the </w:t>
      </w:r>
      <w:r w:rsidRPr="00E80090">
        <w:rPr>
          <w:rFonts w:asciiTheme="majorHAnsi" w:hAnsiTheme="majorHAnsi" w:cs="Cambria"/>
          <w:lang w:val="en-GB" w:eastAsia="en-US"/>
        </w:rPr>
        <w:lastRenderedPageBreak/>
        <w:t xml:space="preserve">particular organisational culture and the MNCs structure. Considering US MNCs Mulligan (2001) claims that only a few of them have established a sophisticated centralised treasury centre responsible for treasury management activities. However, this situation has changed in the recent years </w:t>
      </w:r>
      <w:r w:rsidR="00E34B3A" w:rsidRPr="00E80090">
        <w:rPr>
          <w:rFonts w:asciiTheme="majorHAnsi" w:hAnsiTheme="majorHAnsi" w:cs="Cambria"/>
          <w:lang w:val="en-GB" w:eastAsia="en-US"/>
        </w:rPr>
        <w:t>(Euromoney, 2009)</w:t>
      </w:r>
      <w:r w:rsidRPr="00E80090">
        <w:rPr>
          <w:rFonts w:asciiTheme="majorHAnsi" w:hAnsiTheme="majorHAnsi" w:cs="Cambria"/>
          <w:lang w:val="en-GB" w:eastAsia="en-US"/>
        </w:rPr>
        <w:t xml:space="preserve">. </w:t>
      </w:r>
    </w:p>
    <w:p w14:paraId="6E584213" w14:textId="77777777" w:rsidR="00001664" w:rsidRPr="00E80090" w:rsidRDefault="00001664"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Moreover, in the past two decades Central-Eastern European region has become increasingly culturally, politically and financially linked to Western Europe</w:t>
      </w:r>
      <w:r w:rsidR="00E34B3A" w:rsidRPr="00E80090">
        <w:rPr>
          <w:rFonts w:asciiTheme="majorHAnsi" w:hAnsiTheme="majorHAnsi" w:cs="Cambria"/>
          <w:lang w:val="en-GB" w:eastAsia="en-US"/>
        </w:rPr>
        <w:t xml:space="preserve"> (Euromoney, 2009)</w:t>
      </w:r>
      <w:r w:rsidRPr="00E80090">
        <w:rPr>
          <w:rFonts w:asciiTheme="majorHAnsi" w:hAnsiTheme="majorHAnsi" w:cs="Cambria"/>
          <w:lang w:val="en-GB" w:eastAsia="en-US"/>
        </w:rPr>
        <w:t xml:space="preserve"> However, according to Euromoney (2009) the region remains challenging for corporates who desire to centralise their liquidity management, both within CEE countries and between CEE and Western countries. In order to do so, the MNC needs to integrate all the accounts for all the participating subsidiaries in one bank </w:t>
      </w:r>
      <w:r w:rsidR="00E34B3A" w:rsidRPr="00E80090">
        <w:rPr>
          <w:rFonts w:asciiTheme="majorHAnsi" w:hAnsiTheme="majorHAnsi" w:cs="Cambria"/>
          <w:lang w:val="en-GB" w:eastAsia="en-US"/>
        </w:rPr>
        <w:t>(Polák &amp; Klusáček, 2010)</w:t>
      </w:r>
      <w:r w:rsidRPr="00E80090">
        <w:rPr>
          <w:rFonts w:asciiTheme="majorHAnsi" w:hAnsiTheme="majorHAnsi" w:cs="Cambria"/>
          <w:lang w:val="en-GB" w:eastAsia="en-US"/>
        </w:rPr>
        <w:t>. In this way the central treasury</w:t>
      </w:r>
      <w:r w:rsidR="00B50D3D" w:rsidRPr="00E80090">
        <w:rPr>
          <w:rFonts w:asciiTheme="majorHAnsi" w:hAnsiTheme="majorHAnsi" w:cs="Cambria"/>
          <w:lang w:val="en-GB" w:eastAsia="en-US"/>
        </w:rPr>
        <w:t xml:space="preserve"> department</w:t>
      </w:r>
      <w:r w:rsidRPr="00E80090">
        <w:rPr>
          <w:rFonts w:asciiTheme="majorHAnsi" w:hAnsiTheme="majorHAnsi" w:cs="Cambria"/>
          <w:lang w:val="en-GB" w:eastAsia="en-US"/>
        </w:rPr>
        <w:t xml:space="preserve"> would have accurate information on </w:t>
      </w:r>
      <w:r w:rsidR="00DE1B95" w:rsidRPr="00E80090">
        <w:rPr>
          <w:rFonts w:asciiTheme="majorHAnsi" w:hAnsiTheme="majorHAnsi" w:cs="Cambria"/>
          <w:lang w:val="en-GB" w:eastAsia="en-US"/>
        </w:rPr>
        <w:t xml:space="preserve">local level </w:t>
      </w:r>
      <w:r w:rsidRPr="00E80090">
        <w:rPr>
          <w:rFonts w:asciiTheme="majorHAnsi" w:hAnsiTheme="majorHAnsi" w:cs="Cambria"/>
          <w:lang w:val="en-GB" w:eastAsia="en-US"/>
        </w:rPr>
        <w:t>within the whole MNC</w:t>
      </w:r>
      <w:r w:rsidR="00B50D3D" w:rsidRPr="00E80090">
        <w:rPr>
          <w:rFonts w:asciiTheme="majorHAnsi" w:hAnsiTheme="majorHAnsi" w:cs="Cambria"/>
          <w:lang w:val="en-GB" w:eastAsia="en-US"/>
        </w:rPr>
        <w:t xml:space="preserve"> and would be able to deal with arising problems in a timely manner</w:t>
      </w:r>
      <w:r w:rsidRPr="00E80090">
        <w:rPr>
          <w:rFonts w:asciiTheme="majorHAnsi" w:hAnsiTheme="majorHAnsi" w:cs="Cambria"/>
          <w:lang w:val="en-GB" w:eastAsia="en-US"/>
        </w:rPr>
        <w:t>.</w:t>
      </w:r>
    </w:p>
    <w:p w14:paraId="6E584214" w14:textId="77777777" w:rsidR="00001664" w:rsidRPr="00E80090" w:rsidRDefault="00001664" w:rsidP="00C855F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To conclude, the centralisation of financial services presents both benefits and challenges to MNCs. The former include the increase in efficiencies, </w:t>
      </w:r>
      <w:r w:rsidR="00DE1B95" w:rsidRPr="00E80090">
        <w:rPr>
          <w:rFonts w:asciiTheme="majorHAnsi" w:hAnsiTheme="majorHAnsi" w:cs="Cambria"/>
          <w:lang w:val="en-GB" w:eastAsia="en-US"/>
        </w:rPr>
        <w:t xml:space="preserve">greater </w:t>
      </w:r>
      <w:r w:rsidRPr="00E80090">
        <w:rPr>
          <w:rFonts w:asciiTheme="majorHAnsi" w:hAnsiTheme="majorHAnsi" w:cs="Cambria"/>
          <w:lang w:val="en-GB" w:eastAsia="en-US"/>
        </w:rPr>
        <w:t xml:space="preserve">transparency and economies of scale, while the latter warns of potential problems with information transfers between subsidiaries or lack of knowledge on country specific matters. It can be determined that there is no generic solution applicable to all companies, and MNCs need to evaluate the options based on their own corporate culture and organisational structure. Considering the similarities between the countries in the CEE region it seems to be beneficial for US MNCs to integrate their financial services in the area. However, this needs to be done with caution as the countries also exhibit some differences in their economic development and present challenges to MNCs that wish to integrate their liquidity management. </w:t>
      </w:r>
    </w:p>
    <w:p w14:paraId="6E584215" w14:textId="77777777" w:rsidR="00001664" w:rsidRPr="00E80090" w:rsidRDefault="00001664" w:rsidP="00195E4B">
      <w:pPr>
        <w:ind w:left="540" w:right="236"/>
        <w:rPr>
          <w:rFonts w:asciiTheme="majorHAnsi" w:hAnsiTheme="majorHAnsi"/>
          <w:lang w:val="en-GB"/>
        </w:rPr>
      </w:pPr>
    </w:p>
    <w:p w14:paraId="6E584216" w14:textId="77777777" w:rsidR="00FB36B2" w:rsidRPr="00E80090" w:rsidRDefault="00FB36B2">
      <w:pPr>
        <w:rPr>
          <w:rFonts w:asciiTheme="majorHAnsi" w:hAnsiTheme="majorHAnsi" w:cs="Cambria"/>
          <w:b/>
          <w:bCs/>
          <w:color w:val="365F91"/>
          <w:sz w:val="28"/>
          <w:szCs w:val="28"/>
          <w:lang w:val="en-GB" w:eastAsia="en-US"/>
        </w:rPr>
      </w:pPr>
      <w:bookmarkStart w:id="14" w:name="_Toc359145821"/>
      <w:bookmarkStart w:id="15" w:name="_Toc359408842"/>
      <w:r w:rsidRPr="00E80090">
        <w:rPr>
          <w:rFonts w:asciiTheme="majorHAnsi" w:hAnsiTheme="majorHAnsi"/>
          <w:lang w:val="en-GB" w:eastAsia="en-US"/>
        </w:rPr>
        <w:br w:type="page"/>
      </w:r>
    </w:p>
    <w:p w14:paraId="6E584217" w14:textId="77777777" w:rsidR="00001664" w:rsidRPr="00E80090" w:rsidRDefault="00001664" w:rsidP="00E6019C">
      <w:pPr>
        <w:pStyle w:val="Kop1"/>
        <w:numPr>
          <w:ilvl w:val="0"/>
          <w:numId w:val="10"/>
        </w:numPr>
        <w:rPr>
          <w:rFonts w:asciiTheme="majorHAnsi" w:hAnsiTheme="majorHAnsi"/>
          <w:lang w:val="en-GB" w:eastAsia="en-US"/>
        </w:rPr>
      </w:pPr>
      <w:bookmarkStart w:id="16" w:name="_Toc360633010"/>
      <w:bookmarkStart w:id="17" w:name="_Toc368290336"/>
      <w:r w:rsidRPr="00E80090">
        <w:rPr>
          <w:rFonts w:asciiTheme="majorHAnsi" w:hAnsiTheme="majorHAnsi"/>
          <w:lang w:val="en-GB" w:eastAsia="en-US"/>
        </w:rPr>
        <w:lastRenderedPageBreak/>
        <w:t>Methodology</w:t>
      </w:r>
      <w:bookmarkEnd w:id="14"/>
      <w:bookmarkEnd w:id="15"/>
      <w:bookmarkEnd w:id="16"/>
      <w:bookmarkEnd w:id="17"/>
    </w:p>
    <w:p w14:paraId="6E584218" w14:textId="77777777" w:rsidR="00001664" w:rsidRPr="00E80090" w:rsidRDefault="00001664" w:rsidP="00195E4B">
      <w:pPr>
        <w:pStyle w:val="Lijstalinea"/>
        <w:spacing w:before="120" w:after="0"/>
        <w:ind w:left="540" w:right="236"/>
        <w:rPr>
          <w:rFonts w:asciiTheme="majorHAnsi" w:hAnsiTheme="majorHAnsi" w:cs="Cambria"/>
          <w:sz w:val="2"/>
          <w:szCs w:val="2"/>
          <w:lang w:val="en-GB"/>
        </w:rPr>
      </w:pPr>
    </w:p>
    <w:p w14:paraId="6E584219" w14:textId="77777777" w:rsidR="00001664" w:rsidRPr="00E80090" w:rsidRDefault="00001664" w:rsidP="0064539B">
      <w:pPr>
        <w:pStyle w:val="Kop2"/>
        <w:numPr>
          <w:ilvl w:val="2"/>
          <w:numId w:val="11"/>
        </w:numPr>
        <w:spacing w:line="360" w:lineRule="auto"/>
        <w:rPr>
          <w:rFonts w:asciiTheme="majorHAnsi" w:hAnsiTheme="majorHAnsi" w:cs="Times New Roman"/>
          <w:lang w:val="en-GB"/>
        </w:rPr>
      </w:pPr>
      <w:bookmarkStart w:id="18" w:name="_Toc359145822"/>
      <w:bookmarkStart w:id="19" w:name="_Toc359408843"/>
      <w:bookmarkStart w:id="20" w:name="_Toc360633011"/>
      <w:bookmarkStart w:id="21" w:name="_Toc368290337"/>
      <w:r w:rsidRPr="00E80090">
        <w:rPr>
          <w:rFonts w:asciiTheme="majorHAnsi" w:hAnsiTheme="majorHAnsi"/>
          <w:lang w:val="en-GB"/>
        </w:rPr>
        <w:t>Orientation and scope</w:t>
      </w:r>
      <w:bookmarkEnd w:id="18"/>
      <w:bookmarkEnd w:id="19"/>
      <w:bookmarkEnd w:id="20"/>
      <w:bookmarkEnd w:id="21"/>
    </w:p>
    <w:p w14:paraId="6E58421A" w14:textId="77777777" w:rsidR="00001664"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research question concerns the banking migration of Sun Chemical </w:t>
      </w:r>
      <w:r w:rsidR="00153F89" w:rsidRPr="00E80090">
        <w:rPr>
          <w:rFonts w:asciiTheme="majorHAnsi" w:hAnsiTheme="majorHAnsi" w:cs="Cambria"/>
          <w:lang w:val="en-GB" w:eastAsia="en-US"/>
        </w:rPr>
        <w:t>subsidiaries</w:t>
      </w:r>
      <w:r w:rsidRPr="00E80090">
        <w:rPr>
          <w:rFonts w:asciiTheme="majorHAnsi" w:hAnsiTheme="majorHAnsi" w:cs="Cambria"/>
          <w:lang w:val="en-GB" w:eastAsia="en-US"/>
        </w:rPr>
        <w:t xml:space="preserve"> in the CEE region from their </w:t>
      </w:r>
      <w:r w:rsidR="008C130E" w:rsidRPr="00E80090">
        <w:rPr>
          <w:rFonts w:asciiTheme="majorHAnsi" w:hAnsiTheme="majorHAnsi" w:cs="Cambria"/>
          <w:lang w:val="en-GB" w:eastAsia="en-US"/>
        </w:rPr>
        <w:t>local</w:t>
      </w:r>
      <w:r w:rsidRPr="00E80090">
        <w:rPr>
          <w:rFonts w:asciiTheme="majorHAnsi" w:hAnsiTheme="majorHAnsi" w:cs="Cambria"/>
          <w:lang w:val="en-GB" w:eastAsia="en-US"/>
        </w:rPr>
        <w:t xml:space="preserve"> bank to either Citibank or UniCredit</w:t>
      </w:r>
      <w:r w:rsidR="00EE6D00" w:rsidRPr="00E80090">
        <w:rPr>
          <w:rFonts w:asciiTheme="majorHAnsi" w:hAnsiTheme="majorHAnsi" w:cs="Cambria"/>
          <w:lang w:val="en-GB" w:eastAsia="en-US"/>
        </w:rPr>
        <w:t xml:space="preserve"> bank</w:t>
      </w:r>
      <w:r w:rsidRPr="00E80090">
        <w:rPr>
          <w:rFonts w:asciiTheme="majorHAnsi" w:hAnsiTheme="majorHAnsi" w:cs="Cambria"/>
          <w:lang w:val="en-GB" w:eastAsia="en-US"/>
        </w:rPr>
        <w:t xml:space="preserve">. It </w:t>
      </w:r>
      <w:r w:rsidR="007F58C8" w:rsidRPr="00E80090">
        <w:rPr>
          <w:rFonts w:asciiTheme="majorHAnsi" w:hAnsiTheme="majorHAnsi" w:cs="Cambria"/>
          <w:lang w:val="en-GB" w:eastAsia="en-US"/>
        </w:rPr>
        <w:t xml:space="preserve">also </w:t>
      </w:r>
      <w:r w:rsidR="0050094B" w:rsidRPr="00E80090">
        <w:rPr>
          <w:rFonts w:asciiTheme="majorHAnsi" w:hAnsiTheme="majorHAnsi" w:cs="Cambria"/>
          <w:lang w:val="en-GB" w:eastAsia="en-US"/>
        </w:rPr>
        <w:t>requires that through the migration the</w:t>
      </w:r>
      <w:r w:rsidR="007F58C8" w:rsidRPr="00E80090">
        <w:rPr>
          <w:rFonts w:asciiTheme="majorHAnsi" w:hAnsiTheme="majorHAnsi" w:cs="Cambria"/>
          <w:lang w:val="en-GB" w:eastAsia="en-US"/>
        </w:rPr>
        <w:t xml:space="preserve"> corporate goal for improving security on the local level is met. Thus, it </w:t>
      </w:r>
      <w:r w:rsidRPr="00E80090">
        <w:rPr>
          <w:rFonts w:asciiTheme="majorHAnsi" w:hAnsiTheme="majorHAnsi" w:cs="Cambria"/>
          <w:lang w:val="en-GB" w:eastAsia="en-US"/>
        </w:rPr>
        <w:t>asks for investigation of the current and proposed future situation in order to determine the gap between the two and find ways for closing it. For the purposes of answering the research question the strategy used was of mixed nature. In the initial exploratory phase the orientation was purely qualitative, while in the second and third stages both qualitative and quantitative methods were used. This approach allowed for achievement of triangulation and higher validity of the results.</w:t>
      </w:r>
    </w:p>
    <w:p w14:paraId="6E58421B" w14:textId="77777777" w:rsidR="0040129E"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scope of research is restricted to Sun</w:t>
      </w:r>
      <w:r w:rsidR="00506573"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Chemical subsidiaries operating in the CEE region. Therefore, the results from the study will not be generalizable for the whole company or other businesses. The </w:t>
      </w:r>
      <w:r w:rsidR="00E267A1" w:rsidRPr="00E80090">
        <w:rPr>
          <w:rFonts w:asciiTheme="majorHAnsi" w:hAnsiTheme="majorHAnsi" w:cs="Cambria"/>
          <w:lang w:val="en-GB" w:eastAsia="en-US"/>
        </w:rPr>
        <w:t>branches</w:t>
      </w:r>
      <w:r w:rsidRPr="00E80090">
        <w:rPr>
          <w:rFonts w:asciiTheme="majorHAnsi" w:hAnsiTheme="majorHAnsi" w:cs="Cambria"/>
          <w:lang w:val="en-GB" w:eastAsia="en-US"/>
        </w:rPr>
        <w:t xml:space="preserve"> in Serbia and Ukraine were excluded from the scope because they have already completed the migration process. Moreover, </w:t>
      </w:r>
      <w:r w:rsidR="00026C4E" w:rsidRPr="00E80090">
        <w:rPr>
          <w:rFonts w:asciiTheme="majorHAnsi" w:hAnsiTheme="majorHAnsi" w:cs="Cambria"/>
          <w:lang w:val="en-GB" w:eastAsia="en-US"/>
        </w:rPr>
        <w:t>further limitat</w:t>
      </w:r>
      <w:r w:rsidR="00F92E06" w:rsidRPr="00E80090">
        <w:rPr>
          <w:rFonts w:asciiTheme="majorHAnsi" w:hAnsiTheme="majorHAnsi" w:cs="Cambria"/>
          <w:lang w:val="en-GB" w:eastAsia="en-US"/>
        </w:rPr>
        <w:t>ion is applied</w:t>
      </w:r>
      <w:r w:rsidRPr="00E80090">
        <w:rPr>
          <w:rFonts w:asciiTheme="majorHAnsi" w:hAnsiTheme="majorHAnsi" w:cs="Cambria"/>
          <w:lang w:val="en-GB" w:eastAsia="en-US"/>
        </w:rPr>
        <w:t xml:space="preserve"> on the entities operating in Albania and Macedonia as there are no international banks able to offer the required services in these countries. The branches in Croatia, the Czech Republic and Hungary that were originally part of the project were excluded from the scope of the current study due to time limitations. </w:t>
      </w:r>
      <w:r w:rsidR="003523C8" w:rsidRPr="00E80090">
        <w:rPr>
          <w:rFonts w:asciiTheme="majorHAnsi" w:hAnsiTheme="majorHAnsi" w:cs="Cambria"/>
          <w:lang w:val="en-GB" w:eastAsia="en-US"/>
        </w:rPr>
        <w:t>As a result</w:t>
      </w:r>
      <w:r w:rsidRPr="00E80090">
        <w:rPr>
          <w:rFonts w:asciiTheme="majorHAnsi" w:hAnsiTheme="majorHAnsi" w:cs="Cambria"/>
          <w:lang w:val="en-GB" w:eastAsia="en-US"/>
        </w:rPr>
        <w:t xml:space="preserve">, the countries included in the scope are Bulgaria, Romania, Slovakia, and Slovenia. </w:t>
      </w:r>
    </w:p>
    <w:p w14:paraId="6E58421C" w14:textId="77777777" w:rsidR="00001664" w:rsidRPr="00E80090" w:rsidRDefault="0040129E"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Regarding the researched banks, those were selected by the company prior to the current study. As a result, </w:t>
      </w:r>
      <w:r w:rsidR="00F9482F" w:rsidRPr="00E80090">
        <w:rPr>
          <w:rFonts w:asciiTheme="majorHAnsi" w:hAnsiTheme="majorHAnsi" w:cs="Cambria"/>
          <w:lang w:val="en-GB" w:eastAsia="en-US"/>
        </w:rPr>
        <w:t xml:space="preserve">the investigation was limited to Citibank, </w:t>
      </w:r>
      <w:r w:rsidR="00F57517" w:rsidRPr="00E80090">
        <w:rPr>
          <w:rFonts w:asciiTheme="majorHAnsi" w:hAnsiTheme="majorHAnsi"/>
          <w:lang w:val="en-GB"/>
        </w:rPr>
        <w:t xml:space="preserve">UniCredit </w:t>
      </w:r>
      <w:r w:rsidRPr="00E80090">
        <w:rPr>
          <w:rFonts w:asciiTheme="majorHAnsi" w:hAnsiTheme="majorHAnsi" w:cs="Cambria"/>
          <w:lang w:val="en-GB" w:eastAsia="en-US"/>
        </w:rPr>
        <w:t xml:space="preserve">(member of UniCredit </w:t>
      </w:r>
      <w:r w:rsidR="00EE2D46" w:rsidRPr="00E80090">
        <w:rPr>
          <w:rFonts w:asciiTheme="majorHAnsi" w:hAnsiTheme="majorHAnsi" w:cs="Cambria"/>
          <w:lang w:val="en-GB" w:eastAsia="en-US"/>
        </w:rPr>
        <w:t>Group</w:t>
      </w:r>
      <w:r w:rsidRPr="00E80090">
        <w:rPr>
          <w:rFonts w:asciiTheme="majorHAnsi" w:hAnsiTheme="majorHAnsi" w:cs="Cambria"/>
          <w:lang w:val="en-GB" w:eastAsia="en-US"/>
        </w:rPr>
        <w:t>)</w:t>
      </w:r>
      <w:r w:rsidR="00F9482F" w:rsidRPr="00E80090">
        <w:rPr>
          <w:rFonts w:asciiTheme="majorHAnsi" w:hAnsiTheme="majorHAnsi" w:cs="Cambria"/>
          <w:lang w:val="en-GB" w:eastAsia="en-US"/>
        </w:rPr>
        <w:t xml:space="preserve"> and the current banks supporting the </w:t>
      </w:r>
      <w:r w:rsidR="0007435B" w:rsidRPr="00E80090">
        <w:rPr>
          <w:rFonts w:asciiTheme="majorHAnsi" w:hAnsiTheme="majorHAnsi" w:cs="Cambria"/>
          <w:lang w:val="en-GB" w:eastAsia="en-US"/>
        </w:rPr>
        <w:t>br</w:t>
      </w:r>
      <w:r w:rsidR="00153F89" w:rsidRPr="00E80090">
        <w:rPr>
          <w:rFonts w:asciiTheme="majorHAnsi" w:hAnsiTheme="majorHAnsi" w:cs="Cambria"/>
          <w:lang w:val="en-GB" w:eastAsia="en-US"/>
        </w:rPr>
        <w:t>anches</w:t>
      </w:r>
      <w:r w:rsidR="00F9482F" w:rsidRPr="00E80090">
        <w:rPr>
          <w:rFonts w:asciiTheme="majorHAnsi" w:hAnsiTheme="majorHAnsi" w:cs="Cambria"/>
          <w:lang w:val="en-GB" w:eastAsia="en-US"/>
        </w:rPr>
        <w:t xml:space="preserve"> in scope.</w:t>
      </w:r>
      <w:r w:rsidR="00E72D55"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 </w:t>
      </w:r>
      <w:r w:rsidR="00001664" w:rsidRPr="00E80090">
        <w:rPr>
          <w:rFonts w:asciiTheme="majorHAnsi" w:hAnsiTheme="majorHAnsi" w:cs="Cambria"/>
          <w:lang w:val="en-GB" w:eastAsia="en-US"/>
        </w:rPr>
        <w:t xml:space="preserve">Furthermore, the focus falls only on </w:t>
      </w:r>
      <w:r w:rsidR="00CB0B76" w:rsidRPr="00E80090">
        <w:rPr>
          <w:rFonts w:asciiTheme="majorHAnsi" w:hAnsiTheme="majorHAnsi" w:cs="Cambria"/>
          <w:lang w:val="en-GB" w:eastAsia="en-US"/>
        </w:rPr>
        <w:t>banking products and services provided to the subsidiaries</w:t>
      </w:r>
      <w:r w:rsidR="00001664" w:rsidRPr="00E80090">
        <w:rPr>
          <w:rFonts w:asciiTheme="majorHAnsi" w:hAnsiTheme="majorHAnsi" w:cs="Cambria"/>
          <w:lang w:val="en-GB" w:eastAsia="en-US"/>
        </w:rPr>
        <w:t>. Therefore, o</w:t>
      </w:r>
      <w:r w:rsidR="00497760" w:rsidRPr="00E80090">
        <w:rPr>
          <w:rFonts w:asciiTheme="majorHAnsi" w:hAnsiTheme="majorHAnsi" w:cs="Cambria"/>
          <w:lang w:val="en-GB" w:eastAsia="en-US"/>
        </w:rPr>
        <w:t>ther types of products or inter</w:t>
      </w:r>
      <w:r w:rsidR="00001664" w:rsidRPr="00E80090">
        <w:rPr>
          <w:rFonts w:asciiTheme="majorHAnsi" w:hAnsiTheme="majorHAnsi" w:cs="Cambria"/>
          <w:lang w:val="en-GB" w:eastAsia="en-US"/>
        </w:rPr>
        <w:t xml:space="preserve">company services will not be considered. </w:t>
      </w:r>
    </w:p>
    <w:p w14:paraId="6E58421D" w14:textId="77777777" w:rsidR="00001664" w:rsidRPr="00E80090" w:rsidRDefault="00001664" w:rsidP="0064539B">
      <w:pPr>
        <w:pStyle w:val="Kop2"/>
        <w:numPr>
          <w:ilvl w:val="2"/>
          <w:numId w:val="11"/>
        </w:numPr>
        <w:spacing w:line="360" w:lineRule="auto"/>
        <w:rPr>
          <w:rFonts w:asciiTheme="majorHAnsi" w:hAnsiTheme="majorHAnsi" w:cs="Times New Roman"/>
          <w:lang w:val="en-GB"/>
        </w:rPr>
      </w:pPr>
      <w:bookmarkStart w:id="22" w:name="_Toc359145823"/>
      <w:bookmarkStart w:id="23" w:name="_Toc359408844"/>
      <w:bookmarkStart w:id="24" w:name="_Toc360633012"/>
      <w:bookmarkStart w:id="25" w:name="_Toc368290338"/>
      <w:r w:rsidRPr="00E80090">
        <w:rPr>
          <w:rFonts w:asciiTheme="majorHAnsi" w:hAnsiTheme="majorHAnsi"/>
          <w:lang w:val="en-GB"/>
        </w:rPr>
        <w:t>Data collection</w:t>
      </w:r>
      <w:bookmarkEnd w:id="22"/>
      <w:bookmarkEnd w:id="23"/>
      <w:bookmarkEnd w:id="24"/>
      <w:bookmarkEnd w:id="25"/>
      <w:r w:rsidRPr="00E80090">
        <w:rPr>
          <w:rFonts w:asciiTheme="majorHAnsi" w:hAnsiTheme="majorHAnsi"/>
          <w:lang w:val="en-GB"/>
        </w:rPr>
        <w:t xml:space="preserve"> </w:t>
      </w:r>
    </w:p>
    <w:p w14:paraId="6E58421E" w14:textId="77777777" w:rsidR="00001664"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research was conducted on three stages: 1. Familiarization with the problem and the current situation; 2. Data collection on local (subsidiary) level; 3. Research on</w:t>
      </w:r>
      <w:r w:rsidR="00BD7426"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selected </w:t>
      </w:r>
      <w:r w:rsidR="008C130E" w:rsidRPr="00E80090">
        <w:rPr>
          <w:rFonts w:asciiTheme="majorHAnsi" w:hAnsiTheme="majorHAnsi" w:cs="Cambria"/>
          <w:lang w:val="en-GB" w:eastAsia="en-US"/>
        </w:rPr>
        <w:t>banks</w:t>
      </w:r>
      <w:r w:rsidRPr="00E80090">
        <w:rPr>
          <w:rFonts w:asciiTheme="majorHAnsi" w:hAnsiTheme="majorHAnsi" w:cs="Cambria"/>
          <w:lang w:val="en-GB" w:eastAsia="en-US"/>
        </w:rPr>
        <w:t xml:space="preserve">. Different research methods were used in the different stages of the </w:t>
      </w:r>
      <w:r w:rsidR="00647CB6" w:rsidRPr="00E80090">
        <w:rPr>
          <w:rFonts w:asciiTheme="majorHAnsi" w:hAnsiTheme="majorHAnsi" w:cs="Cambria"/>
          <w:lang w:val="en-GB" w:eastAsia="en-US"/>
        </w:rPr>
        <w:t>study</w:t>
      </w:r>
      <w:r w:rsidRPr="00E80090">
        <w:rPr>
          <w:rFonts w:asciiTheme="majorHAnsi" w:hAnsiTheme="majorHAnsi" w:cs="Cambria"/>
          <w:lang w:val="en-GB" w:eastAsia="en-US"/>
        </w:rPr>
        <w:t xml:space="preserve"> so that higher validity of the results is achieved through triangulation</w:t>
      </w:r>
      <w:r w:rsidR="00E34B3A" w:rsidRPr="00E80090">
        <w:rPr>
          <w:rFonts w:asciiTheme="majorHAnsi" w:hAnsiTheme="majorHAnsi" w:cs="Cambria"/>
          <w:lang w:val="en-GB" w:eastAsia="en-US"/>
        </w:rPr>
        <w:t xml:space="preserve"> (Saunders, </w:t>
      </w:r>
      <w:r w:rsidR="00E34B3A" w:rsidRPr="00E80090">
        <w:rPr>
          <w:rFonts w:asciiTheme="majorHAnsi" w:hAnsiTheme="majorHAnsi" w:cs="Cambria"/>
          <w:lang w:val="en-GB" w:eastAsia="en-US"/>
        </w:rPr>
        <w:lastRenderedPageBreak/>
        <w:t>Lewis, &amp; Thornhill, 2009)</w:t>
      </w:r>
      <w:r w:rsidRPr="00E80090">
        <w:rPr>
          <w:rFonts w:asciiTheme="majorHAnsi" w:hAnsiTheme="majorHAnsi" w:cs="Cambria"/>
          <w:lang w:val="en-GB" w:eastAsia="en-US"/>
        </w:rPr>
        <w:t xml:space="preserve">. </w:t>
      </w:r>
      <w:r w:rsidR="00647CB6" w:rsidRPr="00E80090">
        <w:rPr>
          <w:rFonts w:asciiTheme="majorHAnsi" w:hAnsiTheme="majorHAnsi" w:cs="Cambria"/>
          <w:lang w:val="en-GB" w:eastAsia="en-US"/>
        </w:rPr>
        <w:t>The</w:t>
      </w:r>
      <w:r w:rsidRPr="00E80090">
        <w:rPr>
          <w:rFonts w:asciiTheme="majorHAnsi" w:hAnsiTheme="majorHAnsi" w:cs="Cambria"/>
          <w:lang w:val="en-GB" w:eastAsia="en-US"/>
        </w:rPr>
        <w:t xml:space="preserve"> collected data w</w:t>
      </w:r>
      <w:r w:rsidR="00EE6D00" w:rsidRPr="00E80090">
        <w:rPr>
          <w:rFonts w:asciiTheme="majorHAnsi" w:hAnsiTheme="majorHAnsi" w:cs="Cambria"/>
          <w:lang w:val="en-GB" w:eastAsia="en-US"/>
        </w:rPr>
        <w:t>ere</w:t>
      </w:r>
      <w:r w:rsidRPr="00E80090">
        <w:rPr>
          <w:rFonts w:asciiTheme="majorHAnsi" w:hAnsiTheme="majorHAnsi" w:cs="Cambria"/>
          <w:lang w:val="en-GB" w:eastAsia="en-US"/>
        </w:rPr>
        <w:t xml:space="preserve"> evaluated with a combination of qualitative and quantitative analysis. </w:t>
      </w:r>
    </w:p>
    <w:p w14:paraId="6E58421F" w14:textId="77777777" w:rsidR="00001664"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In the first stage interviews with the employees in the Treasury Department of Sun</w:t>
      </w:r>
      <w:r w:rsidR="007262AC"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Chemical were conducted to gain knowledge on the problem and </w:t>
      </w:r>
      <w:r w:rsidR="00343973" w:rsidRPr="00E80090">
        <w:rPr>
          <w:rFonts w:asciiTheme="majorHAnsi" w:hAnsiTheme="majorHAnsi" w:cs="Cambria"/>
          <w:lang w:val="en-GB" w:eastAsia="en-US"/>
        </w:rPr>
        <w:t>the goals for the project</w:t>
      </w:r>
      <w:r w:rsidRPr="00E80090">
        <w:rPr>
          <w:rFonts w:asciiTheme="majorHAnsi" w:hAnsiTheme="majorHAnsi" w:cs="Cambria"/>
          <w:lang w:val="en-GB" w:eastAsia="en-US"/>
        </w:rPr>
        <w:t xml:space="preserve">. </w:t>
      </w:r>
      <w:r w:rsidR="00343973" w:rsidRPr="00E80090">
        <w:rPr>
          <w:rFonts w:asciiTheme="majorHAnsi" w:hAnsiTheme="majorHAnsi" w:cs="Cambria"/>
          <w:lang w:val="en-GB" w:eastAsia="en-US"/>
        </w:rPr>
        <w:t>The</w:t>
      </w:r>
      <w:r w:rsidRPr="00E80090">
        <w:rPr>
          <w:rFonts w:asciiTheme="majorHAnsi" w:hAnsiTheme="majorHAnsi" w:cs="Cambria"/>
          <w:lang w:val="en-GB" w:eastAsia="en-US"/>
        </w:rPr>
        <w:t xml:space="preserve"> department consists of three </w:t>
      </w:r>
      <w:r w:rsidR="00343973" w:rsidRPr="00E80090">
        <w:rPr>
          <w:rFonts w:asciiTheme="majorHAnsi" w:hAnsiTheme="majorHAnsi" w:cs="Cambria"/>
          <w:lang w:val="en-GB" w:eastAsia="en-US"/>
        </w:rPr>
        <w:t>employees and a</w:t>
      </w:r>
      <w:r w:rsidRPr="00E80090">
        <w:rPr>
          <w:rFonts w:asciiTheme="majorHAnsi" w:hAnsiTheme="majorHAnsi" w:cs="Cambria"/>
          <w:lang w:val="en-GB" w:eastAsia="en-US"/>
        </w:rPr>
        <w:t>s the population size allowed it all cases were used in this phase. The data from the interviews w</w:t>
      </w:r>
      <w:r w:rsidR="00EE6D00" w:rsidRPr="00E80090">
        <w:rPr>
          <w:rFonts w:asciiTheme="majorHAnsi" w:hAnsiTheme="majorHAnsi" w:cs="Cambria"/>
          <w:lang w:val="en-GB" w:eastAsia="en-US"/>
        </w:rPr>
        <w:t>ere</w:t>
      </w:r>
      <w:r w:rsidRPr="00E80090">
        <w:rPr>
          <w:rFonts w:asciiTheme="majorHAnsi" w:hAnsiTheme="majorHAnsi" w:cs="Cambria"/>
          <w:lang w:val="en-GB" w:eastAsia="en-US"/>
        </w:rPr>
        <w:t xml:space="preserve"> used to clarify the purpo</w:t>
      </w:r>
      <w:r w:rsidR="00391E74" w:rsidRPr="00E80090">
        <w:rPr>
          <w:rFonts w:asciiTheme="majorHAnsi" w:hAnsiTheme="majorHAnsi" w:cs="Cambria"/>
          <w:lang w:val="en-GB" w:eastAsia="en-US"/>
        </w:rPr>
        <w:t xml:space="preserve">se and specifics of the project. It also </w:t>
      </w:r>
      <w:r w:rsidRPr="00E80090">
        <w:rPr>
          <w:rFonts w:asciiTheme="majorHAnsi" w:hAnsiTheme="majorHAnsi" w:cs="Cambria"/>
          <w:lang w:val="en-GB" w:eastAsia="en-US"/>
        </w:rPr>
        <w:t>suggest</w:t>
      </w:r>
      <w:r w:rsidR="00391E74" w:rsidRPr="00E80090">
        <w:rPr>
          <w:rFonts w:asciiTheme="majorHAnsi" w:hAnsiTheme="majorHAnsi" w:cs="Cambria"/>
          <w:lang w:val="en-GB" w:eastAsia="en-US"/>
        </w:rPr>
        <w:t>ed</w:t>
      </w:r>
      <w:r w:rsidRPr="00E80090">
        <w:rPr>
          <w:rFonts w:asciiTheme="majorHAnsi" w:hAnsiTheme="majorHAnsi" w:cs="Cambria"/>
          <w:lang w:val="en-GB" w:eastAsia="en-US"/>
        </w:rPr>
        <w:t xml:space="preserve"> what information is needed for answering the research question</w:t>
      </w:r>
      <w:r w:rsidR="004E4DF2" w:rsidRPr="00E80090">
        <w:rPr>
          <w:rFonts w:asciiTheme="majorHAnsi" w:hAnsiTheme="majorHAnsi" w:cs="Cambria"/>
          <w:lang w:val="en-GB" w:eastAsia="en-US"/>
        </w:rPr>
        <w:t xml:space="preserve"> and what sources should be used for obtaining it</w:t>
      </w:r>
      <w:r w:rsidRPr="00E80090">
        <w:rPr>
          <w:rFonts w:asciiTheme="majorHAnsi" w:hAnsiTheme="majorHAnsi" w:cs="Cambria"/>
          <w:lang w:val="en-GB" w:eastAsia="en-US"/>
        </w:rPr>
        <w:t xml:space="preserve">. During that initial phase the </w:t>
      </w:r>
      <w:r w:rsidR="0054487D" w:rsidRPr="00E80090">
        <w:rPr>
          <w:rFonts w:asciiTheme="majorHAnsi" w:hAnsiTheme="majorHAnsi" w:cs="Cambria"/>
          <w:lang w:val="en-GB" w:eastAsia="en-US"/>
        </w:rPr>
        <w:t>analysed</w:t>
      </w:r>
      <w:r w:rsidRPr="00E80090">
        <w:rPr>
          <w:rFonts w:asciiTheme="majorHAnsi" w:hAnsiTheme="majorHAnsi" w:cs="Cambria"/>
          <w:lang w:val="en-GB" w:eastAsia="en-US"/>
        </w:rPr>
        <w:t xml:space="preserve"> information provided clarity on the requirements for the selected CEE banks</w:t>
      </w:r>
      <w:r w:rsidR="004E4DF2" w:rsidRPr="00E80090">
        <w:rPr>
          <w:rFonts w:asciiTheme="majorHAnsi" w:hAnsiTheme="majorHAnsi" w:cs="Cambria"/>
          <w:lang w:val="en-GB" w:eastAsia="en-US"/>
        </w:rPr>
        <w:t>.</w:t>
      </w:r>
      <w:r w:rsidRPr="00E80090">
        <w:rPr>
          <w:rFonts w:asciiTheme="majorHAnsi" w:hAnsiTheme="majorHAnsi" w:cs="Cambria"/>
          <w:lang w:val="en-GB" w:eastAsia="en-US"/>
        </w:rPr>
        <w:t xml:space="preserve"> However, the determination of those criteria was finalized in the second stage of the study</w:t>
      </w:r>
      <w:r w:rsidR="00E42B51" w:rsidRPr="00E80090">
        <w:rPr>
          <w:rFonts w:asciiTheme="majorHAnsi" w:hAnsiTheme="majorHAnsi" w:cs="Cambria"/>
          <w:lang w:val="en-GB" w:eastAsia="en-US"/>
        </w:rPr>
        <w:t xml:space="preserve"> when the data on local level was collected</w:t>
      </w:r>
      <w:r w:rsidRPr="00E80090">
        <w:rPr>
          <w:rFonts w:asciiTheme="majorHAnsi" w:hAnsiTheme="majorHAnsi" w:cs="Cambria"/>
          <w:lang w:val="en-GB" w:eastAsia="en-US"/>
        </w:rPr>
        <w:t xml:space="preserve">. Even though this was the initial stage of the project it was not limited to the beginning of the investigation. The exploratory stage continued </w:t>
      </w:r>
      <w:r w:rsidR="00C50F7D" w:rsidRPr="00E80090">
        <w:rPr>
          <w:rFonts w:asciiTheme="majorHAnsi" w:hAnsiTheme="majorHAnsi" w:cs="Cambria"/>
          <w:lang w:val="en-GB" w:eastAsia="en-US"/>
        </w:rPr>
        <w:t>through</w:t>
      </w:r>
      <w:r w:rsidRPr="00E80090">
        <w:rPr>
          <w:rFonts w:asciiTheme="majorHAnsi" w:hAnsiTheme="majorHAnsi" w:cs="Cambria"/>
          <w:lang w:val="en-GB" w:eastAsia="en-US"/>
        </w:rPr>
        <w:t xml:space="preserve"> the other stages of data collection and was completed in the first three months of the process. </w:t>
      </w:r>
    </w:p>
    <w:p w14:paraId="6E584220" w14:textId="77777777" w:rsidR="00001664"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During the second stage the focus fell on the local Sun Chemical branches. First, questionnaires were sent via e-mail to the controllers in the concerned entities. Those questionnaires were developed prior to the current investigation and have been used for similar projects in the past. After the questionnaires were collected interviews were held via telephone with the same controllers for clarification of their answers and filling of gaps. In this way triangulation was achieved. The goal in this stage was to understand what banking services those entities require, how those are provided currently and how they should be provided in the future. This phase took up to two weeks per </w:t>
      </w:r>
      <w:r w:rsidR="00153F89" w:rsidRPr="00E80090">
        <w:rPr>
          <w:rFonts w:asciiTheme="majorHAnsi" w:hAnsiTheme="majorHAnsi" w:cs="Cambria"/>
          <w:lang w:val="en-GB" w:eastAsia="en-US"/>
        </w:rPr>
        <w:t>branch</w:t>
      </w:r>
      <w:r w:rsidRPr="00E80090">
        <w:rPr>
          <w:rFonts w:asciiTheme="majorHAnsi" w:hAnsiTheme="majorHAnsi" w:cs="Cambria"/>
          <w:lang w:val="en-GB" w:eastAsia="en-US"/>
        </w:rPr>
        <w:t xml:space="preserve"> and was completed in about two months for all four branches. </w:t>
      </w:r>
    </w:p>
    <w:p w14:paraId="6E584221" w14:textId="77777777" w:rsidR="00001664"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final phase of the study included interviews with the local branches of the selected banks. Citibank and </w:t>
      </w:r>
      <w:r w:rsidR="00F57517" w:rsidRPr="00E80090">
        <w:rPr>
          <w:rFonts w:asciiTheme="majorHAnsi" w:hAnsiTheme="majorHAnsi"/>
          <w:lang w:val="en-GB"/>
        </w:rPr>
        <w:t xml:space="preserve">UniCredit </w:t>
      </w:r>
      <w:r w:rsidR="00647167" w:rsidRPr="00E80090">
        <w:rPr>
          <w:rFonts w:asciiTheme="majorHAnsi" w:hAnsiTheme="majorHAnsi" w:cs="Cambria"/>
          <w:lang w:val="en-GB" w:eastAsia="en-US"/>
        </w:rPr>
        <w:t xml:space="preserve">were evaluated by the company prior to the current research and the reasons for choosing them are stated in the findings section. </w:t>
      </w:r>
      <w:r w:rsidRPr="00E80090">
        <w:rPr>
          <w:rFonts w:asciiTheme="majorHAnsi" w:hAnsiTheme="majorHAnsi" w:cs="Cambria"/>
          <w:lang w:val="en-GB" w:eastAsia="en-US"/>
        </w:rPr>
        <w:t>The interviews were conducted via e-mail and telephone. The latter</w:t>
      </w:r>
      <w:r w:rsidR="003523C8" w:rsidRPr="00E80090">
        <w:rPr>
          <w:rFonts w:asciiTheme="majorHAnsi" w:hAnsiTheme="majorHAnsi" w:cs="Cambria"/>
          <w:lang w:val="en-GB" w:eastAsia="en-US"/>
        </w:rPr>
        <w:t>,</w:t>
      </w:r>
      <w:r w:rsidRPr="00E80090">
        <w:rPr>
          <w:rFonts w:asciiTheme="majorHAnsi" w:hAnsiTheme="majorHAnsi" w:cs="Cambria"/>
          <w:lang w:val="en-GB" w:eastAsia="en-US"/>
        </w:rPr>
        <w:t xml:space="preserve"> </w:t>
      </w:r>
      <w:r w:rsidR="003523C8" w:rsidRPr="00E80090">
        <w:rPr>
          <w:rFonts w:asciiTheme="majorHAnsi" w:hAnsiTheme="majorHAnsi" w:cs="Cambria"/>
          <w:lang w:val="en-GB" w:eastAsia="en-US"/>
        </w:rPr>
        <w:t>as</w:t>
      </w:r>
      <w:r w:rsidRPr="00E80090">
        <w:rPr>
          <w:rFonts w:asciiTheme="majorHAnsi" w:hAnsiTheme="majorHAnsi" w:cs="Cambria"/>
          <w:lang w:val="en-GB" w:eastAsia="en-US"/>
        </w:rPr>
        <w:t xml:space="preserve"> the interviews conducted in the second stage</w:t>
      </w:r>
      <w:r w:rsidR="003523C8" w:rsidRPr="00E80090">
        <w:rPr>
          <w:rFonts w:asciiTheme="majorHAnsi" w:hAnsiTheme="majorHAnsi" w:cs="Cambria"/>
          <w:lang w:val="en-GB" w:eastAsia="en-US"/>
        </w:rPr>
        <w:t>,</w:t>
      </w:r>
      <w:r w:rsidRPr="00E80090">
        <w:rPr>
          <w:rFonts w:asciiTheme="majorHAnsi" w:hAnsiTheme="majorHAnsi" w:cs="Cambria"/>
          <w:lang w:val="en-GB" w:eastAsia="en-US"/>
        </w:rPr>
        <w:t xml:space="preserve"> was done for clarification and achievement of higher validity of the results. In this phase </w:t>
      </w:r>
      <w:r w:rsidR="00C33525" w:rsidRPr="00E80090">
        <w:rPr>
          <w:rFonts w:asciiTheme="majorHAnsi" w:hAnsiTheme="majorHAnsi" w:cs="Cambria"/>
          <w:lang w:val="en-GB" w:eastAsia="en-US"/>
        </w:rPr>
        <w:t xml:space="preserve">senior </w:t>
      </w:r>
      <w:r w:rsidRPr="00E80090">
        <w:rPr>
          <w:rFonts w:asciiTheme="majorHAnsi" w:hAnsiTheme="majorHAnsi" w:cs="Cambria"/>
          <w:lang w:val="en-GB" w:eastAsia="en-US"/>
        </w:rPr>
        <w:t xml:space="preserve">employees from the Treasury department assisted in leading the interviews. This stage was executed in two months. </w:t>
      </w:r>
    </w:p>
    <w:p w14:paraId="6E584222" w14:textId="77777777" w:rsidR="00001664" w:rsidRPr="00E80090" w:rsidRDefault="00001664" w:rsidP="0064539B">
      <w:pPr>
        <w:pStyle w:val="Kop2"/>
        <w:numPr>
          <w:ilvl w:val="2"/>
          <w:numId w:val="11"/>
        </w:numPr>
        <w:spacing w:line="360" w:lineRule="auto"/>
        <w:rPr>
          <w:rFonts w:asciiTheme="majorHAnsi" w:hAnsiTheme="majorHAnsi" w:cs="Times New Roman"/>
          <w:lang w:val="en-GB"/>
        </w:rPr>
      </w:pPr>
      <w:bookmarkStart w:id="26" w:name="_Toc359145824"/>
      <w:bookmarkStart w:id="27" w:name="_Toc359408845"/>
      <w:bookmarkStart w:id="28" w:name="_Toc360633013"/>
      <w:bookmarkStart w:id="29" w:name="_Toc368290339"/>
      <w:r w:rsidRPr="00E80090">
        <w:rPr>
          <w:rFonts w:asciiTheme="majorHAnsi" w:hAnsiTheme="majorHAnsi"/>
          <w:lang w:val="en-GB"/>
        </w:rPr>
        <w:lastRenderedPageBreak/>
        <w:t>Data analysis</w:t>
      </w:r>
      <w:bookmarkEnd w:id="26"/>
      <w:bookmarkEnd w:id="27"/>
      <w:bookmarkEnd w:id="28"/>
      <w:bookmarkEnd w:id="29"/>
      <w:r w:rsidRPr="00E80090">
        <w:rPr>
          <w:rFonts w:asciiTheme="majorHAnsi" w:hAnsiTheme="majorHAnsi"/>
          <w:lang w:val="en-GB"/>
        </w:rPr>
        <w:t xml:space="preserve"> </w:t>
      </w:r>
    </w:p>
    <w:p w14:paraId="6E584223" w14:textId="77777777" w:rsidR="00001664" w:rsidRPr="00E80090" w:rsidRDefault="009C4CFB"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data type determined the choice of </w:t>
      </w:r>
      <w:r w:rsidR="00001664" w:rsidRPr="00E80090">
        <w:rPr>
          <w:rFonts w:asciiTheme="majorHAnsi" w:hAnsiTheme="majorHAnsi" w:cs="Cambria"/>
          <w:lang w:val="en-GB" w:eastAsia="en-US"/>
        </w:rPr>
        <w:t>analysis method.</w:t>
      </w:r>
      <w:r w:rsidRPr="00E80090">
        <w:rPr>
          <w:rFonts w:asciiTheme="majorHAnsi" w:hAnsiTheme="majorHAnsi" w:cs="Cambria"/>
          <w:lang w:val="en-GB" w:eastAsia="en-US"/>
        </w:rPr>
        <w:t xml:space="preserve"> Therefore, </w:t>
      </w:r>
      <w:r w:rsidR="00515087" w:rsidRPr="00E80090">
        <w:rPr>
          <w:rFonts w:asciiTheme="majorHAnsi" w:hAnsiTheme="majorHAnsi" w:cs="Cambria"/>
          <w:lang w:val="en-GB" w:eastAsia="en-US"/>
        </w:rPr>
        <w:t xml:space="preserve">quantitative </w:t>
      </w:r>
      <w:r w:rsidRPr="00E80090">
        <w:rPr>
          <w:rFonts w:asciiTheme="majorHAnsi" w:hAnsiTheme="majorHAnsi" w:cs="Cambria"/>
          <w:lang w:val="en-GB" w:eastAsia="en-US"/>
        </w:rPr>
        <w:t xml:space="preserve">and </w:t>
      </w:r>
      <w:r w:rsidR="00515087" w:rsidRPr="00E80090">
        <w:rPr>
          <w:rFonts w:asciiTheme="majorHAnsi" w:hAnsiTheme="majorHAnsi" w:cs="Cambria"/>
          <w:lang w:val="en-GB" w:eastAsia="en-US"/>
        </w:rPr>
        <w:t xml:space="preserve">qualitative </w:t>
      </w:r>
      <w:r w:rsidRPr="00E80090">
        <w:rPr>
          <w:rFonts w:asciiTheme="majorHAnsi" w:hAnsiTheme="majorHAnsi" w:cs="Cambria"/>
          <w:lang w:val="en-GB" w:eastAsia="en-US"/>
        </w:rPr>
        <w:t xml:space="preserve">data were </w:t>
      </w:r>
      <w:r w:rsidR="00844FBF" w:rsidRPr="00E80090">
        <w:rPr>
          <w:rFonts w:asciiTheme="majorHAnsi" w:hAnsiTheme="majorHAnsi" w:cs="Cambria"/>
          <w:lang w:val="en-GB" w:eastAsia="en-US"/>
        </w:rPr>
        <w:t>studied</w:t>
      </w:r>
      <w:r w:rsidRPr="00E80090">
        <w:rPr>
          <w:rFonts w:asciiTheme="majorHAnsi" w:hAnsiTheme="majorHAnsi" w:cs="Cambria"/>
          <w:lang w:val="en-GB" w:eastAsia="en-US"/>
        </w:rPr>
        <w:t xml:space="preserve"> using different techniques.</w:t>
      </w:r>
      <w:r w:rsidR="00515087" w:rsidRPr="00E80090">
        <w:rPr>
          <w:rFonts w:asciiTheme="majorHAnsi" w:hAnsiTheme="majorHAnsi" w:cs="Cambria"/>
          <w:lang w:val="en-GB" w:eastAsia="en-US"/>
        </w:rPr>
        <w:t xml:space="preserve"> The former w</w:t>
      </w:r>
      <w:r w:rsidR="00001664" w:rsidRPr="00E80090">
        <w:rPr>
          <w:rFonts w:asciiTheme="majorHAnsi" w:hAnsiTheme="majorHAnsi" w:cs="Cambria"/>
          <w:lang w:val="en-GB" w:eastAsia="en-US"/>
        </w:rPr>
        <w:t xml:space="preserve">as </w:t>
      </w:r>
      <w:r w:rsidRPr="00E80090">
        <w:rPr>
          <w:rFonts w:asciiTheme="majorHAnsi" w:hAnsiTheme="majorHAnsi" w:cs="Cambria"/>
          <w:lang w:val="en-GB" w:eastAsia="en-US"/>
        </w:rPr>
        <w:t>analysed</w:t>
      </w:r>
      <w:r w:rsidR="00515087" w:rsidRPr="00E80090">
        <w:rPr>
          <w:rFonts w:asciiTheme="majorHAnsi" w:hAnsiTheme="majorHAnsi" w:cs="Cambria"/>
          <w:lang w:val="en-GB" w:eastAsia="en-US"/>
        </w:rPr>
        <w:t xml:space="preserve"> </w:t>
      </w:r>
      <w:r w:rsidR="00844FBF" w:rsidRPr="00E80090">
        <w:rPr>
          <w:rFonts w:asciiTheme="majorHAnsi" w:hAnsiTheme="majorHAnsi" w:cs="Cambria"/>
          <w:lang w:val="en-GB" w:eastAsia="en-US"/>
        </w:rPr>
        <w:t>through</w:t>
      </w:r>
      <w:r w:rsidR="001250F8" w:rsidRPr="00E80090">
        <w:rPr>
          <w:rFonts w:asciiTheme="majorHAnsi" w:hAnsiTheme="majorHAnsi" w:cs="Cambria"/>
          <w:lang w:val="en-GB" w:eastAsia="en-US"/>
        </w:rPr>
        <w:t xml:space="preserve"> E</w:t>
      </w:r>
      <w:r w:rsidR="00515087" w:rsidRPr="00E80090">
        <w:rPr>
          <w:rFonts w:asciiTheme="majorHAnsi" w:hAnsiTheme="majorHAnsi" w:cs="Cambria"/>
          <w:lang w:val="en-GB" w:eastAsia="en-US"/>
        </w:rPr>
        <w:t>xcel</w:t>
      </w:r>
      <w:r w:rsidR="00844FBF" w:rsidRPr="00E80090">
        <w:rPr>
          <w:rFonts w:asciiTheme="majorHAnsi" w:hAnsiTheme="majorHAnsi" w:cs="Cambria"/>
          <w:lang w:val="en-GB" w:eastAsia="en-US"/>
        </w:rPr>
        <w:t>. T</w:t>
      </w:r>
      <w:r w:rsidR="00001664" w:rsidRPr="00E80090">
        <w:rPr>
          <w:rFonts w:asciiTheme="majorHAnsi" w:hAnsiTheme="majorHAnsi" w:cs="Cambria"/>
          <w:lang w:val="en-GB" w:eastAsia="en-US"/>
        </w:rPr>
        <w:t>he use of more sophisticated research software wa</w:t>
      </w:r>
      <w:r w:rsidR="001B48A1" w:rsidRPr="00E80090">
        <w:rPr>
          <w:rFonts w:asciiTheme="majorHAnsi" w:hAnsiTheme="majorHAnsi" w:cs="Cambria"/>
          <w:lang w:val="en-GB" w:eastAsia="en-US"/>
        </w:rPr>
        <w:t>s not found to be necessary as E</w:t>
      </w:r>
      <w:r w:rsidR="00001664" w:rsidRPr="00E80090">
        <w:rPr>
          <w:rFonts w:asciiTheme="majorHAnsi" w:hAnsiTheme="majorHAnsi" w:cs="Cambria"/>
          <w:lang w:val="en-GB" w:eastAsia="en-US"/>
        </w:rPr>
        <w:t xml:space="preserve">xcel allowed for the </w:t>
      </w:r>
      <w:r w:rsidR="00CB02CC" w:rsidRPr="00E80090">
        <w:rPr>
          <w:rFonts w:asciiTheme="majorHAnsi" w:hAnsiTheme="majorHAnsi" w:cs="Cambria"/>
          <w:lang w:val="en-GB" w:eastAsia="en-US"/>
        </w:rPr>
        <w:t>needed</w:t>
      </w:r>
      <w:r w:rsidR="00001664" w:rsidRPr="00E80090">
        <w:rPr>
          <w:rFonts w:asciiTheme="majorHAnsi" w:hAnsiTheme="majorHAnsi" w:cs="Cambria"/>
          <w:lang w:val="en-GB" w:eastAsia="en-US"/>
        </w:rPr>
        <w:t xml:space="preserve"> comparisons. Regarding the qualitative data, the information was put in an electronic format and </w:t>
      </w:r>
      <w:r w:rsidRPr="00E80090">
        <w:rPr>
          <w:rFonts w:asciiTheme="majorHAnsi" w:hAnsiTheme="majorHAnsi" w:cs="Cambria"/>
          <w:lang w:val="en-GB" w:eastAsia="en-US"/>
        </w:rPr>
        <w:t>colour</w:t>
      </w:r>
      <w:r w:rsidR="00001664" w:rsidRPr="00E80090">
        <w:rPr>
          <w:rFonts w:asciiTheme="majorHAnsi" w:hAnsiTheme="majorHAnsi" w:cs="Cambria"/>
          <w:lang w:val="en-GB" w:eastAsia="en-US"/>
        </w:rPr>
        <w:t xml:space="preserve"> coded for the ease of analysis. Then the different </w:t>
      </w:r>
      <w:r w:rsidRPr="00E80090">
        <w:rPr>
          <w:rFonts w:asciiTheme="majorHAnsi" w:hAnsiTheme="majorHAnsi" w:cs="Cambria"/>
          <w:lang w:val="en-GB" w:eastAsia="en-US"/>
        </w:rPr>
        <w:t>themes were outlined and studied</w:t>
      </w:r>
      <w:r w:rsidR="00001664" w:rsidRPr="00E80090">
        <w:rPr>
          <w:rFonts w:asciiTheme="majorHAnsi" w:hAnsiTheme="majorHAnsi" w:cs="Cambria"/>
          <w:lang w:val="en-GB" w:eastAsia="en-US"/>
        </w:rPr>
        <w:t xml:space="preserve"> separately.</w:t>
      </w:r>
    </w:p>
    <w:p w14:paraId="6E584224" w14:textId="77777777" w:rsidR="00001664" w:rsidRPr="00E80090" w:rsidRDefault="00001664" w:rsidP="0064539B">
      <w:pPr>
        <w:pStyle w:val="Kop2"/>
        <w:numPr>
          <w:ilvl w:val="2"/>
          <w:numId w:val="11"/>
        </w:numPr>
        <w:spacing w:line="360" w:lineRule="auto"/>
        <w:rPr>
          <w:rFonts w:asciiTheme="majorHAnsi" w:hAnsiTheme="majorHAnsi"/>
          <w:lang w:val="en-GB"/>
        </w:rPr>
      </w:pPr>
      <w:bookmarkStart w:id="30" w:name="_Toc359145825"/>
      <w:bookmarkStart w:id="31" w:name="_Toc359408846"/>
      <w:bookmarkStart w:id="32" w:name="_Toc360633014"/>
      <w:bookmarkStart w:id="33" w:name="_Toc368290340"/>
      <w:r w:rsidRPr="00E80090">
        <w:rPr>
          <w:rFonts w:asciiTheme="majorHAnsi" w:hAnsiTheme="majorHAnsi"/>
          <w:lang w:val="en-GB"/>
        </w:rPr>
        <w:t xml:space="preserve">Population </w:t>
      </w:r>
      <w:r w:rsidR="008450FF" w:rsidRPr="00E80090">
        <w:rPr>
          <w:rFonts w:asciiTheme="majorHAnsi" w:hAnsiTheme="majorHAnsi"/>
          <w:lang w:val="en-GB"/>
        </w:rPr>
        <w:t>and</w:t>
      </w:r>
      <w:r w:rsidRPr="00E80090">
        <w:rPr>
          <w:rFonts w:asciiTheme="majorHAnsi" w:hAnsiTheme="majorHAnsi"/>
          <w:lang w:val="en-GB"/>
        </w:rPr>
        <w:t xml:space="preserve"> sampling</w:t>
      </w:r>
      <w:bookmarkEnd w:id="30"/>
      <w:bookmarkEnd w:id="31"/>
      <w:bookmarkEnd w:id="32"/>
      <w:bookmarkEnd w:id="33"/>
      <w:r w:rsidRPr="00E80090">
        <w:rPr>
          <w:rFonts w:asciiTheme="majorHAnsi" w:hAnsiTheme="majorHAnsi"/>
          <w:lang w:val="en-GB"/>
        </w:rPr>
        <w:t xml:space="preserve"> </w:t>
      </w:r>
    </w:p>
    <w:p w14:paraId="6E584225" w14:textId="77777777" w:rsidR="00CB02CC"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As the size of the population is small, three employees, it was possible to use the whole population as cases in the first phase of the research. In this way the external validity of the research was ensured </w:t>
      </w:r>
      <w:r w:rsidR="00E34B3A" w:rsidRPr="00E80090">
        <w:rPr>
          <w:rFonts w:asciiTheme="majorHAnsi" w:hAnsiTheme="majorHAnsi" w:cs="Cambria"/>
          <w:lang w:val="en-GB" w:eastAsia="en-US"/>
        </w:rPr>
        <w:t>(Nowack, 1900)</w:t>
      </w:r>
      <w:r w:rsidR="00630BF0" w:rsidRPr="00E80090">
        <w:rPr>
          <w:rFonts w:asciiTheme="majorHAnsi" w:hAnsiTheme="majorHAnsi" w:cs="Cambria"/>
          <w:lang w:val="en-GB" w:eastAsia="en-US"/>
        </w:rPr>
        <w:t>.</w:t>
      </w:r>
      <w:r w:rsidR="00CB02CC" w:rsidRPr="00E80090">
        <w:rPr>
          <w:rFonts w:asciiTheme="majorHAnsi" w:hAnsiTheme="majorHAnsi" w:cs="Cambria"/>
          <w:lang w:val="en-GB" w:eastAsia="en-US"/>
        </w:rPr>
        <w:t xml:space="preserve"> </w:t>
      </w:r>
    </w:p>
    <w:p w14:paraId="6E584226" w14:textId="77777777" w:rsidR="00CB02CC" w:rsidRPr="00E80090" w:rsidRDefault="00CB02CC"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For</w:t>
      </w:r>
      <w:r w:rsidR="00001664" w:rsidRPr="00E80090">
        <w:rPr>
          <w:rFonts w:asciiTheme="majorHAnsi" w:hAnsiTheme="majorHAnsi" w:cs="Cambria"/>
          <w:lang w:val="en-GB" w:eastAsia="en-US"/>
        </w:rPr>
        <w:t xml:space="preserve"> the second stage the population consist</w:t>
      </w:r>
      <w:r w:rsidR="004345F4" w:rsidRPr="00E80090">
        <w:rPr>
          <w:rFonts w:asciiTheme="majorHAnsi" w:hAnsiTheme="majorHAnsi" w:cs="Cambria"/>
          <w:lang w:val="en-GB" w:eastAsia="en-US"/>
        </w:rPr>
        <w:t>ed</w:t>
      </w:r>
      <w:r w:rsidR="00001664" w:rsidRPr="00E80090">
        <w:rPr>
          <w:rFonts w:asciiTheme="majorHAnsi" w:hAnsiTheme="majorHAnsi" w:cs="Cambria"/>
          <w:lang w:val="en-GB" w:eastAsia="en-US"/>
        </w:rPr>
        <w:t xml:space="preserve"> of the Sun</w:t>
      </w:r>
      <w:r w:rsidR="00506573" w:rsidRPr="00E80090">
        <w:rPr>
          <w:rFonts w:asciiTheme="majorHAnsi" w:hAnsiTheme="majorHAnsi" w:cs="Cambria"/>
          <w:lang w:val="en-GB" w:eastAsia="en-US"/>
        </w:rPr>
        <w:t xml:space="preserve"> </w:t>
      </w:r>
      <w:r w:rsidR="00001664" w:rsidRPr="00E80090">
        <w:rPr>
          <w:rFonts w:asciiTheme="majorHAnsi" w:hAnsiTheme="majorHAnsi" w:cs="Cambria"/>
          <w:lang w:val="en-GB" w:eastAsia="en-US"/>
        </w:rPr>
        <w:t>Chemical subsidiaries in Bulgaria, Romania, Slovenia and Slovakia. When selecting the employees to participate in the survey and interviews purposive sampling was used. The choice was made based on the suggestions of the regional SBU</w:t>
      </w:r>
      <w:r w:rsidR="00001664" w:rsidRPr="00E80090">
        <w:rPr>
          <w:rStyle w:val="Voetnootmarkering"/>
          <w:rFonts w:asciiTheme="majorHAnsi" w:hAnsiTheme="majorHAnsi"/>
          <w:lang w:val="en-GB" w:eastAsia="en-US"/>
        </w:rPr>
        <w:footnoteReference w:id="1"/>
      </w:r>
      <w:r w:rsidR="00001664" w:rsidRPr="00E80090">
        <w:rPr>
          <w:rFonts w:asciiTheme="majorHAnsi" w:hAnsiTheme="majorHAnsi" w:cs="Cambria"/>
          <w:lang w:val="en-GB" w:eastAsia="en-US"/>
        </w:rPr>
        <w:t xml:space="preserve"> controller. </w:t>
      </w:r>
    </w:p>
    <w:p w14:paraId="6E584227" w14:textId="77777777" w:rsidR="00001664"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population in the third phase of research included the banks operating in the CEE region that have been selected by the company prior to the current study. In this phase again </w:t>
      </w:r>
      <w:r w:rsidR="004345F4" w:rsidRPr="00E80090">
        <w:rPr>
          <w:rFonts w:asciiTheme="majorHAnsi" w:hAnsiTheme="majorHAnsi" w:cs="Cambria"/>
          <w:lang w:val="en-GB" w:eastAsia="en-US"/>
        </w:rPr>
        <w:t>the interviewed employees were selected based on their function at the bank</w:t>
      </w:r>
      <w:r w:rsidRPr="00E80090">
        <w:rPr>
          <w:rFonts w:asciiTheme="majorHAnsi" w:hAnsiTheme="majorHAnsi" w:cs="Cambria"/>
          <w:lang w:val="en-GB" w:eastAsia="en-US"/>
        </w:rPr>
        <w:t>.</w:t>
      </w:r>
      <w:r w:rsidR="004345F4" w:rsidRPr="00E80090">
        <w:rPr>
          <w:rFonts w:asciiTheme="majorHAnsi" w:hAnsiTheme="majorHAnsi" w:cs="Cambria"/>
          <w:lang w:val="en-GB" w:eastAsia="en-US"/>
        </w:rPr>
        <w:t xml:space="preserve"> The contact details for the bank representatives were </w:t>
      </w:r>
      <w:r w:rsidR="006138A8" w:rsidRPr="00E80090">
        <w:rPr>
          <w:rFonts w:asciiTheme="majorHAnsi" w:hAnsiTheme="majorHAnsi" w:cs="Cambria"/>
          <w:lang w:val="en-GB" w:eastAsia="en-US"/>
        </w:rPr>
        <w:t xml:space="preserve">provided by </w:t>
      </w:r>
      <w:r w:rsidR="004345F4" w:rsidRPr="00E80090">
        <w:rPr>
          <w:rFonts w:asciiTheme="majorHAnsi" w:hAnsiTheme="majorHAnsi" w:cs="Cambria"/>
          <w:lang w:val="en-GB" w:eastAsia="en-US"/>
        </w:rPr>
        <w:t xml:space="preserve">the account managers </w:t>
      </w:r>
      <w:r w:rsidR="006138A8" w:rsidRPr="00E80090">
        <w:rPr>
          <w:rFonts w:asciiTheme="majorHAnsi" w:hAnsiTheme="majorHAnsi" w:cs="Cambria"/>
          <w:lang w:val="en-GB" w:eastAsia="en-US"/>
        </w:rPr>
        <w:t xml:space="preserve">of the banks </w:t>
      </w:r>
      <w:r w:rsidR="004345F4" w:rsidRPr="00E80090">
        <w:rPr>
          <w:rFonts w:asciiTheme="majorHAnsi" w:hAnsiTheme="majorHAnsi" w:cs="Cambria"/>
          <w:lang w:val="en-GB" w:eastAsia="en-US"/>
        </w:rPr>
        <w:t xml:space="preserve">that are </w:t>
      </w:r>
      <w:r w:rsidR="00C40BCB" w:rsidRPr="00E80090">
        <w:rPr>
          <w:rFonts w:asciiTheme="majorHAnsi" w:hAnsiTheme="majorHAnsi" w:cs="Cambria"/>
          <w:lang w:val="en-GB" w:eastAsia="en-US"/>
        </w:rPr>
        <w:t>responsible for the relationship with</w:t>
      </w:r>
      <w:r w:rsidR="004345F4" w:rsidRPr="00E80090">
        <w:rPr>
          <w:rFonts w:asciiTheme="majorHAnsi" w:hAnsiTheme="majorHAnsi" w:cs="Cambria"/>
          <w:lang w:val="en-GB" w:eastAsia="en-US"/>
        </w:rPr>
        <w:t xml:space="preserve"> Sun Chemical.</w:t>
      </w:r>
    </w:p>
    <w:p w14:paraId="6E584228" w14:textId="77777777" w:rsidR="00001664" w:rsidRPr="00E80090" w:rsidRDefault="00001664" w:rsidP="0064539B">
      <w:pPr>
        <w:pStyle w:val="Kop2"/>
        <w:numPr>
          <w:ilvl w:val="2"/>
          <w:numId w:val="11"/>
        </w:numPr>
        <w:spacing w:line="360" w:lineRule="auto"/>
        <w:rPr>
          <w:rFonts w:asciiTheme="majorHAnsi" w:hAnsiTheme="majorHAnsi"/>
          <w:lang w:val="en-GB"/>
        </w:rPr>
      </w:pPr>
      <w:bookmarkStart w:id="34" w:name="_Toc359145826"/>
      <w:bookmarkStart w:id="35" w:name="_Toc359408847"/>
      <w:bookmarkStart w:id="36" w:name="_Toc360633015"/>
      <w:bookmarkStart w:id="37" w:name="_Toc368290341"/>
      <w:r w:rsidRPr="00E80090">
        <w:rPr>
          <w:rFonts w:asciiTheme="majorHAnsi" w:hAnsiTheme="majorHAnsi"/>
          <w:lang w:val="en-GB"/>
        </w:rPr>
        <w:t>Limitations</w:t>
      </w:r>
      <w:bookmarkEnd w:id="34"/>
      <w:bookmarkEnd w:id="35"/>
      <w:bookmarkEnd w:id="36"/>
      <w:bookmarkEnd w:id="37"/>
      <w:r w:rsidRPr="00E80090">
        <w:rPr>
          <w:rFonts w:asciiTheme="majorHAnsi" w:hAnsiTheme="majorHAnsi"/>
          <w:lang w:val="en-GB"/>
        </w:rPr>
        <w:t xml:space="preserve"> </w:t>
      </w:r>
    </w:p>
    <w:p w14:paraId="6E584229" w14:textId="77777777" w:rsidR="00001664" w:rsidRPr="00E80090" w:rsidRDefault="00001664" w:rsidP="0064539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Due to the limit</w:t>
      </w:r>
      <w:r w:rsidR="000834D0" w:rsidRPr="00E80090">
        <w:rPr>
          <w:rFonts w:asciiTheme="majorHAnsi" w:hAnsiTheme="majorHAnsi" w:cs="Cambria"/>
          <w:lang w:val="en-GB" w:eastAsia="en-US"/>
        </w:rPr>
        <w:t xml:space="preserve">ed time the investigation was </w:t>
      </w:r>
      <w:r w:rsidR="00C26C80" w:rsidRPr="00E80090">
        <w:rPr>
          <w:rFonts w:asciiTheme="majorHAnsi" w:hAnsiTheme="majorHAnsi" w:cs="Cambria"/>
          <w:lang w:val="en-GB" w:eastAsia="en-US"/>
        </w:rPr>
        <w:t>restricted</w:t>
      </w:r>
      <w:r w:rsidRPr="00E80090">
        <w:rPr>
          <w:rFonts w:asciiTheme="majorHAnsi" w:hAnsiTheme="majorHAnsi" w:cs="Cambria"/>
          <w:lang w:val="en-GB" w:eastAsia="en-US"/>
        </w:rPr>
        <w:t xml:space="preserve"> to only four of the seven CEE countries planned for the migration project. Moreover, limitations were found in the available sources for the literature review. As such company specific research is rarely published for a wide audience the focus of the desk research was shifted towards the more general aspects of </w:t>
      </w:r>
      <w:r w:rsidR="001B08E6" w:rsidRPr="00E80090">
        <w:rPr>
          <w:rFonts w:asciiTheme="majorHAnsi" w:hAnsiTheme="majorHAnsi" w:cs="Cambria"/>
          <w:lang w:val="en-GB" w:eastAsia="en-US"/>
        </w:rPr>
        <w:t>financial services</w:t>
      </w:r>
      <w:r w:rsidRPr="00E80090">
        <w:rPr>
          <w:rFonts w:asciiTheme="majorHAnsi" w:hAnsiTheme="majorHAnsi" w:cs="Cambria"/>
          <w:lang w:val="en-GB" w:eastAsia="en-US"/>
        </w:rPr>
        <w:t xml:space="preserve"> concentration. </w:t>
      </w:r>
    </w:p>
    <w:p w14:paraId="6E58422A" w14:textId="77777777" w:rsidR="009F1406" w:rsidRPr="00E80090" w:rsidRDefault="009F1406" w:rsidP="009F1406">
      <w:pPr>
        <w:pStyle w:val="Kop2"/>
        <w:numPr>
          <w:ilvl w:val="2"/>
          <w:numId w:val="11"/>
        </w:numPr>
        <w:spacing w:line="360" w:lineRule="auto"/>
        <w:rPr>
          <w:rFonts w:asciiTheme="majorHAnsi" w:hAnsiTheme="majorHAnsi"/>
          <w:lang w:val="en-GB"/>
        </w:rPr>
      </w:pPr>
      <w:bookmarkStart w:id="38" w:name="_Toc274859176"/>
      <w:bookmarkStart w:id="39" w:name="_Toc333951116"/>
      <w:bookmarkStart w:id="40" w:name="_Toc356762915"/>
      <w:bookmarkStart w:id="41" w:name="_Toc357018934"/>
      <w:bookmarkStart w:id="42" w:name="_Toc357022890"/>
      <w:bookmarkStart w:id="43" w:name="_Toc359145839"/>
      <w:bookmarkStart w:id="44" w:name="_Toc359408863"/>
      <w:bookmarkStart w:id="45" w:name="_Toc360633038"/>
      <w:bookmarkStart w:id="46" w:name="_Toc368290342"/>
      <w:r w:rsidRPr="00E80090">
        <w:rPr>
          <w:rFonts w:asciiTheme="majorHAnsi" w:hAnsiTheme="majorHAnsi"/>
          <w:lang w:val="en-GB"/>
        </w:rPr>
        <w:t>Internal validity</w:t>
      </w:r>
      <w:bookmarkEnd w:id="38"/>
      <w:bookmarkEnd w:id="39"/>
      <w:bookmarkEnd w:id="40"/>
      <w:bookmarkEnd w:id="41"/>
      <w:bookmarkEnd w:id="42"/>
      <w:bookmarkEnd w:id="43"/>
      <w:bookmarkEnd w:id="44"/>
      <w:bookmarkEnd w:id="45"/>
      <w:bookmarkEnd w:id="46"/>
    </w:p>
    <w:p w14:paraId="6E58422B" w14:textId="77777777" w:rsidR="009F1406" w:rsidRPr="00E80090" w:rsidRDefault="009F1406" w:rsidP="009F140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Even though every effort was made to conduct a research that is as complete and objective as possible, limitations were certainly present. For instance, the time for the study was restricted. The time constraints pose a threat to validity in terms of </w:t>
      </w:r>
      <w:r w:rsidRPr="00E80090">
        <w:rPr>
          <w:rFonts w:asciiTheme="majorHAnsi" w:hAnsiTheme="majorHAnsi" w:cs="Cambria"/>
          <w:lang w:val="en-GB" w:eastAsia="en-US"/>
        </w:rPr>
        <w:lastRenderedPageBreak/>
        <w:t>maturation</w:t>
      </w:r>
      <w:r w:rsidR="00F81229" w:rsidRPr="00E80090">
        <w:rPr>
          <w:rFonts w:asciiTheme="majorHAnsi" w:hAnsiTheme="majorHAnsi" w:cs="Cambria"/>
          <w:lang w:val="en-GB" w:eastAsia="en-US"/>
        </w:rPr>
        <w:t xml:space="preserve"> of the results</w:t>
      </w:r>
      <w:r w:rsidRPr="00E80090">
        <w:rPr>
          <w:rFonts w:asciiTheme="majorHAnsi" w:hAnsiTheme="majorHAnsi" w:cs="Cambria"/>
          <w:lang w:val="en-GB" w:eastAsia="en-US"/>
        </w:rPr>
        <w:t>. It is possible that the variables used in the current investigation change over time which may hinder the course of the project. For example, the entity in Romania had undergone a recent restructuring. As a result</w:t>
      </w:r>
      <w:r w:rsidR="006F37C6" w:rsidRPr="00E80090">
        <w:rPr>
          <w:rFonts w:asciiTheme="majorHAnsi" w:hAnsiTheme="majorHAnsi" w:cs="Cambria"/>
          <w:lang w:val="en-GB" w:eastAsia="en-US"/>
        </w:rPr>
        <w:t>,</w:t>
      </w:r>
      <w:r w:rsidRPr="00E80090">
        <w:rPr>
          <w:rFonts w:asciiTheme="majorHAnsi" w:hAnsiTheme="majorHAnsi" w:cs="Cambria"/>
          <w:lang w:val="en-GB" w:eastAsia="en-US"/>
        </w:rPr>
        <w:t xml:space="preserve"> most of the preliminary information collected by the company was not accurate anymore and needed to be acquired again. Because of that it is advised that the project is executed shortly after the research has been concluded.</w:t>
      </w:r>
    </w:p>
    <w:p w14:paraId="6E58422C" w14:textId="77777777" w:rsidR="009F1406" w:rsidRPr="00E80090" w:rsidRDefault="009F1406" w:rsidP="009F140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To ensure that the findings are really about what they appear to be triangulation of data collection methods was used. After the questionnaires were completed the controllers were interviewed via telephone. This was done for clarification of the answers given in the questionnaire. In this way the researcher could also explain the meaning of the questions so that it is clear for the controller what is asked of them and everyone is on the same page.</w:t>
      </w:r>
    </w:p>
    <w:p w14:paraId="6E58422D" w14:textId="77777777" w:rsidR="009F1406" w:rsidRPr="00E80090" w:rsidRDefault="009F1406" w:rsidP="009F1406">
      <w:pPr>
        <w:pStyle w:val="Kop2"/>
        <w:numPr>
          <w:ilvl w:val="2"/>
          <w:numId w:val="11"/>
        </w:numPr>
        <w:spacing w:line="360" w:lineRule="auto"/>
        <w:rPr>
          <w:rFonts w:asciiTheme="majorHAnsi" w:hAnsiTheme="majorHAnsi"/>
          <w:lang w:val="en-GB"/>
        </w:rPr>
      </w:pPr>
      <w:bookmarkStart w:id="47" w:name="_Toc274859177"/>
      <w:bookmarkStart w:id="48" w:name="_Toc333951117"/>
      <w:bookmarkStart w:id="49" w:name="_Toc356762916"/>
      <w:bookmarkStart w:id="50" w:name="_Toc357018935"/>
      <w:bookmarkStart w:id="51" w:name="_Toc357022891"/>
      <w:bookmarkStart w:id="52" w:name="_Toc359145840"/>
      <w:bookmarkStart w:id="53" w:name="_Toc359408864"/>
      <w:bookmarkStart w:id="54" w:name="_Toc360633039"/>
      <w:bookmarkStart w:id="55" w:name="_Toc368290343"/>
      <w:r w:rsidRPr="00E80090">
        <w:rPr>
          <w:rFonts w:asciiTheme="majorHAnsi" w:hAnsiTheme="majorHAnsi"/>
          <w:lang w:val="en-GB"/>
        </w:rPr>
        <w:t>External validity</w:t>
      </w:r>
      <w:bookmarkEnd w:id="47"/>
      <w:bookmarkEnd w:id="48"/>
      <w:bookmarkEnd w:id="49"/>
      <w:bookmarkEnd w:id="50"/>
      <w:bookmarkEnd w:id="51"/>
      <w:bookmarkEnd w:id="52"/>
      <w:bookmarkEnd w:id="53"/>
      <w:bookmarkEnd w:id="54"/>
      <w:bookmarkEnd w:id="55"/>
    </w:p>
    <w:p w14:paraId="6E58422E" w14:textId="77777777" w:rsidR="009F1406" w:rsidRPr="00E80090" w:rsidRDefault="009F1406" w:rsidP="009F140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Considering the external validity of the research, it can be perceived as legitimate but not generalizable to other populations. Since the population that the central question concerned was rather small it was possible to use all cases in the investigation. Therefore, the conclusions apply to the whole population. However, if the results were to be applied in a different research setting and to a different population, it cannot be </w:t>
      </w:r>
      <w:r w:rsidR="00B3602F" w:rsidRPr="00E80090">
        <w:rPr>
          <w:rFonts w:asciiTheme="majorHAnsi" w:hAnsiTheme="majorHAnsi" w:cs="Cambria"/>
          <w:lang w:val="en-GB" w:eastAsia="en-US"/>
        </w:rPr>
        <w:t>expected that</w:t>
      </w:r>
      <w:r w:rsidRPr="00E80090">
        <w:rPr>
          <w:rFonts w:asciiTheme="majorHAnsi" w:hAnsiTheme="majorHAnsi" w:cs="Cambria"/>
          <w:lang w:val="en-GB" w:eastAsia="en-US"/>
        </w:rPr>
        <w:t xml:space="preserve"> they would be accurate. As the purpose of the study was not to give a generalizable answer but to explain the particular situation in the concerned company, that is not found to be an issue. </w:t>
      </w:r>
    </w:p>
    <w:p w14:paraId="6E58422F" w14:textId="77777777" w:rsidR="009F1406" w:rsidRPr="00E80090" w:rsidRDefault="009F1406" w:rsidP="009F1406">
      <w:pPr>
        <w:pStyle w:val="Kop2"/>
        <w:numPr>
          <w:ilvl w:val="2"/>
          <w:numId w:val="11"/>
        </w:numPr>
        <w:spacing w:line="360" w:lineRule="auto"/>
        <w:rPr>
          <w:rFonts w:asciiTheme="majorHAnsi" w:hAnsiTheme="majorHAnsi"/>
          <w:lang w:val="en-GB"/>
        </w:rPr>
      </w:pPr>
      <w:bookmarkStart w:id="56" w:name="_Toc274859178"/>
      <w:bookmarkStart w:id="57" w:name="_Toc333951118"/>
      <w:bookmarkStart w:id="58" w:name="_Toc356762917"/>
      <w:bookmarkStart w:id="59" w:name="_Toc357018936"/>
      <w:bookmarkStart w:id="60" w:name="_Toc357022892"/>
      <w:bookmarkStart w:id="61" w:name="_Toc359145841"/>
      <w:bookmarkStart w:id="62" w:name="_Toc359408865"/>
      <w:bookmarkStart w:id="63" w:name="_Toc360633040"/>
      <w:bookmarkStart w:id="64" w:name="_Toc368290344"/>
      <w:r w:rsidRPr="00E80090">
        <w:rPr>
          <w:rFonts w:asciiTheme="majorHAnsi" w:hAnsiTheme="majorHAnsi"/>
          <w:lang w:val="en-GB"/>
        </w:rPr>
        <w:t>Reliability</w:t>
      </w:r>
      <w:bookmarkEnd w:id="56"/>
      <w:bookmarkEnd w:id="57"/>
      <w:bookmarkEnd w:id="58"/>
      <w:bookmarkEnd w:id="59"/>
      <w:bookmarkEnd w:id="60"/>
      <w:bookmarkEnd w:id="61"/>
      <w:bookmarkEnd w:id="62"/>
      <w:bookmarkEnd w:id="63"/>
      <w:bookmarkEnd w:id="64"/>
    </w:p>
    <w:p w14:paraId="6E584230" w14:textId="77777777" w:rsidR="009F1406" w:rsidRPr="00E80090" w:rsidRDefault="009F1406" w:rsidP="009F140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answers given by the subjects were based on facts and were not dependent on their personal situation or opinions. Therefore</w:t>
      </w:r>
      <w:r w:rsidR="00B3602F" w:rsidRPr="00E80090">
        <w:rPr>
          <w:rFonts w:asciiTheme="majorHAnsi" w:hAnsiTheme="majorHAnsi" w:cs="Cambria"/>
          <w:lang w:val="en-GB" w:eastAsia="en-US"/>
        </w:rPr>
        <w:t>,</w:t>
      </w:r>
      <w:r w:rsidRPr="00E80090">
        <w:rPr>
          <w:rFonts w:asciiTheme="majorHAnsi" w:hAnsiTheme="majorHAnsi" w:cs="Cambria"/>
          <w:lang w:val="en-GB" w:eastAsia="en-US"/>
        </w:rPr>
        <w:t xml:space="preserve"> the possibility of participant error or bias is limited. To lessen the threat of observer error the used questionnaires and interviews were highly structured. Therefore, the reliability of the study seems to be high and if the research was to be carried out again using the same methods and conditions it is likely to lead to similar results.</w:t>
      </w:r>
      <w:bookmarkStart w:id="65" w:name="_Toc333951119"/>
      <w:bookmarkStart w:id="66" w:name="_Toc356762918"/>
      <w:bookmarkStart w:id="67" w:name="_Toc357018937"/>
      <w:bookmarkStart w:id="68" w:name="_Toc357022893"/>
      <w:bookmarkStart w:id="69" w:name="_Toc359145842"/>
      <w:bookmarkStart w:id="70" w:name="_Toc359408866"/>
    </w:p>
    <w:bookmarkEnd w:id="65"/>
    <w:bookmarkEnd w:id="66"/>
    <w:bookmarkEnd w:id="67"/>
    <w:bookmarkEnd w:id="68"/>
    <w:bookmarkEnd w:id="69"/>
    <w:bookmarkEnd w:id="70"/>
    <w:p w14:paraId="6E584231" w14:textId="77777777" w:rsidR="009F1406" w:rsidRPr="00E80090" w:rsidRDefault="009F1406" w:rsidP="0064539B">
      <w:pPr>
        <w:spacing w:after="200" w:line="360" w:lineRule="auto"/>
        <w:jc w:val="both"/>
        <w:rPr>
          <w:rFonts w:asciiTheme="majorHAnsi" w:hAnsiTheme="majorHAnsi" w:cs="Cambria"/>
          <w:lang w:val="en-GB" w:eastAsia="en-US"/>
        </w:rPr>
      </w:pPr>
    </w:p>
    <w:p w14:paraId="6E584232" w14:textId="77777777" w:rsidR="00FB36B2" w:rsidRPr="00E80090" w:rsidRDefault="00FB36B2">
      <w:pPr>
        <w:rPr>
          <w:rFonts w:asciiTheme="majorHAnsi" w:hAnsiTheme="majorHAnsi" w:cs="Cambria"/>
          <w:b/>
          <w:bCs/>
          <w:color w:val="365F91"/>
          <w:sz w:val="28"/>
          <w:szCs w:val="28"/>
          <w:lang w:val="en-GB" w:eastAsia="en-US"/>
        </w:rPr>
      </w:pPr>
      <w:bookmarkStart w:id="71" w:name="_Toc359145827"/>
      <w:bookmarkStart w:id="72" w:name="_Toc359408848"/>
      <w:r w:rsidRPr="00E80090">
        <w:rPr>
          <w:rFonts w:asciiTheme="majorHAnsi" w:hAnsiTheme="majorHAnsi"/>
          <w:lang w:val="en-GB" w:eastAsia="en-US"/>
        </w:rPr>
        <w:br w:type="page"/>
      </w:r>
    </w:p>
    <w:p w14:paraId="6E584233" w14:textId="77777777" w:rsidR="00001664" w:rsidRPr="00E80090" w:rsidRDefault="00001664" w:rsidP="00D67416">
      <w:pPr>
        <w:pStyle w:val="Kop1"/>
        <w:numPr>
          <w:ilvl w:val="0"/>
          <w:numId w:val="10"/>
        </w:numPr>
        <w:rPr>
          <w:rFonts w:asciiTheme="majorHAnsi" w:hAnsiTheme="majorHAnsi"/>
          <w:lang w:val="en-GB" w:eastAsia="en-US"/>
        </w:rPr>
      </w:pPr>
      <w:bookmarkStart w:id="73" w:name="_Toc360633016"/>
      <w:bookmarkStart w:id="74" w:name="_Toc368290345"/>
      <w:r w:rsidRPr="00E80090">
        <w:rPr>
          <w:rFonts w:asciiTheme="majorHAnsi" w:hAnsiTheme="majorHAnsi"/>
          <w:lang w:val="en-GB" w:eastAsia="en-US"/>
        </w:rPr>
        <w:lastRenderedPageBreak/>
        <w:t>Findings</w:t>
      </w:r>
      <w:bookmarkEnd w:id="71"/>
      <w:bookmarkEnd w:id="72"/>
      <w:bookmarkEnd w:id="73"/>
      <w:bookmarkEnd w:id="74"/>
    </w:p>
    <w:p w14:paraId="6E584234" w14:textId="77777777" w:rsidR="005D1F0F" w:rsidRPr="00E80090" w:rsidRDefault="005D1F0F" w:rsidP="00EE7BC7">
      <w:pPr>
        <w:pStyle w:val="Kop2"/>
        <w:numPr>
          <w:ilvl w:val="1"/>
          <w:numId w:val="12"/>
        </w:numPr>
        <w:spacing w:line="360" w:lineRule="auto"/>
        <w:rPr>
          <w:rFonts w:asciiTheme="majorHAnsi" w:hAnsiTheme="majorHAnsi"/>
          <w:lang w:val="en-GB"/>
        </w:rPr>
      </w:pPr>
      <w:bookmarkStart w:id="75" w:name="_Toc368290346"/>
      <w:bookmarkStart w:id="76" w:name="_Toc359145828"/>
      <w:bookmarkStart w:id="77" w:name="_Toc359408849"/>
      <w:bookmarkStart w:id="78" w:name="_Toc360633017"/>
      <w:r w:rsidRPr="00E80090">
        <w:rPr>
          <w:rFonts w:asciiTheme="majorHAnsi" w:hAnsiTheme="majorHAnsi"/>
          <w:lang w:val="en-GB"/>
        </w:rPr>
        <w:t>General structure</w:t>
      </w:r>
      <w:bookmarkEnd w:id="75"/>
    </w:p>
    <w:p w14:paraId="6E584235" w14:textId="77777777" w:rsidR="00771AE4" w:rsidRPr="00E80090" w:rsidRDefault="00D15B75" w:rsidP="00D15B7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Sun Chemical has eleven </w:t>
      </w:r>
      <w:r w:rsidR="007420B8" w:rsidRPr="00E80090">
        <w:rPr>
          <w:rFonts w:asciiTheme="majorHAnsi" w:hAnsiTheme="majorHAnsi" w:cs="Cambria"/>
          <w:lang w:val="en-GB" w:eastAsia="en-US"/>
        </w:rPr>
        <w:t>subsidiaries</w:t>
      </w:r>
      <w:r w:rsidRPr="00E80090">
        <w:rPr>
          <w:rFonts w:asciiTheme="majorHAnsi" w:hAnsiTheme="majorHAnsi" w:cs="Cambria"/>
          <w:lang w:val="en-GB" w:eastAsia="en-US"/>
        </w:rPr>
        <w:t xml:space="preserve"> in the Central and Eastern Europe</w:t>
      </w:r>
      <w:r w:rsidR="00E91CD9" w:rsidRPr="00E80090">
        <w:rPr>
          <w:rFonts w:asciiTheme="majorHAnsi" w:hAnsiTheme="majorHAnsi" w:cs="Cambria"/>
          <w:lang w:val="en-GB" w:eastAsia="en-US"/>
        </w:rPr>
        <w:t>an</w:t>
      </w:r>
      <w:r w:rsidRPr="00E80090">
        <w:rPr>
          <w:rFonts w:asciiTheme="majorHAnsi" w:hAnsiTheme="majorHAnsi" w:cs="Cambria"/>
          <w:lang w:val="en-GB" w:eastAsia="en-US"/>
        </w:rPr>
        <w:t xml:space="preserve"> (CEE) region. </w:t>
      </w:r>
      <w:r w:rsidR="007420B8" w:rsidRPr="00E80090">
        <w:rPr>
          <w:rFonts w:asciiTheme="majorHAnsi" w:hAnsiTheme="majorHAnsi" w:cs="Cambria"/>
          <w:lang w:val="en-GB" w:eastAsia="en-US"/>
        </w:rPr>
        <w:t>The</w:t>
      </w:r>
      <w:r w:rsidR="00E91CD9" w:rsidRPr="00E80090">
        <w:rPr>
          <w:rFonts w:asciiTheme="majorHAnsi" w:hAnsiTheme="majorHAnsi" w:cs="Cambria"/>
          <w:lang w:val="en-GB" w:eastAsia="en-US"/>
        </w:rPr>
        <w:t xml:space="preserve"> company ha</w:t>
      </w:r>
      <w:r w:rsidR="007420B8" w:rsidRPr="00E80090">
        <w:rPr>
          <w:rFonts w:asciiTheme="majorHAnsi" w:hAnsiTheme="majorHAnsi" w:cs="Cambria"/>
          <w:lang w:val="en-GB" w:eastAsia="en-US"/>
        </w:rPr>
        <w:t>s one branch in each of the following countries: Bulgaria, Romania, Croatia, Slovakia, Slovenia, the Czech Republic, Hungary, Serbia, Ukraine, Albania and Macedonia.</w:t>
      </w:r>
      <w:r w:rsidR="006C774C" w:rsidRPr="00E80090">
        <w:rPr>
          <w:rFonts w:asciiTheme="majorHAnsi" w:hAnsiTheme="majorHAnsi" w:cs="Cambria"/>
          <w:lang w:val="en-GB" w:eastAsia="en-US"/>
        </w:rPr>
        <w:t xml:space="preserve"> All these entities are set up under the subsidiary in Austria. There is an SBU controller in Vienna assigned to </w:t>
      </w:r>
      <w:r w:rsidR="00700BCC" w:rsidRPr="00E80090">
        <w:rPr>
          <w:rFonts w:asciiTheme="majorHAnsi" w:hAnsiTheme="majorHAnsi" w:cs="Cambria"/>
          <w:lang w:val="en-GB" w:eastAsia="en-US"/>
        </w:rPr>
        <w:t xml:space="preserve">oversee </w:t>
      </w:r>
      <w:r w:rsidR="006C774C" w:rsidRPr="00E80090">
        <w:rPr>
          <w:rFonts w:asciiTheme="majorHAnsi" w:hAnsiTheme="majorHAnsi" w:cs="Cambria"/>
          <w:lang w:val="en-GB" w:eastAsia="en-US"/>
        </w:rPr>
        <w:t xml:space="preserve">the CEE branches and that is the person to whom </w:t>
      </w:r>
      <w:r w:rsidR="00700BCC" w:rsidRPr="00E80090">
        <w:rPr>
          <w:rFonts w:asciiTheme="majorHAnsi" w:hAnsiTheme="majorHAnsi" w:cs="Cambria"/>
          <w:lang w:val="en-GB" w:eastAsia="en-US"/>
        </w:rPr>
        <w:t>t</w:t>
      </w:r>
      <w:r w:rsidR="006C774C" w:rsidRPr="00E80090">
        <w:rPr>
          <w:rFonts w:asciiTheme="majorHAnsi" w:hAnsiTheme="majorHAnsi" w:cs="Cambria"/>
          <w:lang w:val="en-GB" w:eastAsia="en-US"/>
        </w:rPr>
        <w:t xml:space="preserve">hey report. </w:t>
      </w:r>
    </w:p>
    <w:p w14:paraId="6E584236" w14:textId="77777777" w:rsidR="00234AF2" w:rsidRPr="00E80090" w:rsidRDefault="00234AF2" w:rsidP="00D15B7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In addition to reporting to the branch in Austria, the CEE </w:t>
      </w:r>
      <w:r w:rsidR="002D7F49" w:rsidRPr="00E80090">
        <w:rPr>
          <w:rFonts w:asciiTheme="majorHAnsi" w:hAnsiTheme="majorHAnsi" w:cs="Cambria"/>
          <w:lang w:val="en-GB" w:eastAsia="en-US"/>
        </w:rPr>
        <w:t>entities</w:t>
      </w:r>
      <w:r w:rsidRPr="00E80090">
        <w:rPr>
          <w:rFonts w:asciiTheme="majorHAnsi" w:hAnsiTheme="majorHAnsi" w:cs="Cambria"/>
          <w:lang w:val="en-GB" w:eastAsia="en-US"/>
        </w:rPr>
        <w:t xml:space="preserve"> also purchase </w:t>
      </w:r>
      <w:r w:rsidR="00700BCC" w:rsidRPr="00E80090">
        <w:rPr>
          <w:rFonts w:asciiTheme="majorHAnsi" w:hAnsiTheme="majorHAnsi" w:cs="Cambria"/>
          <w:lang w:val="en-GB" w:eastAsia="en-US"/>
        </w:rPr>
        <w:t xml:space="preserve">most of their </w:t>
      </w:r>
      <w:r w:rsidRPr="00E80090">
        <w:rPr>
          <w:rFonts w:asciiTheme="majorHAnsi" w:hAnsiTheme="majorHAnsi" w:cs="Cambria"/>
          <w:lang w:val="en-GB" w:eastAsia="en-US"/>
        </w:rPr>
        <w:t>materials and</w:t>
      </w:r>
      <w:r w:rsidR="00700BCC" w:rsidRPr="00E80090">
        <w:rPr>
          <w:rFonts w:asciiTheme="majorHAnsi" w:hAnsiTheme="majorHAnsi" w:cs="Cambria"/>
          <w:lang w:val="en-GB" w:eastAsia="en-US"/>
        </w:rPr>
        <w:t>/or</w:t>
      </w:r>
      <w:r w:rsidRPr="00E80090">
        <w:rPr>
          <w:rFonts w:asciiTheme="majorHAnsi" w:hAnsiTheme="majorHAnsi" w:cs="Cambria"/>
          <w:lang w:val="en-GB" w:eastAsia="en-US"/>
        </w:rPr>
        <w:t xml:space="preserve"> finished products from it. </w:t>
      </w:r>
      <w:r w:rsidR="005913A3" w:rsidRPr="00E80090">
        <w:rPr>
          <w:rFonts w:asciiTheme="majorHAnsi" w:hAnsiTheme="majorHAnsi" w:cs="Cambria"/>
          <w:lang w:val="en-GB" w:eastAsia="en-US"/>
        </w:rPr>
        <w:t xml:space="preserve">They </w:t>
      </w:r>
      <w:r w:rsidR="00700BCC" w:rsidRPr="00E80090">
        <w:rPr>
          <w:rFonts w:asciiTheme="majorHAnsi" w:hAnsiTheme="majorHAnsi" w:cs="Cambria"/>
          <w:lang w:val="en-GB" w:eastAsia="en-US"/>
        </w:rPr>
        <w:t>sell the</w:t>
      </w:r>
      <w:r w:rsidR="005913A3" w:rsidRPr="00E80090">
        <w:rPr>
          <w:rFonts w:asciiTheme="majorHAnsi" w:hAnsiTheme="majorHAnsi" w:cs="Cambria"/>
          <w:lang w:val="en-GB" w:eastAsia="en-US"/>
        </w:rPr>
        <w:t xml:space="preserve"> process</w:t>
      </w:r>
      <w:r w:rsidR="00700BCC" w:rsidRPr="00E80090">
        <w:rPr>
          <w:rFonts w:asciiTheme="majorHAnsi" w:hAnsiTheme="majorHAnsi" w:cs="Cambria"/>
          <w:lang w:val="en-GB" w:eastAsia="en-US"/>
        </w:rPr>
        <w:t xml:space="preserve">ed </w:t>
      </w:r>
      <w:r w:rsidR="005913A3" w:rsidRPr="00E80090">
        <w:rPr>
          <w:rFonts w:asciiTheme="majorHAnsi" w:hAnsiTheme="majorHAnsi" w:cs="Cambria"/>
          <w:lang w:val="en-GB" w:eastAsia="en-US"/>
        </w:rPr>
        <w:t>or just repackage</w:t>
      </w:r>
      <w:r w:rsidR="00700BCC" w:rsidRPr="00E80090">
        <w:rPr>
          <w:rFonts w:asciiTheme="majorHAnsi" w:hAnsiTheme="majorHAnsi" w:cs="Cambria"/>
          <w:lang w:val="en-GB" w:eastAsia="en-US"/>
        </w:rPr>
        <w:t>d</w:t>
      </w:r>
      <w:r w:rsidR="005913A3" w:rsidRPr="00E80090">
        <w:rPr>
          <w:rFonts w:asciiTheme="majorHAnsi" w:hAnsiTheme="majorHAnsi" w:cs="Cambria"/>
          <w:lang w:val="en-GB" w:eastAsia="en-US"/>
        </w:rPr>
        <w:t xml:space="preserve"> goods </w:t>
      </w:r>
      <w:r w:rsidR="00700BCC" w:rsidRPr="00E80090">
        <w:rPr>
          <w:rFonts w:asciiTheme="majorHAnsi" w:hAnsiTheme="majorHAnsi" w:cs="Cambria"/>
          <w:lang w:val="en-GB" w:eastAsia="en-US"/>
        </w:rPr>
        <w:t xml:space="preserve">mainly </w:t>
      </w:r>
      <w:r w:rsidR="005913A3" w:rsidRPr="00E80090">
        <w:rPr>
          <w:rFonts w:asciiTheme="majorHAnsi" w:hAnsiTheme="majorHAnsi" w:cs="Cambria"/>
          <w:lang w:val="en-GB" w:eastAsia="en-US"/>
        </w:rPr>
        <w:t>locally.</w:t>
      </w:r>
      <w:r w:rsidR="00BE4E03" w:rsidRPr="00E80090">
        <w:rPr>
          <w:rFonts w:asciiTheme="majorHAnsi" w:hAnsiTheme="majorHAnsi" w:cs="Cambria"/>
          <w:lang w:val="en-GB" w:eastAsia="en-US"/>
        </w:rPr>
        <w:t xml:space="preserve"> When they send or receive payments the bank would charge a fee that is based on the type and volume of the payment. Additionally, based on the payment method different cash management products are used by the company.  </w:t>
      </w:r>
    </w:p>
    <w:p w14:paraId="6E584237" w14:textId="77777777" w:rsidR="00F23C87" w:rsidRPr="00E80090" w:rsidRDefault="00F23C87" w:rsidP="00F23C87">
      <w:pPr>
        <w:pStyle w:val="Kop2"/>
        <w:numPr>
          <w:ilvl w:val="1"/>
          <w:numId w:val="12"/>
        </w:numPr>
        <w:spacing w:line="360" w:lineRule="auto"/>
        <w:rPr>
          <w:rFonts w:asciiTheme="majorHAnsi" w:hAnsiTheme="majorHAnsi"/>
          <w:lang w:val="en-GB"/>
        </w:rPr>
      </w:pPr>
      <w:bookmarkStart w:id="79" w:name="_Toc368290347"/>
      <w:r w:rsidRPr="00E80090">
        <w:rPr>
          <w:rFonts w:asciiTheme="majorHAnsi" w:hAnsiTheme="majorHAnsi"/>
          <w:lang w:val="en-GB"/>
        </w:rPr>
        <w:t>Objectives</w:t>
      </w:r>
      <w:bookmarkEnd w:id="79"/>
    </w:p>
    <w:p w14:paraId="6E584238" w14:textId="77777777" w:rsidR="003A0B5C" w:rsidRPr="00E80090" w:rsidRDefault="00F45FD8" w:rsidP="00F45FD8">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main goal of Sun Chemical for the project is to improve the security of its operations in the CEE region. </w:t>
      </w:r>
      <w:r w:rsidR="003A0B5C" w:rsidRPr="00E80090">
        <w:rPr>
          <w:rFonts w:asciiTheme="majorHAnsi" w:hAnsiTheme="majorHAnsi" w:cs="Cambria"/>
          <w:lang w:val="en-GB" w:eastAsia="en-US"/>
        </w:rPr>
        <w:t xml:space="preserve">This entails that central control over the local business needs to be enhanced and transparency regarding electronic banking and foreign exchange trading </w:t>
      </w:r>
      <w:r w:rsidR="00C37980" w:rsidRPr="00E80090">
        <w:rPr>
          <w:rFonts w:asciiTheme="majorHAnsi" w:hAnsiTheme="majorHAnsi" w:cs="Cambria"/>
          <w:lang w:val="en-GB" w:eastAsia="en-US"/>
        </w:rPr>
        <w:t>increased</w:t>
      </w:r>
      <w:r w:rsidR="003A0B5C" w:rsidRPr="00E80090">
        <w:rPr>
          <w:rFonts w:asciiTheme="majorHAnsi" w:hAnsiTheme="majorHAnsi" w:cs="Cambria"/>
          <w:lang w:val="en-GB" w:eastAsia="en-US"/>
        </w:rPr>
        <w:t>.</w:t>
      </w:r>
      <w:r w:rsidR="002B737D" w:rsidRPr="00E80090">
        <w:rPr>
          <w:rFonts w:asciiTheme="majorHAnsi" w:hAnsiTheme="majorHAnsi" w:cs="Cambria"/>
          <w:lang w:val="en-GB" w:eastAsia="en-US"/>
        </w:rPr>
        <w:t xml:space="preserve"> </w:t>
      </w:r>
      <w:r w:rsidR="00C37980" w:rsidRPr="00E80090">
        <w:rPr>
          <w:rFonts w:asciiTheme="majorHAnsi" w:hAnsiTheme="majorHAnsi" w:cs="Cambria"/>
          <w:lang w:val="en-GB" w:eastAsia="en-US"/>
        </w:rPr>
        <w:t xml:space="preserve">Improvement in </w:t>
      </w:r>
      <w:r w:rsidR="00D06C00" w:rsidRPr="00E80090">
        <w:rPr>
          <w:rFonts w:asciiTheme="majorHAnsi" w:hAnsiTheme="majorHAnsi" w:cs="Cambria"/>
          <w:lang w:val="en-GB" w:eastAsia="en-US"/>
        </w:rPr>
        <w:t xml:space="preserve">FX </w:t>
      </w:r>
      <w:r w:rsidR="00C37980" w:rsidRPr="00E80090">
        <w:rPr>
          <w:rFonts w:asciiTheme="majorHAnsi" w:hAnsiTheme="majorHAnsi" w:cs="Cambria"/>
          <w:lang w:val="en-GB" w:eastAsia="en-US"/>
        </w:rPr>
        <w:t>risk management can also be a pote</w:t>
      </w:r>
      <w:r w:rsidR="0017311E" w:rsidRPr="00E80090">
        <w:rPr>
          <w:rFonts w:asciiTheme="majorHAnsi" w:hAnsiTheme="majorHAnsi" w:cs="Cambria"/>
          <w:lang w:val="en-GB" w:eastAsia="en-US"/>
        </w:rPr>
        <w:t>ntial benefit from the centralis</w:t>
      </w:r>
      <w:r w:rsidR="00C37980" w:rsidRPr="00E80090">
        <w:rPr>
          <w:rFonts w:asciiTheme="majorHAnsi" w:hAnsiTheme="majorHAnsi" w:cs="Cambria"/>
          <w:lang w:val="en-GB" w:eastAsia="en-US"/>
        </w:rPr>
        <w:t>ation. Furthermore, the company also hopes to decrease the banking costs for the branches in the region. However, even though the latter would be beneficial for the local business it comes with second priority to Treasury.</w:t>
      </w:r>
    </w:p>
    <w:p w14:paraId="6E584239" w14:textId="77777777" w:rsidR="00001664" w:rsidRPr="00E80090" w:rsidRDefault="00001664" w:rsidP="00EE7BC7">
      <w:pPr>
        <w:pStyle w:val="Kop2"/>
        <w:numPr>
          <w:ilvl w:val="1"/>
          <w:numId w:val="12"/>
        </w:numPr>
        <w:spacing w:line="360" w:lineRule="auto"/>
        <w:rPr>
          <w:rFonts w:asciiTheme="majorHAnsi" w:hAnsiTheme="majorHAnsi"/>
          <w:lang w:val="en-GB"/>
        </w:rPr>
      </w:pPr>
      <w:bookmarkStart w:id="80" w:name="_Toc368290348"/>
      <w:r w:rsidRPr="00E80090">
        <w:rPr>
          <w:rFonts w:asciiTheme="majorHAnsi" w:hAnsiTheme="majorHAnsi"/>
          <w:lang w:val="en-GB"/>
        </w:rPr>
        <w:t>Products and services</w:t>
      </w:r>
      <w:bookmarkEnd w:id="76"/>
      <w:bookmarkEnd w:id="77"/>
      <w:bookmarkEnd w:id="78"/>
      <w:bookmarkEnd w:id="80"/>
      <w:r w:rsidRPr="00E80090">
        <w:rPr>
          <w:rFonts w:asciiTheme="majorHAnsi" w:hAnsiTheme="majorHAnsi"/>
          <w:lang w:val="en-GB"/>
        </w:rPr>
        <w:t xml:space="preserve"> </w:t>
      </w:r>
    </w:p>
    <w:p w14:paraId="6E58423A" w14:textId="77777777" w:rsidR="00FE641B" w:rsidRPr="00E80090" w:rsidRDefault="00A306D9" w:rsidP="00FE641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w:t>
      </w:r>
      <w:r w:rsidR="00CB0B76" w:rsidRPr="00E80090">
        <w:rPr>
          <w:rFonts w:asciiTheme="majorHAnsi" w:hAnsiTheme="majorHAnsi" w:cs="Cambria"/>
          <w:lang w:val="en-GB" w:eastAsia="en-US"/>
        </w:rPr>
        <w:t xml:space="preserve">his section focuses on the bank </w:t>
      </w:r>
      <w:r w:rsidRPr="00E80090">
        <w:rPr>
          <w:rFonts w:asciiTheme="majorHAnsi" w:hAnsiTheme="majorHAnsi" w:cs="Cambria"/>
          <w:lang w:val="en-GB" w:eastAsia="en-US"/>
        </w:rPr>
        <w:t>products and servic</w:t>
      </w:r>
      <w:r w:rsidR="00B05BA2" w:rsidRPr="00E80090">
        <w:rPr>
          <w:rFonts w:asciiTheme="majorHAnsi" w:hAnsiTheme="majorHAnsi" w:cs="Cambria"/>
          <w:lang w:val="en-GB" w:eastAsia="en-US"/>
        </w:rPr>
        <w:t>es</w:t>
      </w:r>
      <w:r w:rsidR="00927821" w:rsidRPr="00E80090">
        <w:rPr>
          <w:rFonts w:asciiTheme="majorHAnsi" w:hAnsiTheme="majorHAnsi" w:cs="Cambria"/>
          <w:lang w:val="en-GB" w:eastAsia="en-US"/>
        </w:rPr>
        <w:t>,</w:t>
      </w:r>
      <w:r w:rsidRPr="00E80090">
        <w:rPr>
          <w:rFonts w:asciiTheme="majorHAnsi" w:hAnsiTheme="majorHAnsi" w:cs="Cambria"/>
          <w:lang w:val="en-GB" w:eastAsia="en-US"/>
        </w:rPr>
        <w:t xml:space="preserve"> currently used by the </w:t>
      </w:r>
      <w:r w:rsidR="00153F89" w:rsidRPr="00E80090">
        <w:rPr>
          <w:rFonts w:asciiTheme="majorHAnsi" w:hAnsiTheme="majorHAnsi" w:cs="Cambria"/>
          <w:lang w:val="en-GB" w:eastAsia="en-US"/>
        </w:rPr>
        <w:t>subsidiaries</w:t>
      </w:r>
      <w:r w:rsidRPr="00E80090">
        <w:rPr>
          <w:rFonts w:asciiTheme="majorHAnsi" w:hAnsiTheme="majorHAnsi" w:cs="Cambria"/>
          <w:lang w:val="en-GB" w:eastAsia="en-US"/>
        </w:rPr>
        <w:t xml:space="preserve"> in scope</w:t>
      </w:r>
      <w:r w:rsidR="00430E79" w:rsidRPr="00E80090">
        <w:rPr>
          <w:rFonts w:asciiTheme="majorHAnsi" w:hAnsiTheme="majorHAnsi" w:cs="Cambria"/>
          <w:lang w:val="en-GB" w:eastAsia="en-US"/>
        </w:rPr>
        <w:t xml:space="preserve"> and suggests what would be required by them in the future</w:t>
      </w:r>
      <w:r w:rsidRPr="00E80090">
        <w:rPr>
          <w:rFonts w:asciiTheme="majorHAnsi" w:hAnsiTheme="majorHAnsi" w:cs="Cambria"/>
          <w:lang w:val="en-GB" w:eastAsia="en-US"/>
        </w:rPr>
        <w:t xml:space="preserve">. </w:t>
      </w:r>
      <w:r w:rsidR="002D7F49" w:rsidRPr="00E80090">
        <w:rPr>
          <w:rFonts w:asciiTheme="majorHAnsi" w:hAnsiTheme="majorHAnsi" w:cs="Cambria"/>
          <w:lang w:val="en-GB" w:eastAsia="en-US"/>
        </w:rPr>
        <w:t xml:space="preserve">When </w:t>
      </w:r>
      <w:r w:rsidR="00501DD2" w:rsidRPr="00E80090">
        <w:rPr>
          <w:rFonts w:asciiTheme="majorHAnsi" w:hAnsiTheme="majorHAnsi" w:cs="Cambria"/>
          <w:lang w:val="en-GB" w:eastAsia="en-US"/>
        </w:rPr>
        <w:t>transferring</w:t>
      </w:r>
      <w:r w:rsidR="002D7F49" w:rsidRPr="00E80090">
        <w:rPr>
          <w:rFonts w:asciiTheme="majorHAnsi" w:hAnsiTheme="majorHAnsi" w:cs="Cambria"/>
          <w:lang w:val="en-GB" w:eastAsia="en-US"/>
        </w:rPr>
        <w:t xml:space="preserve"> the CEE branches to a new bank, these products need to be available to ensure that the business functions normally. </w:t>
      </w:r>
      <w:r w:rsidR="00350314" w:rsidRPr="00E80090">
        <w:rPr>
          <w:rFonts w:asciiTheme="majorHAnsi" w:hAnsiTheme="majorHAnsi" w:cs="Cambria"/>
          <w:lang w:val="en-GB" w:eastAsia="en-US"/>
        </w:rPr>
        <w:t xml:space="preserve">However, some of them may need to be altered </w:t>
      </w:r>
      <w:r w:rsidR="00864E08" w:rsidRPr="00E80090">
        <w:rPr>
          <w:rFonts w:asciiTheme="majorHAnsi" w:hAnsiTheme="majorHAnsi" w:cs="Cambria"/>
          <w:lang w:val="en-GB" w:eastAsia="en-US"/>
        </w:rPr>
        <w:t>in order for</w:t>
      </w:r>
      <w:r w:rsidR="00350314" w:rsidRPr="00E80090">
        <w:rPr>
          <w:rFonts w:asciiTheme="majorHAnsi" w:hAnsiTheme="majorHAnsi" w:cs="Cambria"/>
          <w:lang w:val="en-GB" w:eastAsia="en-US"/>
        </w:rPr>
        <w:t xml:space="preserve"> security improvement </w:t>
      </w:r>
      <w:r w:rsidR="00864E08" w:rsidRPr="00E80090">
        <w:rPr>
          <w:rFonts w:asciiTheme="majorHAnsi" w:hAnsiTheme="majorHAnsi" w:cs="Cambria"/>
          <w:lang w:val="en-GB" w:eastAsia="en-US"/>
        </w:rPr>
        <w:t>to be</w:t>
      </w:r>
      <w:r w:rsidR="00350314" w:rsidRPr="00E80090">
        <w:rPr>
          <w:rFonts w:asciiTheme="majorHAnsi" w:hAnsiTheme="majorHAnsi" w:cs="Cambria"/>
          <w:lang w:val="en-GB" w:eastAsia="en-US"/>
        </w:rPr>
        <w:t xml:space="preserve"> achieved. </w:t>
      </w:r>
      <w:r w:rsidR="00D25605" w:rsidRPr="00E80090">
        <w:rPr>
          <w:rFonts w:asciiTheme="majorHAnsi" w:hAnsiTheme="majorHAnsi" w:cs="Cambria"/>
          <w:lang w:val="en-GB" w:eastAsia="en-US"/>
        </w:rPr>
        <w:t xml:space="preserve">The products are described in </w:t>
      </w:r>
      <w:r w:rsidR="003A6782" w:rsidRPr="00E80090">
        <w:rPr>
          <w:rFonts w:asciiTheme="majorHAnsi" w:hAnsiTheme="majorHAnsi" w:cs="Cambria"/>
          <w:lang w:val="en-GB" w:eastAsia="en-US"/>
        </w:rPr>
        <w:t>three</w:t>
      </w:r>
      <w:r w:rsidR="00D25605" w:rsidRPr="00E80090">
        <w:rPr>
          <w:rFonts w:asciiTheme="majorHAnsi" w:hAnsiTheme="majorHAnsi" w:cs="Cambria"/>
          <w:lang w:val="en-GB" w:eastAsia="en-US"/>
        </w:rPr>
        <w:t xml:space="preserve"> categories: payments and collections, payroll, </w:t>
      </w:r>
      <w:r w:rsidR="003A6782" w:rsidRPr="00E80090">
        <w:rPr>
          <w:rFonts w:asciiTheme="majorHAnsi" w:hAnsiTheme="majorHAnsi" w:cs="Cambria"/>
          <w:lang w:val="en-GB" w:eastAsia="en-US"/>
        </w:rPr>
        <w:t xml:space="preserve">and </w:t>
      </w:r>
      <w:r w:rsidR="00D25605" w:rsidRPr="00E80090">
        <w:rPr>
          <w:rFonts w:asciiTheme="majorHAnsi" w:hAnsiTheme="majorHAnsi" w:cs="Cambria"/>
          <w:lang w:val="en-GB" w:eastAsia="en-US"/>
        </w:rPr>
        <w:t>foreign exchange</w:t>
      </w:r>
      <w:r w:rsidR="005A1D94" w:rsidRPr="00E80090">
        <w:rPr>
          <w:rFonts w:asciiTheme="majorHAnsi" w:hAnsiTheme="majorHAnsi" w:cs="Cambria"/>
          <w:lang w:val="en-GB" w:eastAsia="en-US"/>
        </w:rPr>
        <w:t xml:space="preserve"> trading</w:t>
      </w:r>
      <w:r w:rsidR="00D25605" w:rsidRPr="00E80090">
        <w:rPr>
          <w:rFonts w:asciiTheme="majorHAnsi" w:hAnsiTheme="majorHAnsi" w:cs="Cambria"/>
          <w:lang w:val="en-GB" w:eastAsia="en-US"/>
        </w:rPr>
        <w:t>.</w:t>
      </w:r>
      <w:r w:rsidR="008B1613" w:rsidRPr="00E80090">
        <w:rPr>
          <w:rFonts w:asciiTheme="majorHAnsi" w:hAnsiTheme="majorHAnsi" w:cs="Cambria"/>
          <w:lang w:val="en-GB" w:eastAsia="en-US"/>
        </w:rPr>
        <w:t xml:space="preserve"> </w:t>
      </w:r>
      <w:r w:rsidR="004E73C9" w:rsidRPr="00E80090">
        <w:rPr>
          <w:rFonts w:asciiTheme="majorHAnsi" w:hAnsiTheme="majorHAnsi" w:cs="Cambria"/>
          <w:lang w:val="en-GB" w:eastAsia="en-US"/>
        </w:rPr>
        <w:t xml:space="preserve">All information presented below was collected through the field research. </w:t>
      </w:r>
    </w:p>
    <w:p w14:paraId="6E58423B" w14:textId="77777777" w:rsidR="00001664" w:rsidRPr="00E80090" w:rsidRDefault="00001664" w:rsidP="003F33DE">
      <w:pPr>
        <w:pStyle w:val="Kop2"/>
        <w:numPr>
          <w:ilvl w:val="2"/>
          <w:numId w:val="12"/>
        </w:numPr>
        <w:spacing w:line="360" w:lineRule="auto"/>
        <w:rPr>
          <w:rFonts w:asciiTheme="majorHAnsi" w:hAnsiTheme="majorHAnsi" w:cs="Times New Roman"/>
          <w:lang w:val="en-GB"/>
        </w:rPr>
      </w:pPr>
      <w:bookmarkStart w:id="81" w:name="_Toc359408850"/>
      <w:bookmarkStart w:id="82" w:name="_Toc360633018"/>
      <w:bookmarkStart w:id="83" w:name="_Toc368290349"/>
      <w:r w:rsidRPr="00E80090">
        <w:rPr>
          <w:rFonts w:asciiTheme="majorHAnsi" w:hAnsiTheme="majorHAnsi"/>
          <w:lang w:val="en-GB"/>
        </w:rPr>
        <w:lastRenderedPageBreak/>
        <w:t>Payments and collections</w:t>
      </w:r>
      <w:bookmarkEnd w:id="81"/>
      <w:bookmarkEnd w:id="82"/>
      <w:bookmarkEnd w:id="83"/>
    </w:p>
    <w:p w14:paraId="6E58423C" w14:textId="77777777" w:rsidR="008E57BE" w:rsidRPr="00E80090" w:rsidRDefault="00001664" w:rsidP="008E57BE">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Table 1 (below) presents the methods each </w:t>
      </w:r>
      <w:r w:rsidR="00C70886" w:rsidRPr="00E80090">
        <w:rPr>
          <w:rFonts w:asciiTheme="majorHAnsi" w:hAnsiTheme="majorHAnsi" w:cs="Cambria"/>
          <w:lang w:val="en-GB" w:eastAsia="en-US"/>
        </w:rPr>
        <w:t>subsidiary</w:t>
      </w:r>
      <w:r w:rsidRPr="00E80090">
        <w:rPr>
          <w:rFonts w:asciiTheme="majorHAnsi" w:hAnsiTheme="majorHAnsi" w:cs="Cambria"/>
          <w:lang w:val="en-GB" w:eastAsia="en-US"/>
        </w:rPr>
        <w:t xml:space="preserve"> uses for its payments </w:t>
      </w:r>
      <w:r w:rsidR="00E070D6" w:rsidRPr="00E80090">
        <w:rPr>
          <w:rFonts w:asciiTheme="majorHAnsi" w:hAnsiTheme="majorHAnsi" w:cs="Cambria"/>
          <w:lang w:val="en-GB" w:eastAsia="en-US"/>
        </w:rPr>
        <w:t xml:space="preserve">to vendors </w:t>
      </w:r>
      <w:r w:rsidRPr="00E80090">
        <w:rPr>
          <w:rFonts w:asciiTheme="majorHAnsi" w:hAnsiTheme="majorHAnsi" w:cs="Cambria"/>
          <w:lang w:val="en-GB" w:eastAsia="en-US"/>
        </w:rPr>
        <w:t>and collections</w:t>
      </w:r>
      <w:r w:rsidR="00E070D6" w:rsidRPr="00E80090">
        <w:rPr>
          <w:rFonts w:asciiTheme="majorHAnsi" w:hAnsiTheme="majorHAnsi" w:cs="Cambria"/>
          <w:lang w:val="en-GB" w:eastAsia="en-US"/>
        </w:rPr>
        <w:t xml:space="preserve"> from customers</w:t>
      </w:r>
      <w:r w:rsidR="0023175C" w:rsidRPr="00E80090">
        <w:rPr>
          <w:rFonts w:asciiTheme="majorHAnsi" w:hAnsiTheme="majorHAnsi" w:cs="Cambria"/>
          <w:lang w:val="en-GB" w:eastAsia="en-US"/>
        </w:rPr>
        <w:t xml:space="preserve"> for its normal business operations</w:t>
      </w:r>
      <w:r w:rsidRPr="00E80090">
        <w:rPr>
          <w:rFonts w:asciiTheme="majorHAnsi" w:hAnsiTheme="majorHAnsi" w:cs="Cambria"/>
          <w:lang w:val="en-GB" w:eastAsia="en-US"/>
        </w:rPr>
        <w:t xml:space="preserve">. </w:t>
      </w:r>
      <w:r w:rsidR="00AD7A90" w:rsidRPr="00E80090">
        <w:rPr>
          <w:rFonts w:asciiTheme="majorHAnsi" w:hAnsiTheme="majorHAnsi" w:cs="Cambria"/>
          <w:lang w:val="en-GB" w:eastAsia="en-US"/>
        </w:rPr>
        <w:t xml:space="preserve">The data is presented per country (rows) and per payment method (columns). </w:t>
      </w:r>
      <w:r w:rsidR="007A6167" w:rsidRPr="00E80090">
        <w:rPr>
          <w:rFonts w:asciiTheme="majorHAnsi" w:hAnsiTheme="majorHAnsi" w:cs="Cambria"/>
          <w:lang w:val="en-GB" w:eastAsia="en-US"/>
        </w:rPr>
        <w:t xml:space="preserve">The payment </w:t>
      </w:r>
      <w:r w:rsidR="00E14DD9" w:rsidRPr="00E80090">
        <w:rPr>
          <w:rFonts w:asciiTheme="majorHAnsi" w:hAnsiTheme="majorHAnsi" w:cs="Cambria"/>
          <w:lang w:val="en-GB" w:eastAsia="en-US"/>
        </w:rPr>
        <w:t>instruments</w:t>
      </w:r>
      <w:r w:rsidR="007A6167" w:rsidRPr="00E80090">
        <w:rPr>
          <w:rFonts w:asciiTheme="majorHAnsi" w:hAnsiTheme="majorHAnsi" w:cs="Cambria"/>
          <w:lang w:val="en-GB" w:eastAsia="en-US"/>
        </w:rPr>
        <w:t xml:space="preserve"> used by the </w:t>
      </w:r>
      <w:r w:rsidR="00AD7A90" w:rsidRPr="00E80090">
        <w:rPr>
          <w:rFonts w:asciiTheme="majorHAnsi" w:hAnsiTheme="majorHAnsi" w:cs="Cambria"/>
          <w:lang w:val="en-GB" w:eastAsia="en-US"/>
        </w:rPr>
        <w:t>subsidiaries</w:t>
      </w:r>
      <w:r w:rsidR="007A6167" w:rsidRPr="00E80090">
        <w:rPr>
          <w:rFonts w:asciiTheme="majorHAnsi" w:hAnsiTheme="majorHAnsi" w:cs="Cambria"/>
          <w:lang w:val="en-GB" w:eastAsia="en-US"/>
        </w:rPr>
        <w:t xml:space="preserve"> are divided into paper-based and electronic. The former includes cash transactions and </w:t>
      </w:r>
      <w:r w:rsidR="00477FC9" w:rsidRPr="00E80090">
        <w:rPr>
          <w:rFonts w:asciiTheme="majorHAnsi" w:hAnsiTheme="majorHAnsi" w:cs="Cambria"/>
          <w:lang w:val="en-GB" w:eastAsia="en-US"/>
        </w:rPr>
        <w:t>cheques</w:t>
      </w:r>
      <w:r w:rsidR="007A6167" w:rsidRPr="00E80090">
        <w:rPr>
          <w:rFonts w:asciiTheme="majorHAnsi" w:hAnsiTheme="majorHAnsi" w:cs="Cambria"/>
          <w:lang w:val="en-GB" w:eastAsia="en-US"/>
        </w:rPr>
        <w:t xml:space="preserve">, while the latter </w:t>
      </w:r>
      <w:r w:rsidR="00174147" w:rsidRPr="00E80090">
        <w:rPr>
          <w:rFonts w:asciiTheme="majorHAnsi" w:hAnsiTheme="majorHAnsi" w:cs="Cambria"/>
          <w:lang w:val="en-GB" w:eastAsia="en-US"/>
        </w:rPr>
        <w:t xml:space="preserve">concerns domestic and cross-border electronic </w:t>
      </w:r>
      <w:r w:rsidR="007058BA" w:rsidRPr="00E80090">
        <w:rPr>
          <w:rFonts w:asciiTheme="majorHAnsi" w:hAnsiTheme="majorHAnsi" w:cs="Cambria"/>
          <w:lang w:val="en-GB" w:eastAsia="en-US"/>
        </w:rPr>
        <w:t>fund</w:t>
      </w:r>
      <w:r w:rsidR="00174147" w:rsidRPr="00E80090">
        <w:rPr>
          <w:rFonts w:asciiTheme="majorHAnsi" w:hAnsiTheme="majorHAnsi" w:cs="Cambria"/>
          <w:lang w:val="en-GB" w:eastAsia="en-US"/>
        </w:rPr>
        <w:t xml:space="preserve"> transfers (EFT) and direct debits.</w:t>
      </w:r>
      <w:r w:rsidR="00517639" w:rsidRPr="00E80090">
        <w:rPr>
          <w:rFonts w:asciiTheme="majorHAnsi" w:hAnsiTheme="majorHAnsi" w:cs="Cambria"/>
          <w:lang w:val="en-GB" w:eastAsia="en-US"/>
        </w:rPr>
        <w:t xml:space="preserve"> </w:t>
      </w:r>
      <w:r w:rsidR="00BD2615" w:rsidRPr="00E80090">
        <w:rPr>
          <w:rFonts w:asciiTheme="majorHAnsi" w:hAnsiTheme="majorHAnsi" w:cs="Cambria"/>
          <w:lang w:val="en-GB" w:eastAsia="en-US"/>
        </w:rPr>
        <w:t xml:space="preserve">The company finds electronic instruments to be more secure because they are hard to falsify and </w:t>
      </w:r>
      <w:r w:rsidR="00E90DBE" w:rsidRPr="00E80090">
        <w:rPr>
          <w:rFonts w:asciiTheme="majorHAnsi" w:hAnsiTheme="majorHAnsi" w:cs="Cambria"/>
          <w:lang w:val="en-GB" w:eastAsia="en-US"/>
        </w:rPr>
        <w:t>easi</w:t>
      </w:r>
      <w:r w:rsidR="00864E08" w:rsidRPr="00E80090">
        <w:rPr>
          <w:rFonts w:asciiTheme="majorHAnsi" w:hAnsiTheme="majorHAnsi" w:cs="Cambria"/>
          <w:lang w:val="en-GB" w:eastAsia="en-US"/>
        </w:rPr>
        <w:t>er</w:t>
      </w:r>
      <w:r w:rsidR="00BD2615" w:rsidRPr="00E80090">
        <w:rPr>
          <w:rFonts w:asciiTheme="majorHAnsi" w:hAnsiTheme="majorHAnsi" w:cs="Cambria"/>
          <w:lang w:val="en-GB" w:eastAsia="en-US"/>
        </w:rPr>
        <w:t xml:space="preserve"> to monitor. In this respect they are preferred over </w:t>
      </w:r>
      <w:r w:rsidR="008B3D16" w:rsidRPr="00E80090">
        <w:rPr>
          <w:rFonts w:asciiTheme="majorHAnsi" w:hAnsiTheme="majorHAnsi" w:cs="Cambria"/>
          <w:lang w:val="en-GB" w:eastAsia="en-US"/>
        </w:rPr>
        <w:t xml:space="preserve">the </w:t>
      </w:r>
      <w:r w:rsidR="00BD2615" w:rsidRPr="00E80090">
        <w:rPr>
          <w:rFonts w:asciiTheme="majorHAnsi" w:hAnsiTheme="majorHAnsi" w:cs="Cambria"/>
          <w:lang w:val="en-GB" w:eastAsia="en-US"/>
        </w:rPr>
        <w:t xml:space="preserve">paper-based </w:t>
      </w:r>
      <w:r w:rsidR="008B3D16" w:rsidRPr="00E80090">
        <w:rPr>
          <w:rFonts w:asciiTheme="majorHAnsi" w:hAnsiTheme="majorHAnsi" w:cs="Cambria"/>
          <w:lang w:val="en-GB" w:eastAsia="en-US"/>
        </w:rPr>
        <w:t>ones</w:t>
      </w:r>
      <w:r w:rsidR="00BD2615" w:rsidRPr="00E80090">
        <w:rPr>
          <w:rFonts w:asciiTheme="majorHAnsi" w:hAnsiTheme="majorHAnsi" w:cs="Cambria"/>
          <w:lang w:val="en-GB" w:eastAsia="en-US"/>
        </w:rPr>
        <w:t xml:space="preserve">. </w:t>
      </w:r>
      <w:r w:rsidR="00517639" w:rsidRPr="00E80090">
        <w:rPr>
          <w:rFonts w:asciiTheme="majorHAnsi" w:hAnsiTheme="majorHAnsi" w:cs="Cambria"/>
          <w:lang w:val="en-GB" w:eastAsia="en-US"/>
        </w:rPr>
        <w:t xml:space="preserve">The matrix indicates whether the entity uses the particular method for payments or receivables. </w:t>
      </w:r>
      <w:r w:rsidR="00BC642A" w:rsidRPr="00E80090">
        <w:rPr>
          <w:rFonts w:asciiTheme="majorHAnsi" w:hAnsiTheme="majorHAnsi" w:cs="Cambria"/>
          <w:lang w:val="en-GB" w:eastAsia="en-US"/>
        </w:rPr>
        <w:t xml:space="preserve">Where </w:t>
      </w:r>
      <w:r w:rsidR="00517639" w:rsidRPr="00E80090">
        <w:rPr>
          <w:rFonts w:asciiTheme="majorHAnsi" w:hAnsiTheme="majorHAnsi" w:cs="Cambria"/>
          <w:lang w:val="en-GB" w:eastAsia="en-US"/>
        </w:rPr>
        <w:t>such indication is missing</w:t>
      </w:r>
      <w:r w:rsidR="00BC642A" w:rsidRPr="00E80090">
        <w:rPr>
          <w:rFonts w:asciiTheme="majorHAnsi" w:hAnsiTheme="majorHAnsi" w:cs="Cambria"/>
          <w:lang w:val="en-GB" w:eastAsia="en-US"/>
        </w:rPr>
        <w:t>, it me</w:t>
      </w:r>
      <w:r w:rsidR="00614C69" w:rsidRPr="00E80090">
        <w:rPr>
          <w:rFonts w:asciiTheme="majorHAnsi" w:hAnsiTheme="majorHAnsi" w:cs="Cambria"/>
          <w:lang w:val="en-GB" w:eastAsia="en-US"/>
        </w:rPr>
        <w:t>ans that the method is not used</w:t>
      </w:r>
      <w:r w:rsidR="00AD7A90" w:rsidRPr="00E80090">
        <w:rPr>
          <w:rFonts w:asciiTheme="majorHAnsi" w:hAnsiTheme="majorHAnsi" w:cs="Cambria"/>
          <w:lang w:val="en-GB" w:eastAsia="en-US"/>
        </w:rPr>
        <w:t xml:space="preserve"> by the branch</w:t>
      </w:r>
      <w:r w:rsidR="00614C69" w:rsidRPr="00E80090">
        <w:rPr>
          <w:rFonts w:asciiTheme="majorHAnsi" w:hAnsiTheme="majorHAnsi" w:cs="Cambria"/>
          <w:lang w:val="en-GB" w:eastAsia="en-US"/>
        </w:rPr>
        <w:t>.</w:t>
      </w:r>
      <w:r w:rsidR="008E57BE" w:rsidRPr="00E80090">
        <w:rPr>
          <w:rFonts w:asciiTheme="majorHAnsi" w:hAnsiTheme="majorHAnsi" w:cs="Cambria"/>
          <w:lang w:val="en-GB" w:eastAsia="en-US"/>
        </w:rPr>
        <w:t xml:space="preserve"> </w:t>
      </w:r>
    </w:p>
    <w:p w14:paraId="6E58423D" w14:textId="77777777" w:rsidR="008E57BE" w:rsidRPr="00E80090" w:rsidRDefault="008E57BE" w:rsidP="008E57BE">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It can be observed that cash is used as a payment </w:t>
      </w:r>
      <w:r w:rsidR="00E14DD9" w:rsidRPr="00E80090">
        <w:rPr>
          <w:rFonts w:asciiTheme="majorHAnsi" w:hAnsiTheme="majorHAnsi" w:cs="Cambria"/>
          <w:lang w:val="en-GB" w:eastAsia="en-US"/>
        </w:rPr>
        <w:t>instrument</w:t>
      </w:r>
      <w:r w:rsidRPr="00E80090">
        <w:rPr>
          <w:rFonts w:asciiTheme="majorHAnsi" w:hAnsiTheme="majorHAnsi" w:cs="Cambria"/>
          <w:lang w:val="en-GB" w:eastAsia="en-US"/>
        </w:rPr>
        <w:t xml:space="preserve"> in most of the countries in scope. However, it is a company policy to get rid of petty cash and therefore the service may not be needed in the future.</w:t>
      </w:r>
    </w:p>
    <w:tbl>
      <w:tblPr>
        <w:tblW w:w="9157" w:type="dxa"/>
        <w:tblInd w:w="108" w:type="dxa"/>
        <w:tblLook w:val="0000" w:firstRow="0" w:lastRow="0" w:firstColumn="0" w:lastColumn="0" w:noHBand="0" w:noVBand="0"/>
      </w:tblPr>
      <w:tblGrid>
        <w:gridCol w:w="1170"/>
        <w:gridCol w:w="1399"/>
        <w:gridCol w:w="1349"/>
        <w:gridCol w:w="1785"/>
        <w:gridCol w:w="1959"/>
        <w:gridCol w:w="1495"/>
      </w:tblGrid>
      <w:tr w:rsidR="00001664" w:rsidRPr="00E80090" w14:paraId="6E584241" w14:textId="77777777" w:rsidTr="00C678FB">
        <w:trPr>
          <w:trHeight w:val="260"/>
        </w:trPr>
        <w:tc>
          <w:tcPr>
            <w:tcW w:w="1170" w:type="dxa"/>
            <w:tcBorders>
              <w:top w:val="single" w:sz="4" w:space="0" w:color="auto"/>
              <w:left w:val="single" w:sz="4" w:space="0" w:color="auto"/>
              <w:bottom w:val="single" w:sz="4" w:space="0" w:color="auto"/>
              <w:right w:val="nil"/>
            </w:tcBorders>
            <w:vAlign w:val="bottom"/>
          </w:tcPr>
          <w:p w14:paraId="6E58423E" w14:textId="77777777" w:rsidR="00001664" w:rsidRPr="00E80090" w:rsidRDefault="00001664" w:rsidP="00CF0CE2">
            <w:pPr>
              <w:rPr>
                <w:rFonts w:asciiTheme="majorHAnsi" w:hAnsiTheme="majorHAnsi" w:cs="Arial"/>
                <w:sz w:val="20"/>
                <w:szCs w:val="20"/>
                <w:lang w:val="en-GB"/>
              </w:rPr>
            </w:pPr>
          </w:p>
        </w:tc>
        <w:tc>
          <w:tcPr>
            <w:tcW w:w="2748" w:type="dxa"/>
            <w:gridSpan w:val="2"/>
            <w:tcBorders>
              <w:top w:val="single" w:sz="4" w:space="0" w:color="auto"/>
              <w:left w:val="single" w:sz="4" w:space="0" w:color="auto"/>
              <w:bottom w:val="single" w:sz="4" w:space="0" w:color="auto"/>
              <w:right w:val="single" w:sz="4" w:space="0" w:color="auto"/>
            </w:tcBorders>
            <w:shd w:val="clear" w:color="auto" w:fill="99CCFF"/>
            <w:vAlign w:val="bottom"/>
          </w:tcPr>
          <w:p w14:paraId="6E58423F" w14:textId="77777777" w:rsidR="00001664" w:rsidRPr="00E80090" w:rsidRDefault="00001664" w:rsidP="00CF0CE2">
            <w:pPr>
              <w:jc w:val="center"/>
              <w:rPr>
                <w:rFonts w:asciiTheme="majorHAnsi" w:hAnsiTheme="majorHAnsi" w:cs="Arial"/>
                <w:sz w:val="22"/>
                <w:szCs w:val="20"/>
                <w:lang w:val="en-GB"/>
              </w:rPr>
            </w:pPr>
            <w:r w:rsidRPr="00E80090">
              <w:rPr>
                <w:rFonts w:asciiTheme="majorHAnsi" w:hAnsiTheme="majorHAnsi" w:cs="Arial"/>
                <w:sz w:val="22"/>
                <w:szCs w:val="20"/>
                <w:lang w:val="en-GB"/>
              </w:rPr>
              <w:t>Paper-based</w:t>
            </w:r>
          </w:p>
        </w:tc>
        <w:tc>
          <w:tcPr>
            <w:tcW w:w="5239" w:type="dxa"/>
            <w:gridSpan w:val="3"/>
            <w:tcBorders>
              <w:top w:val="single" w:sz="4" w:space="0" w:color="auto"/>
              <w:left w:val="nil"/>
              <w:bottom w:val="single" w:sz="4" w:space="0" w:color="auto"/>
              <w:right w:val="single" w:sz="4" w:space="0" w:color="auto"/>
            </w:tcBorders>
            <w:shd w:val="clear" w:color="auto" w:fill="99CCFF"/>
            <w:vAlign w:val="bottom"/>
          </w:tcPr>
          <w:p w14:paraId="6E584240" w14:textId="77777777" w:rsidR="00001664" w:rsidRPr="00E80090" w:rsidRDefault="00001664" w:rsidP="00CF0CE2">
            <w:pPr>
              <w:jc w:val="center"/>
              <w:rPr>
                <w:rFonts w:asciiTheme="majorHAnsi" w:hAnsiTheme="majorHAnsi" w:cs="Arial"/>
                <w:sz w:val="22"/>
                <w:szCs w:val="20"/>
                <w:lang w:val="en-GB"/>
              </w:rPr>
            </w:pPr>
            <w:r w:rsidRPr="00E80090">
              <w:rPr>
                <w:rFonts w:asciiTheme="majorHAnsi" w:hAnsiTheme="majorHAnsi" w:cs="Arial"/>
                <w:sz w:val="22"/>
                <w:szCs w:val="20"/>
                <w:lang w:val="en-GB"/>
              </w:rPr>
              <w:t>Electronic</w:t>
            </w:r>
          </w:p>
        </w:tc>
      </w:tr>
      <w:tr w:rsidR="005C19E5" w:rsidRPr="00E80090" w14:paraId="6E584248" w14:textId="77777777" w:rsidTr="00C678FB">
        <w:trPr>
          <w:trHeight w:val="359"/>
        </w:trPr>
        <w:tc>
          <w:tcPr>
            <w:tcW w:w="1170" w:type="dxa"/>
            <w:tcBorders>
              <w:top w:val="single" w:sz="4" w:space="0" w:color="auto"/>
              <w:left w:val="single" w:sz="4" w:space="0" w:color="auto"/>
              <w:bottom w:val="nil"/>
              <w:right w:val="nil"/>
            </w:tcBorders>
            <w:shd w:val="clear" w:color="auto" w:fill="C2D69B" w:themeFill="accent3" w:themeFillTint="99"/>
            <w:vAlign w:val="center"/>
          </w:tcPr>
          <w:p w14:paraId="6E584242" w14:textId="77777777" w:rsidR="00001664" w:rsidRPr="00E80090" w:rsidRDefault="005C19E5" w:rsidP="00FA071D">
            <w:pPr>
              <w:rPr>
                <w:rFonts w:asciiTheme="majorHAnsi" w:hAnsiTheme="majorHAnsi" w:cs="Arial"/>
                <w:sz w:val="22"/>
                <w:szCs w:val="20"/>
                <w:lang w:val="en-GB"/>
              </w:rPr>
            </w:pPr>
            <w:r w:rsidRPr="00E80090">
              <w:rPr>
                <w:rFonts w:asciiTheme="majorHAnsi" w:hAnsiTheme="majorHAnsi" w:cs="Arial"/>
                <w:sz w:val="22"/>
                <w:szCs w:val="20"/>
                <w:lang w:val="en-GB"/>
              </w:rPr>
              <w:t>Country</w:t>
            </w:r>
          </w:p>
        </w:tc>
        <w:tc>
          <w:tcPr>
            <w:tcW w:w="1399" w:type="dxa"/>
            <w:tcBorders>
              <w:top w:val="nil"/>
              <w:left w:val="single" w:sz="4" w:space="0" w:color="auto"/>
              <w:bottom w:val="single" w:sz="4" w:space="0" w:color="auto"/>
              <w:right w:val="single" w:sz="4" w:space="0" w:color="auto"/>
            </w:tcBorders>
            <w:shd w:val="clear" w:color="auto" w:fill="C2D69B" w:themeFill="accent3" w:themeFillTint="99"/>
            <w:vAlign w:val="center"/>
          </w:tcPr>
          <w:p w14:paraId="6E584243" w14:textId="77777777" w:rsidR="00001664" w:rsidRPr="00E80090" w:rsidRDefault="0088528D" w:rsidP="00CF0CE2">
            <w:pPr>
              <w:jc w:val="center"/>
              <w:rPr>
                <w:rFonts w:asciiTheme="majorHAnsi" w:hAnsiTheme="majorHAnsi" w:cs="Arial"/>
                <w:sz w:val="22"/>
                <w:szCs w:val="20"/>
                <w:lang w:val="en-GB"/>
              </w:rPr>
            </w:pPr>
            <w:r w:rsidRPr="00E80090">
              <w:rPr>
                <w:rFonts w:asciiTheme="majorHAnsi" w:hAnsiTheme="majorHAnsi" w:cs="Arial"/>
                <w:sz w:val="22"/>
                <w:szCs w:val="20"/>
                <w:lang w:val="en-GB"/>
              </w:rPr>
              <w:t>C</w:t>
            </w:r>
            <w:r w:rsidR="00001664" w:rsidRPr="00E80090">
              <w:rPr>
                <w:rFonts w:asciiTheme="majorHAnsi" w:hAnsiTheme="majorHAnsi" w:cs="Arial"/>
                <w:sz w:val="22"/>
                <w:szCs w:val="20"/>
                <w:lang w:val="en-GB"/>
              </w:rPr>
              <w:t>ash</w:t>
            </w:r>
          </w:p>
        </w:tc>
        <w:tc>
          <w:tcPr>
            <w:tcW w:w="1349" w:type="dxa"/>
            <w:tcBorders>
              <w:top w:val="nil"/>
              <w:left w:val="nil"/>
              <w:bottom w:val="single" w:sz="4" w:space="0" w:color="auto"/>
              <w:right w:val="single" w:sz="4" w:space="0" w:color="auto"/>
            </w:tcBorders>
            <w:shd w:val="clear" w:color="auto" w:fill="C2D69B" w:themeFill="accent3" w:themeFillTint="99"/>
            <w:vAlign w:val="center"/>
          </w:tcPr>
          <w:p w14:paraId="6E584244" w14:textId="77777777" w:rsidR="00001664" w:rsidRPr="00E80090" w:rsidRDefault="007A6167" w:rsidP="007A6167">
            <w:pPr>
              <w:jc w:val="center"/>
              <w:rPr>
                <w:rFonts w:asciiTheme="majorHAnsi" w:hAnsiTheme="majorHAnsi" w:cs="Arial"/>
                <w:sz w:val="22"/>
                <w:szCs w:val="20"/>
                <w:lang w:val="en-GB"/>
              </w:rPr>
            </w:pPr>
            <w:r w:rsidRPr="00E80090">
              <w:rPr>
                <w:rFonts w:asciiTheme="majorHAnsi" w:hAnsiTheme="majorHAnsi" w:cs="Arial"/>
                <w:sz w:val="22"/>
                <w:szCs w:val="20"/>
                <w:lang w:val="en-GB"/>
              </w:rPr>
              <w:t>Che</w:t>
            </w:r>
            <w:r w:rsidR="00477FC9" w:rsidRPr="00E80090">
              <w:rPr>
                <w:rFonts w:asciiTheme="majorHAnsi" w:hAnsiTheme="majorHAnsi" w:cs="Arial"/>
                <w:sz w:val="22"/>
                <w:szCs w:val="20"/>
                <w:lang w:val="en-GB"/>
              </w:rPr>
              <w:t>que</w:t>
            </w:r>
            <w:r w:rsidR="00001664" w:rsidRPr="00E80090">
              <w:rPr>
                <w:rFonts w:asciiTheme="majorHAnsi" w:hAnsiTheme="majorHAnsi" w:cs="Arial"/>
                <w:sz w:val="22"/>
                <w:szCs w:val="20"/>
                <w:lang w:val="en-GB"/>
              </w:rPr>
              <w:t>s</w:t>
            </w:r>
          </w:p>
        </w:tc>
        <w:tc>
          <w:tcPr>
            <w:tcW w:w="1785" w:type="dxa"/>
            <w:tcBorders>
              <w:top w:val="nil"/>
              <w:left w:val="nil"/>
              <w:bottom w:val="single" w:sz="4" w:space="0" w:color="auto"/>
              <w:right w:val="single" w:sz="4" w:space="0" w:color="auto"/>
            </w:tcBorders>
            <w:shd w:val="clear" w:color="auto" w:fill="C2D69B" w:themeFill="accent3" w:themeFillTint="99"/>
            <w:vAlign w:val="center"/>
          </w:tcPr>
          <w:p w14:paraId="6E584245" w14:textId="77777777" w:rsidR="00001664" w:rsidRPr="00E80090" w:rsidRDefault="0088528D" w:rsidP="00CF0CE2">
            <w:pPr>
              <w:jc w:val="center"/>
              <w:rPr>
                <w:rFonts w:asciiTheme="majorHAnsi" w:hAnsiTheme="majorHAnsi" w:cs="Arial"/>
                <w:sz w:val="22"/>
                <w:szCs w:val="20"/>
                <w:lang w:val="en-GB"/>
              </w:rPr>
            </w:pPr>
            <w:r w:rsidRPr="00E80090">
              <w:rPr>
                <w:rFonts w:asciiTheme="majorHAnsi" w:hAnsiTheme="majorHAnsi" w:cs="Arial"/>
                <w:sz w:val="22"/>
                <w:szCs w:val="20"/>
                <w:lang w:val="en-GB"/>
              </w:rPr>
              <w:t>Domestic</w:t>
            </w:r>
            <w:r w:rsidR="00B56F0A" w:rsidRPr="00E80090">
              <w:rPr>
                <w:rFonts w:asciiTheme="majorHAnsi" w:hAnsiTheme="majorHAnsi" w:cs="Arial"/>
                <w:sz w:val="22"/>
                <w:szCs w:val="20"/>
                <w:lang w:val="en-GB"/>
              </w:rPr>
              <w:t xml:space="preserve"> EFT</w:t>
            </w:r>
          </w:p>
        </w:tc>
        <w:tc>
          <w:tcPr>
            <w:tcW w:w="1959" w:type="dxa"/>
            <w:tcBorders>
              <w:top w:val="nil"/>
              <w:left w:val="nil"/>
              <w:bottom w:val="single" w:sz="4" w:space="0" w:color="auto"/>
              <w:right w:val="single" w:sz="4" w:space="0" w:color="auto"/>
            </w:tcBorders>
            <w:shd w:val="clear" w:color="auto" w:fill="C2D69B" w:themeFill="accent3" w:themeFillTint="99"/>
            <w:vAlign w:val="center"/>
          </w:tcPr>
          <w:p w14:paraId="6E584246" w14:textId="77777777" w:rsidR="00001664" w:rsidRPr="00E80090" w:rsidRDefault="00001664" w:rsidP="00CF0CE2">
            <w:pPr>
              <w:jc w:val="center"/>
              <w:rPr>
                <w:rFonts w:asciiTheme="majorHAnsi" w:hAnsiTheme="majorHAnsi" w:cs="Arial"/>
                <w:sz w:val="22"/>
                <w:szCs w:val="20"/>
                <w:lang w:val="en-GB"/>
              </w:rPr>
            </w:pPr>
            <w:r w:rsidRPr="00E80090">
              <w:rPr>
                <w:rFonts w:asciiTheme="majorHAnsi" w:hAnsiTheme="majorHAnsi" w:cs="Arial"/>
                <w:sz w:val="22"/>
                <w:szCs w:val="20"/>
                <w:lang w:val="en-GB"/>
              </w:rPr>
              <w:t>Cross-Border</w:t>
            </w:r>
            <w:r w:rsidR="00B56F0A" w:rsidRPr="00E80090">
              <w:rPr>
                <w:rFonts w:asciiTheme="majorHAnsi" w:hAnsiTheme="majorHAnsi" w:cs="Arial"/>
                <w:sz w:val="22"/>
                <w:szCs w:val="20"/>
                <w:lang w:val="en-GB"/>
              </w:rPr>
              <w:t xml:space="preserve"> EFT</w:t>
            </w:r>
          </w:p>
        </w:tc>
        <w:tc>
          <w:tcPr>
            <w:tcW w:w="1495" w:type="dxa"/>
            <w:tcBorders>
              <w:top w:val="nil"/>
              <w:left w:val="nil"/>
              <w:bottom w:val="single" w:sz="4" w:space="0" w:color="auto"/>
              <w:right w:val="single" w:sz="4" w:space="0" w:color="auto"/>
            </w:tcBorders>
            <w:shd w:val="clear" w:color="auto" w:fill="C2D69B" w:themeFill="accent3" w:themeFillTint="99"/>
            <w:vAlign w:val="center"/>
          </w:tcPr>
          <w:p w14:paraId="6E584247" w14:textId="77777777" w:rsidR="00001664" w:rsidRPr="00E80090" w:rsidRDefault="00001664" w:rsidP="00CF0CE2">
            <w:pPr>
              <w:jc w:val="center"/>
              <w:rPr>
                <w:rFonts w:asciiTheme="majorHAnsi" w:hAnsiTheme="majorHAnsi" w:cs="Arial"/>
                <w:sz w:val="22"/>
                <w:szCs w:val="20"/>
                <w:lang w:val="en-GB"/>
              </w:rPr>
            </w:pPr>
            <w:r w:rsidRPr="00E80090">
              <w:rPr>
                <w:rFonts w:asciiTheme="majorHAnsi" w:hAnsiTheme="majorHAnsi" w:cs="Arial"/>
                <w:sz w:val="22"/>
                <w:szCs w:val="20"/>
                <w:lang w:val="en-GB"/>
              </w:rPr>
              <w:t>Direct Debit</w:t>
            </w:r>
          </w:p>
        </w:tc>
      </w:tr>
      <w:tr w:rsidR="0088528D" w:rsidRPr="00E80090" w14:paraId="6E58424F" w14:textId="77777777" w:rsidTr="00C678FB">
        <w:trPr>
          <w:trHeight w:val="327"/>
        </w:trPr>
        <w:tc>
          <w:tcPr>
            <w:tcW w:w="1170" w:type="dxa"/>
            <w:tcBorders>
              <w:top w:val="single" w:sz="4" w:space="0" w:color="auto"/>
              <w:left w:val="single" w:sz="4" w:space="0" w:color="auto"/>
              <w:bottom w:val="single" w:sz="4" w:space="0" w:color="auto"/>
              <w:right w:val="single" w:sz="4" w:space="0" w:color="auto"/>
            </w:tcBorders>
            <w:shd w:val="clear" w:color="auto" w:fill="FFCC99"/>
            <w:vAlign w:val="center"/>
          </w:tcPr>
          <w:p w14:paraId="6E584249" w14:textId="77777777" w:rsidR="00001664" w:rsidRPr="00E80090" w:rsidRDefault="00001664" w:rsidP="0088528D">
            <w:pPr>
              <w:rPr>
                <w:rFonts w:asciiTheme="majorHAnsi" w:hAnsiTheme="majorHAnsi" w:cs="Arial"/>
                <w:sz w:val="22"/>
                <w:szCs w:val="22"/>
                <w:lang w:val="en-GB"/>
              </w:rPr>
            </w:pPr>
            <w:r w:rsidRPr="00E80090">
              <w:rPr>
                <w:rFonts w:asciiTheme="majorHAnsi" w:hAnsiTheme="majorHAnsi" w:cs="Arial"/>
                <w:sz w:val="22"/>
                <w:szCs w:val="22"/>
                <w:lang w:val="en-GB"/>
              </w:rPr>
              <w:t>Bulgaria</w:t>
            </w:r>
          </w:p>
        </w:tc>
        <w:tc>
          <w:tcPr>
            <w:tcW w:w="1399" w:type="dxa"/>
            <w:tcBorders>
              <w:top w:val="nil"/>
              <w:left w:val="nil"/>
              <w:bottom w:val="single" w:sz="4" w:space="0" w:color="auto"/>
              <w:right w:val="single" w:sz="4" w:space="0" w:color="auto"/>
            </w:tcBorders>
            <w:vAlign w:val="center"/>
          </w:tcPr>
          <w:p w14:paraId="6E58424A" w14:textId="77777777" w:rsidR="00001664" w:rsidRPr="00E80090" w:rsidRDefault="00001664"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w:t>
            </w:r>
            <w:r w:rsidR="004812FA" w:rsidRPr="00E80090">
              <w:rPr>
                <w:rFonts w:asciiTheme="majorHAnsi" w:hAnsiTheme="majorHAnsi" w:cs="Arial"/>
                <w:sz w:val="22"/>
                <w:szCs w:val="22"/>
                <w:lang w:val="en-GB"/>
              </w:rPr>
              <w:t>ayments</w:t>
            </w:r>
          </w:p>
        </w:tc>
        <w:tc>
          <w:tcPr>
            <w:tcW w:w="1349" w:type="dxa"/>
            <w:tcBorders>
              <w:top w:val="nil"/>
              <w:left w:val="nil"/>
              <w:bottom w:val="single" w:sz="4" w:space="0" w:color="auto"/>
              <w:right w:val="single" w:sz="4" w:space="0" w:color="auto"/>
            </w:tcBorders>
            <w:vAlign w:val="center"/>
          </w:tcPr>
          <w:p w14:paraId="6E58424B" w14:textId="77777777" w:rsidR="00001664" w:rsidRPr="00E80090" w:rsidRDefault="00F309D0"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w:t>
            </w:r>
          </w:p>
        </w:tc>
        <w:tc>
          <w:tcPr>
            <w:tcW w:w="1785" w:type="dxa"/>
            <w:tcBorders>
              <w:top w:val="nil"/>
              <w:left w:val="nil"/>
              <w:bottom w:val="single" w:sz="4" w:space="0" w:color="auto"/>
              <w:right w:val="single" w:sz="4" w:space="0" w:color="auto"/>
            </w:tcBorders>
            <w:vAlign w:val="center"/>
          </w:tcPr>
          <w:p w14:paraId="6E58424C" w14:textId="77777777" w:rsidR="00001664" w:rsidRPr="00E80090" w:rsidRDefault="00D92765"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 and Receivables</w:t>
            </w:r>
          </w:p>
        </w:tc>
        <w:tc>
          <w:tcPr>
            <w:tcW w:w="1959" w:type="dxa"/>
            <w:tcBorders>
              <w:top w:val="nil"/>
              <w:left w:val="nil"/>
              <w:bottom w:val="single" w:sz="4" w:space="0" w:color="auto"/>
              <w:right w:val="single" w:sz="4" w:space="0" w:color="auto"/>
            </w:tcBorders>
            <w:vAlign w:val="center"/>
          </w:tcPr>
          <w:p w14:paraId="6E58424D" w14:textId="77777777" w:rsidR="00001664" w:rsidRPr="00E80090" w:rsidRDefault="004812FA"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w:t>
            </w:r>
          </w:p>
        </w:tc>
        <w:tc>
          <w:tcPr>
            <w:tcW w:w="1495" w:type="dxa"/>
            <w:tcBorders>
              <w:top w:val="nil"/>
              <w:left w:val="nil"/>
              <w:bottom w:val="single" w:sz="4" w:space="0" w:color="auto"/>
              <w:right w:val="single" w:sz="4" w:space="0" w:color="auto"/>
            </w:tcBorders>
            <w:vAlign w:val="center"/>
          </w:tcPr>
          <w:p w14:paraId="6E58424E" w14:textId="77777777" w:rsidR="00001664" w:rsidRPr="00E80090" w:rsidRDefault="00F309D0"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w:t>
            </w:r>
          </w:p>
        </w:tc>
      </w:tr>
      <w:tr w:rsidR="0088528D" w:rsidRPr="00E80090" w14:paraId="6E584256" w14:textId="77777777" w:rsidTr="00C678FB">
        <w:trPr>
          <w:trHeight w:val="327"/>
        </w:trPr>
        <w:tc>
          <w:tcPr>
            <w:tcW w:w="1170" w:type="dxa"/>
            <w:tcBorders>
              <w:top w:val="nil"/>
              <w:left w:val="single" w:sz="4" w:space="0" w:color="auto"/>
              <w:bottom w:val="single" w:sz="4" w:space="0" w:color="auto"/>
              <w:right w:val="single" w:sz="4" w:space="0" w:color="auto"/>
            </w:tcBorders>
            <w:shd w:val="clear" w:color="auto" w:fill="FFCC99"/>
            <w:vAlign w:val="center"/>
          </w:tcPr>
          <w:p w14:paraId="6E584250" w14:textId="77777777" w:rsidR="00001664" w:rsidRPr="00E80090" w:rsidRDefault="00001664" w:rsidP="0088528D">
            <w:pPr>
              <w:rPr>
                <w:rFonts w:asciiTheme="majorHAnsi" w:hAnsiTheme="majorHAnsi" w:cs="Arial"/>
                <w:sz w:val="22"/>
                <w:szCs w:val="22"/>
                <w:lang w:val="en-GB"/>
              </w:rPr>
            </w:pPr>
            <w:r w:rsidRPr="00E80090">
              <w:rPr>
                <w:rFonts w:asciiTheme="majorHAnsi" w:hAnsiTheme="majorHAnsi" w:cs="Arial"/>
                <w:sz w:val="22"/>
                <w:szCs w:val="22"/>
                <w:lang w:val="en-GB"/>
              </w:rPr>
              <w:t>Romania</w:t>
            </w:r>
          </w:p>
        </w:tc>
        <w:tc>
          <w:tcPr>
            <w:tcW w:w="1399" w:type="dxa"/>
            <w:tcBorders>
              <w:top w:val="nil"/>
              <w:left w:val="nil"/>
              <w:bottom w:val="single" w:sz="4" w:space="0" w:color="auto"/>
              <w:right w:val="single" w:sz="4" w:space="0" w:color="auto"/>
            </w:tcBorders>
            <w:vAlign w:val="center"/>
          </w:tcPr>
          <w:p w14:paraId="6E584251" w14:textId="77777777" w:rsidR="00001664" w:rsidRPr="00E80090" w:rsidRDefault="004812FA"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w:t>
            </w:r>
          </w:p>
        </w:tc>
        <w:tc>
          <w:tcPr>
            <w:tcW w:w="1349" w:type="dxa"/>
            <w:tcBorders>
              <w:top w:val="nil"/>
              <w:left w:val="nil"/>
              <w:bottom w:val="single" w:sz="4" w:space="0" w:color="auto"/>
              <w:right w:val="single" w:sz="4" w:space="0" w:color="auto"/>
            </w:tcBorders>
            <w:vAlign w:val="center"/>
          </w:tcPr>
          <w:p w14:paraId="6E584252" w14:textId="77777777" w:rsidR="00001664" w:rsidRPr="00E80090" w:rsidRDefault="00D92765"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Receivables</w:t>
            </w:r>
          </w:p>
        </w:tc>
        <w:tc>
          <w:tcPr>
            <w:tcW w:w="1785" w:type="dxa"/>
            <w:tcBorders>
              <w:top w:val="nil"/>
              <w:left w:val="nil"/>
              <w:bottom w:val="single" w:sz="4" w:space="0" w:color="auto"/>
              <w:right w:val="single" w:sz="4" w:space="0" w:color="auto"/>
            </w:tcBorders>
            <w:vAlign w:val="center"/>
          </w:tcPr>
          <w:p w14:paraId="6E584253" w14:textId="77777777" w:rsidR="00001664" w:rsidRPr="00E80090" w:rsidRDefault="00D92765"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 and Receivables</w:t>
            </w:r>
          </w:p>
        </w:tc>
        <w:tc>
          <w:tcPr>
            <w:tcW w:w="1959" w:type="dxa"/>
            <w:tcBorders>
              <w:top w:val="nil"/>
              <w:left w:val="nil"/>
              <w:bottom w:val="single" w:sz="4" w:space="0" w:color="auto"/>
              <w:right w:val="single" w:sz="4" w:space="0" w:color="auto"/>
            </w:tcBorders>
            <w:vAlign w:val="center"/>
          </w:tcPr>
          <w:p w14:paraId="6E584254" w14:textId="77777777" w:rsidR="00001664" w:rsidRPr="00E80090" w:rsidRDefault="004812FA"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w:t>
            </w:r>
          </w:p>
        </w:tc>
        <w:tc>
          <w:tcPr>
            <w:tcW w:w="1495" w:type="dxa"/>
            <w:tcBorders>
              <w:top w:val="nil"/>
              <w:left w:val="nil"/>
              <w:bottom w:val="single" w:sz="4" w:space="0" w:color="auto"/>
              <w:right w:val="single" w:sz="4" w:space="0" w:color="auto"/>
            </w:tcBorders>
            <w:vAlign w:val="center"/>
          </w:tcPr>
          <w:p w14:paraId="6E584255" w14:textId="77777777" w:rsidR="00001664" w:rsidRPr="00E80090" w:rsidRDefault="00F309D0"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w:t>
            </w:r>
          </w:p>
        </w:tc>
      </w:tr>
      <w:tr w:rsidR="0088528D" w:rsidRPr="00E80090" w14:paraId="6E58425D" w14:textId="77777777" w:rsidTr="00C678FB">
        <w:trPr>
          <w:trHeight w:val="327"/>
        </w:trPr>
        <w:tc>
          <w:tcPr>
            <w:tcW w:w="1170" w:type="dxa"/>
            <w:tcBorders>
              <w:top w:val="nil"/>
              <w:left w:val="single" w:sz="4" w:space="0" w:color="auto"/>
              <w:bottom w:val="single" w:sz="4" w:space="0" w:color="auto"/>
              <w:right w:val="single" w:sz="4" w:space="0" w:color="auto"/>
            </w:tcBorders>
            <w:shd w:val="clear" w:color="auto" w:fill="FFCC99"/>
            <w:vAlign w:val="center"/>
          </w:tcPr>
          <w:p w14:paraId="6E584257" w14:textId="77777777" w:rsidR="00001664" w:rsidRPr="00E80090" w:rsidRDefault="00001664" w:rsidP="0088528D">
            <w:pPr>
              <w:rPr>
                <w:rFonts w:asciiTheme="majorHAnsi" w:hAnsiTheme="majorHAnsi" w:cs="Arial"/>
                <w:sz w:val="22"/>
                <w:szCs w:val="22"/>
                <w:lang w:val="en-GB"/>
              </w:rPr>
            </w:pPr>
            <w:r w:rsidRPr="00E80090">
              <w:rPr>
                <w:rFonts w:asciiTheme="majorHAnsi" w:hAnsiTheme="majorHAnsi" w:cs="Arial"/>
                <w:sz w:val="22"/>
                <w:szCs w:val="22"/>
                <w:lang w:val="en-GB"/>
              </w:rPr>
              <w:t>Slovakia</w:t>
            </w:r>
          </w:p>
        </w:tc>
        <w:tc>
          <w:tcPr>
            <w:tcW w:w="1399" w:type="dxa"/>
            <w:tcBorders>
              <w:top w:val="nil"/>
              <w:left w:val="nil"/>
              <w:bottom w:val="single" w:sz="4" w:space="0" w:color="auto"/>
              <w:right w:val="single" w:sz="4" w:space="0" w:color="auto"/>
            </w:tcBorders>
            <w:vAlign w:val="center"/>
          </w:tcPr>
          <w:p w14:paraId="6E584258" w14:textId="77777777" w:rsidR="00001664" w:rsidRPr="00E80090" w:rsidRDefault="004812FA"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w:t>
            </w:r>
          </w:p>
        </w:tc>
        <w:tc>
          <w:tcPr>
            <w:tcW w:w="1349" w:type="dxa"/>
            <w:tcBorders>
              <w:top w:val="nil"/>
              <w:left w:val="nil"/>
              <w:bottom w:val="single" w:sz="4" w:space="0" w:color="auto"/>
              <w:right w:val="single" w:sz="4" w:space="0" w:color="auto"/>
            </w:tcBorders>
            <w:vAlign w:val="center"/>
          </w:tcPr>
          <w:p w14:paraId="6E584259" w14:textId="77777777" w:rsidR="00001664" w:rsidRPr="00E80090" w:rsidRDefault="00F309D0"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w:t>
            </w:r>
          </w:p>
        </w:tc>
        <w:tc>
          <w:tcPr>
            <w:tcW w:w="1785" w:type="dxa"/>
            <w:tcBorders>
              <w:top w:val="nil"/>
              <w:left w:val="nil"/>
              <w:bottom w:val="single" w:sz="4" w:space="0" w:color="auto"/>
              <w:right w:val="single" w:sz="4" w:space="0" w:color="auto"/>
            </w:tcBorders>
            <w:vAlign w:val="center"/>
          </w:tcPr>
          <w:p w14:paraId="6E58425A" w14:textId="77777777" w:rsidR="00001664" w:rsidRPr="00E80090" w:rsidRDefault="00D92765"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Receivables</w:t>
            </w:r>
          </w:p>
        </w:tc>
        <w:tc>
          <w:tcPr>
            <w:tcW w:w="1959" w:type="dxa"/>
            <w:tcBorders>
              <w:top w:val="nil"/>
              <w:left w:val="nil"/>
              <w:bottom w:val="single" w:sz="4" w:space="0" w:color="auto"/>
              <w:right w:val="single" w:sz="4" w:space="0" w:color="auto"/>
            </w:tcBorders>
            <w:vAlign w:val="center"/>
          </w:tcPr>
          <w:p w14:paraId="6E58425B" w14:textId="77777777" w:rsidR="00001664" w:rsidRPr="00E80090" w:rsidRDefault="004812FA"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 xml:space="preserve">Payments and </w:t>
            </w:r>
            <w:r w:rsidR="00001664" w:rsidRPr="00E80090">
              <w:rPr>
                <w:rFonts w:asciiTheme="majorHAnsi" w:hAnsiTheme="majorHAnsi" w:cs="Arial"/>
                <w:sz w:val="22"/>
                <w:szCs w:val="22"/>
                <w:lang w:val="en-GB"/>
              </w:rPr>
              <w:t>R</w:t>
            </w:r>
            <w:r w:rsidRPr="00E80090">
              <w:rPr>
                <w:rFonts w:asciiTheme="majorHAnsi" w:hAnsiTheme="majorHAnsi" w:cs="Arial"/>
                <w:sz w:val="22"/>
                <w:szCs w:val="22"/>
                <w:lang w:val="en-GB"/>
              </w:rPr>
              <w:t>eceivables</w:t>
            </w:r>
          </w:p>
        </w:tc>
        <w:tc>
          <w:tcPr>
            <w:tcW w:w="1495" w:type="dxa"/>
            <w:tcBorders>
              <w:top w:val="nil"/>
              <w:left w:val="nil"/>
              <w:bottom w:val="single" w:sz="4" w:space="0" w:color="auto"/>
              <w:right w:val="single" w:sz="4" w:space="0" w:color="auto"/>
            </w:tcBorders>
            <w:vAlign w:val="center"/>
          </w:tcPr>
          <w:p w14:paraId="6E58425C" w14:textId="77777777" w:rsidR="00001664" w:rsidRPr="00E80090" w:rsidRDefault="00D92765"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w:t>
            </w:r>
          </w:p>
        </w:tc>
      </w:tr>
      <w:tr w:rsidR="0088528D" w:rsidRPr="00E80090" w14:paraId="6E584264" w14:textId="77777777" w:rsidTr="00C678FB">
        <w:trPr>
          <w:trHeight w:val="327"/>
        </w:trPr>
        <w:tc>
          <w:tcPr>
            <w:tcW w:w="1170" w:type="dxa"/>
            <w:tcBorders>
              <w:top w:val="nil"/>
              <w:left w:val="single" w:sz="4" w:space="0" w:color="auto"/>
              <w:bottom w:val="single" w:sz="4" w:space="0" w:color="auto"/>
              <w:right w:val="single" w:sz="4" w:space="0" w:color="auto"/>
            </w:tcBorders>
            <w:shd w:val="clear" w:color="auto" w:fill="FFCC99"/>
            <w:vAlign w:val="center"/>
          </w:tcPr>
          <w:p w14:paraId="6E58425E" w14:textId="77777777" w:rsidR="00001664" w:rsidRPr="00E80090" w:rsidRDefault="00001664" w:rsidP="0088528D">
            <w:pPr>
              <w:rPr>
                <w:rFonts w:asciiTheme="majorHAnsi" w:hAnsiTheme="majorHAnsi" w:cs="Arial"/>
                <w:sz w:val="22"/>
                <w:szCs w:val="22"/>
                <w:lang w:val="en-GB"/>
              </w:rPr>
            </w:pPr>
            <w:r w:rsidRPr="00E80090">
              <w:rPr>
                <w:rFonts w:asciiTheme="majorHAnsi" w:hAnsiTheme="majorHAnsi" w:cs="Arial"/>
                <w:sz w:val="22"/>
                <w:szCs w:val="22"/>
                <w:lang w:val="en-GB"/>
              </w:rPr>
              <w:t>Slovenia</w:t>
            </w:r>
          </w:p>
        </w:tc>
        <w:tc>
          <w:tcPr>
            <w:tcW w:w="1399" w:type="dxa"/>
            <w:tcBorders>
              <w:top w:val="nil"/>
              <w:left w:val="nil"/>
              <w:bottom w:val="single" w:sz="4" w:space="0" w:color="auto"/>
              <w:right w:val="single" w:sz="4" w:space="0" w:color="auto"/>
            </w:tcBorders>
            <w:vAlign w:val="center"/>
          </w:tcPr>
          <w:p w14:paraId="6E58425F" w14:textId="77777777" w:rsidR="00001664" w:rsidRPr="00E80090" w:rsidRDefault="00F309D0"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w:t>
            </w:r>
          </w:p>
        </w:tc>
        <w:tc>
          <w:tcPr>
            <w:tcW w:w="1349" w:type="dxa"/>
            <w:tcBorders>
              <w:top w:val="nil"/>
              <w:left w:val="nil"/>
              <w:bottom w:val="single" w:sz="4" w:space="0" w:color="auto"/>
              <w:right w:val="single" w:sz="4" w:space="0" w:color="auto"/>
            </w:tcBorders>
            <w:vAlign w:val="center"/>
          </w:tcPr>
          <w:p w14:paraId="6E584260" w14:textId="77777777" w:rsidR="00001664" w:rsidRPr="00E80090" w:rsidRDefault="00F309D0"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w:t>
            </w:r>
          </w:p>
        </w:tc>
        <w:tc>
          <w:tcPr>
            <w:tcW w:w="1785" w:type="dxa"/>
            <w:tcBorders>
              <w:top w:val="nil"/>
              <w:left w:val="nil"/>
              <w:bottom w:val="single" w:sz="4" w:space="0" w:color="auto"/>
              <w:right w:val="single" w:sz="4" w:space="0" w:color="auto"/>
            </w:tcBorders>
            <w:vAlign w:val="center"/>
          </w:tcPr>
          <w:p w14:paraId="6E584261" w14:textId="77777777" w:rsidR="00001664" w:rsidRPr="00E80090" w:rsidRDefault="00D92765"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 and Receivables</w:t>
            </w:r>
          </w:p>
        </w:tc>
        <w:tc>
          <w:tcPr>
            <w:tcW w:w="1959" w:type="dxa"/>
            <w:tcBorders>
              <w:top w:val="nil"/>
              <w:left w:val="nil"/>
              <w:bottom w:val="single" w:sz="4" w:space="0" w:color="auto"/>
              <w:right w:val="single" w:sz="4" w:space="0" w:color="auto"/>
            </w:tcBorders>
            <w:vAlign w:val="center"/>
          </w:tcPr>
          <w:p w14:paraId="6E584262" w14:textId="77777777" w:rsidR="00001664" w:rsidRPr="00E80090" w:rsidRDefault="00D92765"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Payments and Receivables</w:t>
            </w:r>
          </w:p>
        </w:tc>
        <w:tc>
          <w:tcPr>
            <w:tcW w:w="1495" w:type="dxa"/>
            <w:tcBorders>
              <w:top w:val="nil"/>
              <w:left w:val="nil"/>
              <w:bottom w:val="single" w:sz="4" w:space="0" w:color="auto"/>
              <w:right w:val="single" w:sz="4" w:space="0" w:color="auto"/>
            </w:tcBorders>
            <w:vAlign w:val="center"/>
          </w:tcPr>
          <w:p w14:paraId="6E584263" w14:textId="77777777" w:rsidR="00001664" w:rsidRPr="00E80090" w:rsidRDefault="00F309D0" w:rsidP="0088528D">
            <w:pPr>
              <w:jc w:val="center"/>
              <w:rPr>
                <w:rFonts w:asciiTheme="majorHAnsi" w:hAnsiTheme="majorHAnsi" w:cs="Arial"/>
                <w:sz w:val="22"/>
                <w:szCs w:val="22"/>
                <w:lang w:val="en-GB"/>
              </w:rPr>
            </w:pPr>
            <w:r w:rsidRPr="00E80090">
              <w:rPr>
                <w:rFonts w:asciiTheme="majorHAnsi" w:hAnsiTheme="majorHAnsi" w:cs="Arial"/>
                <w:sz w:val="22"/>
                <w:szCs w:val="22"/>
                <w:lang w:val="en-GB"/>
              </w:rPr>
              <w:t>-</w:t>
            </w:r>
          </w:p>
        </w:tc>
      </w:tr>
    </w:tbl>
    <w:p w14:paraId="6E584265" w14:textId="77777777" w:rsidR="00001664" w:rsidRPr="00E80090" w:rsidRDefault="00001664" w:rsidP="00261CC3">
      <w:pPr>
        <w:rPr>
          <w:rFonts w:asciiTheme="majorHAnsi" w:hAnsiTheme="majorHAnsi"/>
          <w:sz w:val="22"/>
          <w:szCs w:val="22"/>
          <w:lang w:val="en-GB"/>
        </w:rPr>
      </w:pPr>
    </w:p>
    <w:p w14:paraId="6E584266" w14:textId="77777777" w:rsidR="00001664" w:rsidRPr="00E80090" w:rsidRDefault="00001664" w:rsidP="00261CC3">
      <w:pPr>
        <w:pStyle w:val="Bijschrift"/>
        <w:jc w:val="center"/>
        <w:rPr>
          <w:rFonts w:asciiTheme="majorHAnsi" w:hAnsiTheme="majorHAnsi"/>
          <w:color w:val="4F81BD"/>
          <w:lang w:val="en-GB"/>
        </w:rPr>
      </w:pPr>
      <w:r w:rsidRPr="00E80090">
        <w:rPr>
          <w:rFonts w:asciiTheme="majorHAnsi" w:hAnsiTheme="majorHAnsi"/>
          <w:color w:val="4F81BD"/>
          <w:lang w:val="en-GB"/>
        </w:rPr>
        <w:t xml:space="preserve">Table </w:t>
      </w:r>
      <w:r w:rsidR="00700AD0" w:rsidRPr="00E80090">
        <w:rPr>
          <w:rFonts w:asciiTheme="majorHAnsi" w:hAnsiTheme="majorHAnsi"/>
          <w:color w:val="4F81BD"/>
          <w:lang w:val="en-GB"/>
        </w:rPr>
        <w:fldChar w:fldCharType="begin"/>
      </w:r>
      <w:r w:rsidR="00700AD0" w:rsidRPr="00E80090">
        <w:rPr>
          <w:rFonts w:asciiTheme="majorHAnsi" w:hAnsiTheme="majorHAnsi"/>
          <w:color w:val="4F81BD"/>
          <w:lang w:val="en-GB"/>
        </w:rPr>
        <w:instrText xml:space="preserve"> SEQ Table \* ARABIC </w:instrText>
      </w:r>
      <w:r w:rsidR="00700AD0" w:rsidRPr="00E80090">
        <w:rPr>
          <w:rFonts w:asciiTheme="majorHAnsi" w:hAnsiTheme="majorHAnsi"/>
          <w:color w:val="4F81BD"/>
          <w:lang w:val="en-GB"/>
        </w:rPr>
        <w:fldChar w:fldCharType="separate"/>
      </w:r>
      <w:r w:rsidR="00E80090">
        <w:rPr>
          <w:rFonts w:asciiTheme="majorHAnsi" w:hAnsiTheme="majorHAnsi"/>
          <w:noProof/>
          <w:color w:val="4F81BD"/>
          <w:lang w:val="en-GB"/>
        </w:rPr>
        <w:t>1</w:t>
      </w:r>
      <w:r w:rsidR="00700AD0" w:rsidRPr="00E80090">
        <w:rPr>
          <w:rFonts w:asciiTheme="majorHAnsi" w:hAnsiTheme="majorHAnsi"/>
          <w:color w:val="4F81BD"/>
          <w:lang w:val="en-GB"/>
        </w:rPr>
        <w:fldChar w:fldCharType="end"/>
      </w:r>
      <w:r w:rsidRPr="00E80090">
        <w:rPr>
          <w:rFonts w:asciiTheme="majorHAnsi" w:hAnsiTheme="majorHAnsi"/>
          <w:color w:val="4F81BD"/>
          <w:lang w:val="en-GB"/>
        </w:rPr>
        <w:t>: Payment methods used per country</w:t>
      </w:r>
    </w:p>
    <w:p w14:paraId="6E584267" w14:textId="77777777" w:rsidR="00153F89" w:rsidRPr="00E80090" w:rsidRDefault="00153F89" w:rsidP="00153F89">
      <w:pPr>
        <w:rPr>
          <w:rFonts w:asciiTheme="majorHAnsi" w:hAnsiTheme="majorHAnsi"/>
          <w:lang w:val="en-GB"/>
        </w:rPr>
      </w:pPr>
    </w:p>
    <w:p w14:paraId="6E584268" w14:textId="77777777" w:rsidR="00C678FB" w:rsidRPr="00E80090" w:rsidRDefault="00C678FB" w:rsidP="00261CC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As shown in the table </w:t>
      </w:r>
      <w:r w:rsidR="00863238" w:rsidRPr="00E80090">
        <w:rPr>
          <w:rFonts w:asciiTheme="majorHAnsi" w:hAnsiTheme="majorHAnsi" w:cs="Cambria"/>
          <w:lang w:val="en-GB" w:eastAsia="en-US"/>
        </w:rPr>
        <w:t>above</w:t>
      </w:r>
      <w:r w:rsidRPr="00E80090">
        <w:rPr>
          <w:rFonts w:asciiTheme="majorHAnsi" w:hAnsiTheme="majorHAnsi" w:cs="Cambria"/>
          <w:lang w:val="en-GB" w:eastAsia="en-US"/>
        </w:rPr>
        <w:t xml:space="preserve">, cheques are used only in Romania. Approximately 70% of the receivables of the </w:t>
      </w:r>
      <w:r w:rsidR="00AE7616" w:rsidRPr="00E80090">
        <w:rPr>
          <w:rFonts w:asciiTheme="majorHAnsi" w:hAnsiTheme="majorHAnsi" w:cs="Cambria"/>
          <w:lang w:val="en-GB" w:eastAsia="en-US"/>
        </w:rPr>
        <w:t>branch</w:t>
      </w:r>
      <w:r w:rsidRPr="00E80090">
        <w:rPr>
          <w:rFonts w:asciiTheme="majorHAnsi" w:hAnsiTheme="majorHAnsi" w:cs="Cambria"/>
          <w:lang w:val="en-GB" w:eastAsia="en-US"/>
        </w:rPr>
        <w:t xml:space="preserve"> in the first quarter of 2013 were collected through this method. Some of the cheques are double endorsed. This means that the beneficiary can be changed and the received cheque can be used directly for payment without first cashing it</w:t>
      </w:r>
      <w:sdt>
        <w:sdtPr>
          <w:rPr>
            <w:rFonts w:asciiTheme="majorHAnsi" w:hAnsiTheme="majorHAnsi" w:cs="Cambria"/>
            <w:lang w:val="en-GB" w:eastAsia="en-US"/>
          </w:rPr>
          <w:id w:val="1013882577"/>
          <w:citation/>
        </w:sdtPr>
        <w:sdtEndPr/>
        <w:sdtContent>
          <w:r w:rsidR="00FB1D20" w:rsidRPr="00E80090">
            <w:rPr>
              <w:rFonts w:asciiTheme="majorHAnsi" w:hAnsiTheme="majorHAnsi" w:cs="Cambria"/>
              <w:lang w:val="en-GB" w:eastAsia="en-US"/>
            </w:rPr>
            <w:fldChar w:fldCharType="begin"/>
          </w:r>
          <w:r w:rsidR="00FB1D20" w:rsidRPr="00E80090">
            <w:rPr>
              <w:rFonts w:asciiTheme="majorHAnsi" w:hAnsiTheme="majorHAnsi" w:cs="Cambria"/>
              <w:lang w:eastAsia="en-US"/>
            </w:rPr>
            <w:instrText xml:space="preserve"> CITATION Sha13 \l 1033 </w:instrText>
          </w:r>
          <w:r w:rsidR="00FB1D20" w:rsidRPr="00E80090">
            <w:rPr>
              <w:rFonts w:asciiTheme="majorHAnsi" w:hAnsiTheme="majorHAnsi" w:cs="Cambria"/>
              <w:lang w:val="en-GB" w:eastAsia="en-US"/>
            </w:rPr>
            <w:fldChar w:fldCharType="separate"/>
          </w:r>
          <w:r w:rsidR="004D1237" w:rsidRPr="00E80090">
            <w:rPr>
              <w:rFonts w:asciiTheme="majorHAnsi" w:hAnsiTheme="majorHAnsi" w:cs="Cambria"/>
              <w:noProof/>
              <w:lang w:eastAsia="en-US"/>
            </w:rPr>
            <w:t xml:space="preserve"> (Geiger, 2013)</w:t>
          </w:r>
          <w:r w:rsidR="00FB1D20" w:rsidRPr="00E80090">
            <w:rPr>
              <w:rFonts w:asciiTheme="majorHAnsi" w:hAnsiTheme="majorHAnsi" w:cs="Cambria"/>
              <w:lang w:val="en-GB" w:eastAsia="en-US"/>
            </w:rPr>
            <w:fldChar w:fldCharType="end"/>
          </w:r>
        </w:sdtContent>
      </w:sdt>
      <w:r w:rsidRPr="00E80090">
        <w:rPr>
          <w:rFonts w:asciiTheme="majorHAnsi" w:hAnsiTheme="majorHAnsi" w:cs="Cambria"/>
          <w:lang w:val="en-GB" w:eastAsia="en-US"/>
        </w:rPr>
        <w:t>. Currently all cheques are stored in the local office</w:t>
      </w:r>
      <w:r w:rsidR="008E4A9F" w:rsidRPr="00E80090">
        <w:rPr>
          <w:rFonts w:asciiTheme="majorHAnsi" w:hAnsiTheme="majorHAnsi" w:cs="Cambria"/>
          <w:lang w:val="en-GB" w:eastAsia="en-US"/>
        </w:rPr>
        <w:t xml:space="preserve"> until they are deposited. Treasury is concerned that this practice may allow for the cheques to be stolen and falsified. </w:t>
      </w:r>
      <w:r w:rsidRPr="00E80090">
        <w:rPr>
          <w:rFonts w:asciiTheme="majorHAnsi" w:hAnsiTheme="majorHAnsi" w:cs="Cambria"/>
          <w:lang w:val="en-GB" w:eastAsia="en-US"/>
        </w:rPr>
        <w:t xml:space="preserve">The </w:t>
      </w:r>
      <w:r w:rsidR="001F1C55" w:rsidRPr="00E80090">
        <w:rPr>
          <w:rFonts w:asciiTheme="majorHAnsi" w:hAnsiTheme="majorHAnsi" w:cs="Cambria"/>
          <w:lang w:val="en-GB" w:eastAsia="en-US"/>
        </w:rPr>
        <w:t>Romanian</w:t>
      </w:r>
      <w:r w:rsidRPr="00E80090">
        <w:rPr>
          <w:rFonts w:asciiTheme="majorHAnsi" w:hAnsiTheme="majorHAnsi" w:cs="Cambria"/>
          <w:lang w:val="en-GB" w:eastAsia="en-US"/>
        </w:rPr>
        <w:t xml:space="preserve"> branch of Citibank has confirmed that it can provide a </w:t>
      </w:r>
      <w:r w:rsidR="00E14DD9" w:rsidRPr="00E80090">
        <w:rPr>
          <w:rFonts w:asciiTheme="majorHAnsi" w:hAnsiTheme="majorHAnsi" w:cs="Cambria"/>
          <w:lang w:val="en-GB" w:eastAsia="en-US"/>
        </w:rPr>
        <w:t>lockbox</w:t>
      </w:r>
      <w:r w:rsidRPr="00E80090">
        <w:rPr>
          <w:rFonts w:asciiTheme="majorHAnsi" w:hAnsiTheme="majorHAnsi" w:cs="Cambria"/>
          <w:lang w:val="en-GB" w:eastAsia="en-US"/>
        </w:rPr>
        <w:t xml:space="preserve"> service </w:t>
      </w:r>
      <w:r w:rsidR="003A114E" w:rsidRPr="00E80090">
        <w:rPr>
          <w:rFonts w:asciiTheme="majorHAnsi" w:hAnsiTheme="majorHAnsi" w:cs="Cambria"/>
          <w:lang w:val="en-GB" w:eastAsia="en-US"/>
        </w:rPr>
        <w:t>to</w:t>
      </w:r>
      <w:r w:rsidRPr="00E80090">
        <w:rPr>
          <w:rFonts w:asciiTheme="majorHAnsi" w:hAnsiTheme="majorHAnsi" w:cs="Cambria"/>
          <w:lang w:val="en-GB" w:eastAsia="en-US"/>
        </w:rPr>
        <w:t xml:space="preserve"> the entity for </w:t>
      </w:r>
      <w:r w:rsidR="003A114E" w:rsidRPr="00E80090">
        <w:rPr>
          <w:rFonts w:asciiTheme="majorHAnsi" w:hAnsiTheme="majorHAnsi" w:cs="Cambria"/>
          <w:lang w:val="en-GB" w:eastAsia="en-US"/>
        </w:rPr>
        <w:t xml:space="preserve">secure </w:t>
      </w:r>
      <w:r w:rsidRPr="00E80090">
        <w:rPr>
          <w:rFonts w:asciiTheme="majorHAnsi" w:hAnsiTheme="majorHAnsi" w:cs="Cambria"/>
          <w:lang w:val="en-GB" w:eastAsia="en-US"/>
        </w:rPr>
        <w:t>storage of the cheques.</w:t>
      </w:r>
    </w:p>
    <w:p w14:paraId="6E584269" w14:textId="77777777" w:rsidR="00001664" w:rsidRPr="00E80090" w:rsidRDefault="001F1C55" w:rsidP="00261CC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w:t>
      </w:r>
      <w:r w:rsidR="00001664" w:rsidRPr="00E80090">
        <w:rPr>
          <w:rFonts w:asciiTheme="majorHAnsi" w:hAnsiTheme="majorHAnsi" w:cs="Cambria"/>
          <w:lang w:val="en-GB" w:eastAsia="en-US"/>
        </w:rPr>
        <w:t xml:space="preserve">he findings show that all </w:t>
      </w:r>
      <w:r w:rsidR="00E14DD9" w:rsidRPr="00E80090">
        <w:rPr>
          <w:rFonts w:asciiTheme="majorHAnsi" w:hAnsiTheme="majorHAnsi" w:cs="Cambria"/>
          <w:lang w:val="en-GB" w:eastAsia="en-US"/>
        </w:rPr>
        <w:t>subsidiaries</w:t>
      </w:r>
      <w:r w:rsidR="00001664" w:rsidRPr="00E80090">
        <w:rPr>
          <w:rFonts w:asciiTheme="majorHAnsi" w:hAnsiTheme="majorHAnsi" w:cs="Cambria"/>
          <w:lang w:val="en-GB" w:eastAsia="en-US"/>
        </w:rPr>
        <w:t xml:space="preserve"> execute cross-border payments electronically. In most cases those are intercompany flows</w:t>
      </w:r>
      <w:r w:rsidR="00B31419" w:rsidRPr="00E80090">
        <w:rPr>
          <w:rFonts w:asciiTheme="majorHAnsi" w:hAnsiTheme="majorHAnsi" w:cs="Cambria"/>
          <w:lang w:val="en-GB" w:eastAsia="en-US"/>
        </w:rPr>
        <w:t xml:space="preserve"> to the branch in Austria</w:t>
      </w:r>
      <w:r w:rsidR="00001664" w:rsidRPr="00E80090">
        <w:rPr>
          <w:rFonts w:asciiTheme="majorHAnsi" w:hAnsiTheme="majorHAnsi" w:cs="Cambria"/>
          <w:lang w:val="en-GB" w:eastAsia="en-US"/>
        </w:rPr>
        <w:t xml:space="preserve">. The presence of </w:t>
      </w:r>
      <w:r w:rsidR="00001664" w:rsidRPr="00E80090">
        <w:rPr>
          <w:rFonts w:asciiTheme="majorHAnsi" w:hAnsiTheme="majorHAnsi" w:cs="Cambria"/>
          <w:lang w:val="en-GB" w:eastAsia="en-US"/>
        </w:rPr>
        <w:lastRenderedPageBreak/>
        <w:t xml:space="preserve">cross-border receivables is less common in the region. </w:t>
      </w:r>
      <w:r w:rsidR="007342BD" w:rsidRPr="00E80090">
        <w:rPr>
          <w:rFonts w:asciiTheme="majorHAnsi" w:hAnsiTheme="majorHAnsi" w:cs="Cambria"/>
          <w:lang w:val="en-GB" w:eastAsia="en-US"/>
        </w:rPr>
        <w:t>O</w:t>
      </w:r>
      <w:r w:rsidR="00001664" w:rsidRPr="00E80090">
        <w:rPr>
          <w:rFonts w:asciiTheme="majorHAnsi" w:hAnsiTheme="majorHAnsi" w:cs="Cambria"/>
          <w:lang w:val="en-GB" w:eastAsia="en-US"/>
        </w:rPr>
        <w:t>nly</w:t>
      </w:r>
      <w:r w:rsidR="007342BD" w:rsidRPr="00E80090">
        <w:rPr>
          <w:rFonts w:asciiTheme="majorHAnsi" w:hAnsiTheme="majorHAnsi" w:cs="Cambria"/>
          <w:lang w:val="en-GB" w:eastAsia="en-US"/>
        </w:rPr>
        <w:t xml:space="preserve"> the </w:t>
      </w:r>
      <w:r w:rsidR="00E14DD9" w:rsidRPr="00E80090">
        <w:rPr>
          <w:rFonts w:asciiTheme="majorHAnsi" w:hAnsiTheme="majorHAnsi" w:cs="Cambria"/>
          <w:lang w:val="en-GB" w:eastAsia="en-US"/>
        </w:rPr>
        <w:t>branches</w:t>
      </w:r>
      <w:r w:rsidR="007342BD" w:rsidRPr="00E80090">
        <w:rPr>
          <w:rFonts w:asciiTheme="majorHAnsi" w:hAnsiTheme="majorHAnsi" w:cs="Cambria"/>
          <w:lang w:val="en-GB" w:eastAsia="en-US"/>
        </w:rPr>
        <w:t xml:space="preserve"> in</w:t>
      </w:r>
      <w:r w:rsidR="00001664" w:rsidRPr="00E80090">
        <w:rPr>
          <w:rFonts w:asciiTheme="majorHAnsi" w:hAnsiTheme="majorHAnsi" w:cs="Cambria"/>
          <w:lang w:val="en-GB" w:eastAsia="en-US"/>
        </w:rPr>
        <w:t xml:space="preserve"> Slovenia and Slovakia sell abroad</w:t>
      </w:r>
      <w:r w:rsidR="00430E79" w:rsidRPr="00E80090">
        <w:rPr>
          <w:rFonts w:asciiTheme="majorHAnsi" w:hAnsiTheme="majorHAnsi" w:cs="Cambria"/>
          <w:lang w:val="en-GB" w:eastAsia="en-US"/>
        </w:rPr>
        <w:t xml:space="preserve"> but with small volumes </w:t>
      </w:r>
      <w:r w:rsidR="00A47FCE" w:rsidRPr="00E80090">
        <w:rPr>
          <w:rFonts w:asciiTheme="majorHAnsi" w:hAnsiTheme="majorHAnsi" w:cs="Cambria"/>
          <w:lang w:val="en-GB" w:eastAsia="en-US"/>
        </w:rPr>
        <w:t xml:space="preserve">of </w:t>
      </w:r>
      <w:r w:rsidR="009D6FF1" w:rsidRPr="00E80090">
        <w:rPr>
          <w:rFonts w:asciiTheme="majorHAnsi" w:hAnsiTheme="majorHAnsi" w:cs="Cambria"/>
          <w:lang w:val="en-GB" w:eastAsia="en-US"/>
        </w:rPr>
        <w:t>€</w:t>
      </w:r>
      <w:r w:rsidR="00430E79" w:rsidRPr="00E80090">
        <w:rPr>
          <w:rFonts w:asciiTheme="majorHAnsi" w:hAnsiTheme="majorHAnsi" w:cs="Cambria"/>
          <w:lang w:val="en-GB" w:eastAsia="en-US"/>
        </w:rPr>
        <w:t xml:space="preserve">250,000 and </w:t>
      </w:r>
      <w:r w:rsidR="009D6FF1" w:rsidRPr="00E80090">
        <w:rPr>
          <w:rFonts w:asciiTheme="majorHAnsi" w:hAnsiTheme="majorHAnsi" w:cs="Cambria"/>
          <w:lang w:val="en-GB" w:eastAsia="en-US"/>
        </w:rPr>
        <w:t>€</w:t>
      </w:r>
      <w:r w:rsidR="00430E79" w:rsidRPr="00E80090">
        <w:rPr>
          <w:rFonts w:asciiTheme="majorHAnsi" w:hAnsiTheme="majorHAnsi" w:cs="Cambria"/>
          <w:lang w:val="en-GB" w:eastAsia="en-US"/>
        </w:rPr>
        <w:t xml:space="preserve">1,400 </w:t>
      </w:r>
      <w:r w:rsidR="009D6FF1" w:rsidRPr="00E80090">
        <w:rPr>
          <w:rFonts w:asciiTheme="majorHAnsi" w:hAnsiTheme="majorHAnsi" w:cs="Cambria"/>
          <w:lang w:val="en-GB" w:eastAsia="en-US"/>
        </w:rPr>
        <w:t>per year</w:t>
      </w:r>
      <w:r w:rsidR="00A47FCE" w:rsidRPr="00E80090">
        <w:rPr>
          <w:rFonts w:asciiTheme="majorHAnsi" w:hAnsiTheme="majorHAnsi" w:cs="Cambria"/>
          <w:lang w:val="en-GB" w:eastAsia="en-US"/>
        </w:rPr>
        <w:t xml:space="preserve"> respectively</w:t>
      </w:r>
      <w:r w:rsidR="00001664" w:rsidRPr="00E80090">
        <w:rPr>
          <w:rFonts w:asciiTheme="majorHAnsi" w:hAnsiTheme="majorHAnsi" w:cs="Cambria"/>
          <w:lang w:val="en-GB" w:eastAsia="en-US"/>
        </w:rPr>
        <w:t xml:space="preserve">. </w:t>
      </w:r>
    </w:p>
    <w:p w14:paraId="6E58426A" w14:textId="77777777" w:rsidR="00AB4E56" w:rsidRPr="00E80090" w:rsidRDefault="00001664" w:rsidP="00AB4E56">
      <w:pPr>
        <w:spacing w:after="200" w:line="360" w:lineRule="auto"/>
        <w:jc w:val="both"/>
        <w:rPr>
          <w:rFonts w:asciiTheme="majorHAnsi" w:hAnsiTheme="majorHAnsi"/>
          <w:lang w:val="en-GB" w:eastAsia="en-US"/>
        </w:rPr>
      </w:pPr>
      <w:r w:rsidRPr="00E80090">
        <w:rPr>
          <w:rFonts w:asciiTheme="majorHAnsi" w:hAnsiTheme="majorHAnsi" w:cs="Cambria"/>
          <w:lang w:val="en-GB" w:eastAsia="en-US"/>
        </w:rPr>
        <w:t xml:space="preserve">Finally, Direct Debit transactions do not seem to be used often in the region. </w:t>
      </w:r>
      <w:r w:rsidR="009D6FF1" w:rsidRPr="00E80090">
        <w:rPr>
          <w:rFonts w:asciiTheme="majorHAnsi" w:hAnsiTheme="majorHAnsi" w:cs="Cambria"/>
          <w:lang w:val="en-GB" w:eastAsia="en-US"/>
        </w:rPr>
        <w:t>Through</w:t>
      </w:r>
      <w:r w:rsidR="00464915" w:rsidRPr="00E80090">
        <w:rPr>
          <w:rFonts w:asciiTheme="majorHAnsi" w:hAnsiTheme="majorHAnsi" w:cs="Cambria"/>
          <w:lang w:val="en-GB" w:eastAsia="en-US"/>
        </w:rPr>
        <w:t xml:space="preserve"> </w:t>
      </w:r>
      <w:r w:rsidR="009D6FF1" w:rsidRPr="00E80090">
        <w:rPr>
          <w:rFonts w:asciiTheme="majorHAnsi" w:hAnsiTheme="majorHAnsi" w:cs="Cambria"/>
          <w:lang w:val="en-GB" w:eastAsia="en-US"/>
        </w:rPr>
        <w:t xml:space="preserve">this </w:t>
      </w:r>
      <w:r w:rsidR="00464915" w:rsidRPr="00E80090">
        <w:rPr>
          <w:rFonts w:asciiTheme="majorHAnsi" w:hAnsiTheme="majorHAnsi" w:cs="Cambria"/>
          <w:lang w:val="en-GB" w:eastAsia="en-US"/>
        </w:rPr>
        <w:t xml:space="preserve">payment method the sender </w:t>
      </w:r>
      <w:r w:rsidR="009D6FF1" w:rsidRPr="00E80090">
        <w:rPr>
          <w:rFonts w:asciiTheme="majorHAnsi" w:hAnsiTheme="majorHAnsi" w:cs="Cambria"/>
          <w:lang w:val="en-GB" w:eastAsia="en-US"/>
        </w:rPr>
        <w:t>authorise</w:t>
      </w:r>
      <w:r w:rsidR="00742E66" w:rsidRPr="00E80090">
        <w:rPr>
          <w:rFonts w:asciiTheme="majorHAnsi" w:hAnsiTheme="majorHAnsi" w:cs="Cambria"/>
          <w:lang w:val="en-GB" w:eastAsia="en-US"/>
        </w:rPr>
        <w:t>s</w:t>
      </w:r>
      <w:r w:rsidR="009D6FF1" w:rsidRPr="00E80090">
        <w:rPr>
          <w:rFonts w:asciiTheme="majorHAnsi" w:hAnsiTheme="majorHAnsi" w:cs="Cambria"/>
          <w:lang w:val="en-GB" w:eastAsia="en-US"/>
        </w:rPr>
        <w:t xml:space="preserve"> the beneficiary to draw the funds directly from their bank account </w:t>
      </w:r>
      <w:r w:rsidR="00464915" w:rsidRPr="00E80090">
        <w:rPr>
          <w:rFonts w:asciiTheme="majorHAnsi" w:hAnsiTheme="majorHAnsi" w:cs="Cambria"/>
          <w:lang w:val="en-GB" w:eastAsia="en-US"/>
        </w:rPr>
        <w:t>when the paymen</w:t>
      </w:r>
      <w:r w:rsidR="009D6FF1" w:rsidRPr="00E80090">
        <w:rPr>
          <w:rFonts w:asciiTheme="majorHAnsi" w:hAnsiTheme="majorHAnsi" w:cs="Cambria"/>
          <w:lang w:val="en-GB" w:eastAsia="en-US"/>
        </w:rPr>
        <w:t>t is due</w:t>
      </w:r>
      <w:r w:rsidR="009D6FF1" w:rsidRPr="00E80090">
        <w:rPr>
          <w:rFonts w:asciiTheme="majorHAnsi" w:hAnsiTheme="majorHAnsi" w:cs="Cambria"/>
          <w:b/>
          <w:lang w:val="en-GB" w:eastAsia="en-US"/>
        </w:rPr>
        <w:t>.</w:t>
      </w:r>
      <w:r w:rsidR="00464915"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The table above shows that </w:t>
      </w:r>
      <w:r w:rsidR="00464915" w:rsidRPr="00E80090">
        <w:rPr>
          <w:rFonts w:asciiTheme="majorHAnsi" w:hAnsiTheme="majorHAnsi" w:cs="Cambria"/>
          <w:lang w:val="en-GB" w:eastAsia="en-US"/>
        </w:rPr>
        <w:t>this method</w:t>
      </w:r>
      <w:r w:rsidRPr="00E80090">
        <w:rPr>
          <w:rFonts w:asciiTheme="majorHAnsi" w:hAnsiTheme="majorHAnsi" w:cs="Cambria"/>
          <w:lang w:val="en-GB" w:eastAsia="en-US"/>
        </w:rPr>
        <w:t xml:space="preserve"> </w:t>
      </w:r>
      <w:r w:rsidR="00464915" w:rsidRPr="00E80090">
        <w:rPr>
          <w:rFonts w:asciiTheme="majorHAnsi" w:hAnsiTheme="majorHAnsi" w:cs="Cambria"/>
          <w:lang w:val="en-GB" w:eastAsia="en-US"/>
        </w:rPr>
        <w:t>is used</w:t>
      </w:r>
      <w:r w:rsidRPr="00E80090">
        <w:rPr>
          <w:rFonts w:asciiTheme="majorHAnsi" w:hAnsiTheme="majorHAnsi" w:cs="Cambria"/>
          <w:lang w:val="en-GB" w:eastAsia="en-US"/>
        </w:rPr>
        <w:t xml:space="preserve"> only in Slovakia. </w:t>
      </w:r>
      <w:r w:rsidR="002E0A35" w:rsidRPr="00E80090">
        <w:rPr>
          <w:rFonts w:asciiTheme="majorHAnsi" w:hAnsiTheme="majorHAnsi" w:cs="Cambria"/>
          <w:lang w:val="en-GB" w:eastAsia="en-US"/>
        </w:rPr>
        <w:t xml:space="preserve">As </w:t>
      </w:r>
      <w:r w:rsidR="00AB4E56" w:rsidRPr="00E80090">
        <w:rPr>
          <w:rFonts w:asciiTheme="majorHAnsi" w:hAnsiTheme="majorHAnsi" w:cs="Cambria"/>
          <w:lang w:val="en-GB" w:eastAsia="en-US"/>
        </w:rPr>
        <w:t>Direct Debit payments are instructed under a certain mandate</w:t>
      </w:r>
      <w:r w:rsidR="002E0A35" w:rsidRPr="00E80090">
        <w:rPr>
          <w:rFonts w:asciiTheme="majorHAnsi" w:hAnsiTheme="majorHAnsi" w:cs="Cambria"/>
          <w:lang w:val="en-GB" w:eastAsia="en-US"/>
        </w:rPr>
        <w:t xml:space="preserve"> w</w:t>
      </w:r>
      <w:r w:rsidR="00AB4E56" w:rsidRPr="00E80090">
        <w:rPr>
          <w:rFonts w:asciiTheme="majorHAnsi" w:hAnsiTheme="majorHAnsi" w:cs="Cambria"/>
          <w:lang w:val="en-GB" w:eastAsia="en-US"/>
        </w:rPr>
        <w:t>hen the migration takes place</w:t>
      </w:r>
      <w:r w:rsidR="009D6FF1" w:rsidRPr="00E80090">
        <w:rPr>
          <w:rFonts w:asciiTheme="majorHAnsi" w:hAnsiTheme="majorHAnsi" w:cs="Cambria"/>
          <w:lang w:val="en-GB" w:eastAsia="en-US"/>
        </w:rPr>
        <w:t>, the</w:t>
      </w:r>
      <w:r w:rsidR="00AB4E56" w:rsidRPr="00E80090">
        <w:rPr>
          <w:rFonts w:asciiTheme="majorHAnsi" w:hAnsiTheme="majorHAnsi" w:cs="Cambria"/>
          <w:lang w:val="en-GB" w:eastAsia="en-US"/>
        </w:rPr>
        <w:t>se mandates would need to be renewed for the new accounts.</w:t>
      </w:r>
    </w:p>
    <w:p w14:paraId="6E58426B" w14:textId="77777777" w:rsidR="00001664" w:rsidRPr="00E80090" w:rsidRDefault="00001664" w:rsidP="003F33DE">
      <w:pPr>
        <w:pStyle w:val="Kop2"/>
        <w:numPr>
          <w:ilvl w:val="2"/>
          <w:numId w:val="12"/>
        </w:numPr>
        <w:spacing w:line="360" w:lineRule="auto"/>
        <w:rPr>
          <w:rFonts w:asciiTheme="majorHAnsi" w:hAnsiTheme="majorHAnsi"/>
          <w:lang w:val="en-GB"/>
        </w:rPr>
      </w:pPr>
      <w:bookmarkStart w:id="84" w:name="_Toc359408851"/>
      <w:bookmarkStart w:id="85" w:name="_Toc360633019"/>
      <w:bookmarkStart w:id="86" w:name="_Toc368290350"/>
      <w:r w:rsidRPr="00E80090">
        <w:rPr>
          <w:rFonts w:asciiTheme="majorHAnsi" w:hAnsiTheme="majorHAnsi"/>
          <w:lang w:val="en-GB"/>
        </w:rPr>
        <w:t>Payroll</w:t>
      </w:r>
      <w:bookmarkEnd w:id="84"/>
      <w:bookmarkEnd w:id="85"/>
      <w:bookmarkEnd w:id="86"/>
    </w:p>
    <w:p w14:paraId="6E58426C" w14:textId="77777777" w:rsidR="003721C8" w:rsidRPr="00E80090" w:rsidRDefault="00475C4F" w:rsidP="00475C4F">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majority of the entities in the region are small in terms of </w:t>
      </w:r>
      <w:r w:rsidR="006F2A6B" w:rsidRPr="00E80090">
        <w:rPr>
          <w:rFonts w:asciiTheme="majorHAnsi" w:hAnsiTheme="majorHAnsi" w:cs="Cambria"/>
          <w:lang w:val="en-GB" w:eastAsia="en-US"/>
        </w:rPr>
        <w:t>revenue</w:t>
      </w:r>
      <w:r w:rsidRPr="00E80090">
        <w:rPr>
          <w:rFonts w:asciiTheme="majorHAnsi" w:hAnsiTheme="majorHAnsi" w:cs="Cambria"/>
          <w:lang w:val="en-GB" w:eastAsia="en-US"/>
        </w:rPr>
        <w:t xml:space="preserve"> and staff size. As a result</w:t>
      </w:r>
      <w:r w:rsidR="00D52C66" w:rsidRPr="00E80090">
        <w:rPr>
          <w:rFonts w:asciiTheme="majorHAnsi" w:hAnsiTheme="majorHAnsi" w:cs="Cambria"/>
          <w:lang w:val="en-GB" w:eastAsia="en-US"/>
        </w:rPr>
        <w:t>, they out</w:t>
      </w:r>
      <w:r w:rsidRPr="00E80090">
        <w:rPr>
          <w:rFonts w:asciiTheme="majorHAnsi" w:hAnsiTheme="majorHAnsi" w:cs="Cambria"/>
          <w:lang w:val="en-GB" w:eastAsia="en-US"/>
        </w:rPr>
        <w:t>s</w:t>
      </w:r>
      <w:r w:rsidR="0020778A" w:rsidRPr="00E80090">
        <w:rPr>
          <w:rFonts w:asciiTheme="majorHAnsi" w:hAnsiTheme="majorHAnsi" w:cs="Cambria"/>
          <w:lang w:val="en-GB" w:eastAsia="en-US"/>
        </w:rPr>
        <w:t xml:space="preserve">ource the payroll </w:t>
      </w:r>
      <w:r w:rsidR="00496F3A" w:rsidRPr="00E80090">
        <w:rPr>
          <w:rFonts w:asciiTheme="majorHAnsi" w:hAnsiTheme="majorHAnsi" w:cs="Cambria"/>
          <w:lang w:val="en-GB" w:eastAsia="en-US"/>
        </w:rPr>
        <w:t>preparation</w:t>
      </w:r>
      <w:r w:rsidR="0020778A" w:rsidRPr="00E80090">
        <w:rPr>
          <w:rFonts w:asciiTheme="majorHAnsi" w:hAnsiTheme="majorHAnsi" w:cs="Cambria"/>
          <w:lang w:val="en-GB" w:eastAsia="en-US"/>
        </w:rPr>
        <w:t xml:space="preserve"> to </w:t>
      </w:r>
      <w:r w:rsidRPr="00E80090">
        <w:rPr>
          <w:rFonts w:asciiTheme="majorHAnsi" w:hAnsiTheme="majorHAnsi" w:cs="Cambria"/>
          <w:lang w:val="en-GB" w:eastAsia="en-US"/>
        </w:rPr>
        <w:t xml:space="preserve">third party specialists. This is the case for all the entities in scope. </w:t>
      </w:r>
      <w:r w:rsidR="003721C8" w:rsidRPr="00E80090">
        <w:rPr>
          <w:rFonts w:asciiTheme="majorHAnsi" w:hAnsiTheme="majorHAnsi" w:cs="Cambria"/>
          <w:lang w:val="en-GB" w:eastAsia="en-US"/>
        </w:rPr>
        <w:t xml:space="preserve">Even though the payroll file is prepared by an external party the </w:t>
      </w:r>
      <w:r w:rsidR="003F111F" w:rsidRPr="00E80090">
        <w:rPr>
          <w:rFonts w:asciiTheme="majorHAnsi" w:hAnsiTheme="majorHAnsi" w:cs="Cambria"/>
          <w:lang w:val="en-GB" w:eastAsia="en-US"/>
        </w:rPr>
        <w:t>local controllers</w:t>
      </w:r>
      <w:r w:rsidR="003721C8" w:rsidRPr="00E80090">
        <w:rPr>
          <w:rFonts w:asciiTheme="majorHAnsi" w:hAnsiTheme="majorHAnsi" w:cs="Cambria"/>
          <w:lang w:val="en-GB" w:eastAsia="en-US"/>
        </w:rPr>
        <w:t xml:space="preserve"> execute the payment</w:t>
      </w:r>
      <w:r w:rsidR="009C0AF4" w:rsidRPr="00E80090">
        <w:rPr>
          <w:rFonts w:asciiTheme="majorHAnsi" w:hAnsiTheme="majorHAnsi" w:cs="Cambria"/>
          <w:lang w:val="en-GB" w:eastAsia="en-US"/>
        </w:rPr>
        <w:t>s</w:t>
      </w:r>
      <w:r w:rsidR="003721C8" w:rsidRPr="00E80090">
        <w:rPr>
          <w:rFonts w:asciiTheme="majorHAnsi" w:hAnsiTheme="majorHAnsi" w:cs="Cambria"/>
          <w:lang w:val="en-GB" w:eastAsia="en-US"/>
        </w:rPr>
        <w:t xml:space="preserve"> themselves</w:t>
      </w:r>
      <w:r w:rsidR="009841AF" w:rsidRPr="00E80090">
        <w:rPr>
          <w:rFonts w:asciiTheme="majorHAnsi" w:hAnsiTheme="majorHAnsi" w:cs="Cambria"/>
          <w:lang w:val="en-GB" w:eastAsia="en-US"/>
        </w:rPr>
        <w:t xml:space="preserve"> through an electronic bank tra</w:t>
      </w:r>
      <w:r w:rsidR="00CF2BCE" w:rsidRPr="00E80090">
        <w:rPr>
          <w:rFonts w:asciiTheme="majorHAnsi" w:hAnsiTheme="majorHAnsi" w:cs="Cambria"/>
          <w:lang w:val="en-GB" w:eastAsia="en-US"/>
        </w:rPr>
        <w:t>n</w:t>
      </w:r>
      <w:r w:rsidR="009841AF" w:rsidRPr="00E80090">
        <w:rPr>
          <w:rFonts w:asciiTheme="majorHAnsi" w:hAnsiTheme="majorHAnsi" w:cs="Cambria"/>
          <w:lang w:val="en-GB" w:eastAsia="en-US"/>
        </w:rPr>
        <w:t>sfer</w:t>
      </w:r>
      <w:r w:rsidR="003721C8" w:rsidRPr="00E80090">
        <w:rPr>
          <w:rFonts w:asciiTheme="majorHAnsi" w:hAnsiTheme="majorHAnsi" w:cs="Cambria"/>
          <w:lang w:val="en-GB" w:eastAsia="en-US"/>
        </w:rPr>
        <w:t>.</w:t>
      </w:r>
      <w:r w:rsidR="007664DA" w:rsidRPr="00E80090">
        <w:rPr>
          <w:rFonts w:asciiTheme="majorHAnsi" w:hAnsiTheme="majorHAnsi" w:cs="Cambria"/>
          <w:lang w:val="en-GB" w:eastAsia="en-US"/>
        </w:rPr>
        <w:t xml:space="preserve"> </w:t>
      </w:r>
      <w:r w:rsidR="00DA75A8" w:rsidRPr="00E80090">
        <w:rPr>
          <w:rFonts w:asciiTheme="majorHAnsi" w:hAnsiTheme="majorHAnsi" w:cs="Cambria"/>
          <w:lang w:val="en-GB" w:eastAsia="en-US"/>
        </w:rPr>
        <w:t>Usually a four-eye principle is applied to payment execution. This means that one employee inserts and another one approves each payment. However, i</w:t>
      </w:r>
      <w:r w:rsidR="003721C8" w:rsidRPr="00E80090">
        <w:rPr>
          <w:rFonts w:asciiTheme="majorHAnsi" w:hAnsiTheme="majorHAnsi" w:cs="Cambria"/>
          <w:lang w:val="en-GB" w:eastAsia="en-US"/>
        </w:rPr>
        <w:t xml:space="preserve">n Bulgaria </w:t>
      </w:r>
      <w:r w:rsidR="004B427D" w:rsidRPr="00E80090">
        <w:rPr>
          <w:rFonts w:asciiTheme="majorHAnsi" w:hAnsiTheme="majorHAnsi" w:cs="Cambria"/>
          <w:lang w:val="en-GB" w:eastAsia="en-US"/>
        </w:rPr>
        <w:t>th</w:t>
      </w:r>
      <w:r w:rsidR="003721C8" w:rsidRPr="00E80090">
        <w:rPr>
          <w:rFonts w:asciiTheme="majorHAnsi" w:hAnsiTheme="majorHAnsi" w:cs="Cambria"/>
          <w:lang w:val="en-GB" w:eastAsia="en-US"/>
        </w:rPr>
        <w:t xml:space="preserve">ere </w:t>
      </w:r>
      <w:r w:rsidR="004B427D" w:rsidRPr="00E80090">
        <w:rPr>
          <w:rFonts w:asciiTheme="majorHAnsi" w:hAnsiTheme="majorHAnsi" w:cs="Cambria"/>
          <w:lang w:val="en-GB" w:eastAsia="en-US"/>
        </w:rPr>
        <w:t xml:space="preserve">is </w:t>
      </w:r>
      <w:r w:rsidR="003721C8" w:rsidRPr="00E80090">
        <w:rPr>
          <w:rFonts w:asciiTheme="majorHAnsi" w:hAnsiTheme="majorHAnsi" w:cs="Cambria"/>
          <w:lang w:val="en-GB" w:eastAsia="en-US"/>
        </w:rPr>
        <w:t xml:space="preserve">only </w:t>
      </w:r>
      <w:r w:rsidR="004B427D" w:rsidRPr="00E80090">
        <w:rPr>
          <w:rFonts w:asciiTheme="majorHAnsi" w:hAnsiTheme="majorHAnsi" w:cs="Cambria"/>
          <w:lang w:val="en-GB" w:eastAsia="en-US"/>
        </w:rPr>
        <w:t>one employee operating</w:t>
      </w:r>
      <w:r w:rsidR="003721C8" w:rsidRPr="00E80090">
        <w:rPr>
          <w:rFonts w:asciiTheme="majorHAnsi" w:hAnsiTheme="majorHAnsi" w:cs="Cambria"/>
          <w:lang w:val="en-GB" w:eastAsia="en-US"/>
        </w:rPr>
        <w:t xml:space="preserve"> the business</w:t>
      </w:r>
      <w:r w:rsidR="000D67DA" w:rsidRPr="00E80090">
        <w:rPr>
          <w:rFonts w:asciiTheme="majorHAnsi" w:hAnsiTheme="majorHAnsi" w:cs="Cambria"/>
          <w:lang w:val="en-GB" w:eastAsia="en-US"/>
        </w:rPr>
        <w:t>. Being alone she needs to insert</w:t>
      </w:r>
      <w:r w:rsidR="003721C8" w:rsidRPr="00E80090">
        <w:rPr>
          <w:rFonts w:asciiTheme="majorHAnsi" w:hAnsiTheme="majorHAnsi" w:cs="Cambria"/>
          <w:lang w:val="en-GB" w:eastAsia="en-US"/>
        </w:rPr>
        <w:t xml:space="preserve"> and approve all payments</w:t>
      </w:r>
      <w:r w:rsidR="007130F1" w:rsidRPr="00E80090">
        <w:rPr>
          <w:rFonts w:asciiTheme="majorHAnsi" w:hAnsiTheme="majorHAnsi" w:cs="Cambria"/>
          <w:lang w:val="en-GB" w:eastAsia="en-US"/>
        </w:rPr>
        <w:t xml:space="preserve"> including her salary</w:t>
      </w:r>
      <w:r w:rsidR="003721C8" w:rsidRPr="00E80090">
        <w:rPr>
          <w:rFonts w:asciiTheme="majorHAnsi" w:hAnsiTheme="majorHAnsi" w:cs="Cambria"/>
          <w:lang w:val="en-GB" w:eastAsia="en-US"/>
        </w:rPr>
        <w:t xml:space="preserve">. </w:t>
      </w:r>
      <w:r w:rsidR="00D95D6B" w:rsidRPr="00E80090">
        <w:rPr>
          <w:rFonts w:asciiTheme="majorHAnsi" w:hAnsiTheme="majorHAnsi" w:cs="Cambria"/>
          <w:lang w:val="en-GB" w:eastAsia="en-US"/>
        </w:rPr>
        <w:t xml:space="preserve">This procedure seems dangerous from a security perspective as there is lack of </w:t>
      </w:r>
      <w:r w:rsidR="009841AF" w:rsidRPr="00E80090">
        <w:rPr>
          <w:rFonts w:asciiTheme="majorHAnsi" w:hAnsiTheme="majorHAnsi" w:cs="Cambria"/>
          <w:lang w:val="en-GB" w:eastAsia="en-US"/>
        </w:rPr>
        <w:t>transparency regarding</w:t>
      </w:r>
      <w:r w:rsidR="009622E2" w:rsidRPr="00E80090">
        <w:rPr>
          <w:rFonts w:asciiTheme="majorHAnsi" w:hAnsiTheme="majorHAnsi" w:cs="Cambria"/>
          <w:lang w:val="en-GB" w:eastAsia="en-US"/>
        </w:rPr>
        <w:t xml:space="preserve"> the local transactions</w:t>
      </w:r>
      <w:r w:rsidR="00D95D6B" w:rsidRPr="00E80090">
        <w:rPr>
          <w:rFonts w:asciiTheme="majorHAnsi" w:hAnsiTheme="majorHAnsi" w:cs="Cambria"/>
          <w:lang w:val="en-GB" w:eastAsia="en-US"/>
        </w:rPr>
        <w:t>.</w:t>
      </w:r>
    </w:p>
    <w:p w14:paraId="6E58426D" w14:textId="77777777" w:rsidR="00001664" w:rsidRPr="00E80090" w:rsidRDefault="00001664" w:rsidP="003F33DE">
      <w:pPr>
        <w:pStyle w:val="Kop2"/>
        <w:numPr>
          <w:ilvl w:val="2"/>
          <w:numId w:val="12"/>
        </w:numPr>
        <w:spacing w:line="360" w:lineRule="auto"/>
        <w:rPr>
          <w:rFonts w:asciiTheme="majorHAnsi" w:hAnsiTheme="majorHAnsi"/>
          <w:lang w:val="en-GB"/>
        </w:rPr>
      </w:pPr>
      <w:bookmarkStart w:id="87" w:name="_Toc359408852"/>
      <w:bookmarkStart w:id="88" w:name="_Toc360633020"/>
      <w:bookmarkStart w:id="89" w:name="_Toc368290351"/>
      <w:r w:rsidRPr="00E80090">
        <w:rPr>
          <w:rFonts w:asciiTheme="majorHAnsi" w:hAnsiTheme="majorHAnsi"/>
          <w:lang w:val="en-GB"/>
        </w:rPr>
        <w:t>Foreign exchange</w:t>
      </w:r>
      <w:bookmarkEnd w:id="87"/>
      <w:bookmarkEnd w:id="88"/>
      <w:r w:rsidR="005A1D94" w:rsidRPr="00E80090">
        <w:rPr>
          <w:rFonts w:asciiTheme="majorHAnsi" w:hAnsiTheme="majorHAnsi"/>
          <w:lang w:val="en-GB"/>
        </w:rPr>
        <w:t xml:space="preserve"> trading</w:t>
      </w:r>
      <w:bookmarkEnd w:id="89"/>
    </w:p>
    <w:p w14:paraId="6E58426E" w14:textId="77777777" w:rsidR="00053C41" w:rsidRPr="00E80090" w:rsidRDefault="001C3E67" w:rsidP="00F10034">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All of the </w:t>
      </w:r>
      <w:r w:rsidR="00056FDA" w:rsidRPr="00E80090">
        <w:rPr>
          <w:rFonts w:asciiTheme="majorHAnsi" w:hAnsiTheme="majorHAnsi" w:cs="Cambria"/>
          <w:lang w:val="en-GB" w:eastAsia="en-US"/>
        </w:rPr>
        <w:t>entities</w:t>
      </w:r>
      <w:r w:rsidRPr="00E80090">
        <w:rPr>
          <w:rFonts w:asciiTheme="majorHAnsi" w:hAnsiTheme="majorHAnsi" w:cs="Cambria"/>
          <w:lang w:val="en-GB" w:eastAsia="en-US"/>
        </w:rPr>
        <w:t xml:space="preserve"> in scope purchase</w:t>
      </w:r>
      <w:r w:rsidR="00FA76F5" w:rsidRPr="00E80090">
        <w:rPr>
          <w:rFonts w:asciiTheme="majorHAnsi" w:hAnsiTheme="majorHAnsi" w:cs="Cambria"/>
          <w:lang w:val="en-GB" w:eastAsia="en-US"/>
        </w:rPr>
        <w:t xml:space="preserve"> materials and finished products</w:t>
      </w:r>
      <w:r w:rsidRPr="00E80090">
        <w:rPr>
          <w:rFonts w:asciiTheme="majorHAnsi" w:hAnsiTheme="majorHAnsi" w:cs="Cambria"/>
          <w:lang w:val="en-GB" w:eastAsia="en-US"/>
        </w:rPr>
        <w:t xml:space="preserve"> from </w:t>
      </w:r>
      <w:r w:rsidR="00056FDA" w:rsidRPr="00E80090">
        <w:rPr>
          <w:rFonts w:asciiTheme="majorHAnsi" w:hAnsiTheme="majorHAnsi" w:cs="Cambria"/>
          <w:lang w:val="en-GB" w:eastAsia="en-US"/>
        </w:rPr>
        <w:t xml:space="preserve">the subsidiary in </w:t>
      </w:r>
      <w:r w:rsidRPr="00E80090">
        <w:rPr>
          <w:rFonts w:asciiTheme="majorHAnsi" w:hAnsiTheme="majorHAnsi" w:cs="Cambria"/>
          <w:lang w:val="en-GB" w:eastAsia="en-US"/>
        </w:rPr>
        <w:t xml:space="preserve">Vienna and sell </w:t>
      </w:r>
      <w:r w:rsidR="00283592" w:rsidRPr="00E80090">
        <w:rPr>
          <w:rFonts w:asciiTheme="majorHAnsi" w:hAnsiTheme="majorHAnsi" w:cs="Cambria"/>
          <w:lang w:val="en-GB" w:eastAsia="en-US"/>
        </w:rPr>
        <w:t xml:space="preserve">mainly </w:t>
      </w:r>
      <w:r w:rsidRPr="00E80090">
        <w:rPr>
          <w:rFonts w:asciiTheme="majorHAnsi" w:hAnsiTheme="majorHAnsi" w:cs="Cambria"/>
          <w:lang w:val="en-GB" w:eastAsia="en-US"/>
        </w:rPr>
        <w:t xml:space="preserve">locally. </w:t>
      </w:r>
      <w:r w:rsidR="00056FDA" w:rsidRPr="00E80090">
        <w:rPr>
          <w:rFonts w:asciiTheme="majorHAnsi" w:hAnsiTheme="majorHAnsi" w:cs="Cambria"/>
          <w:lang w:val="en-GB" w:eastAsia="en-US"/>
        </w:rPr>
        <w:t>Consequently,</w:t>
      </w:r>
      <w:r w:rsidRPr="00E80090">
        <w:rPr>
          <w:rFonts w:asciiTheme="majorHAnsi" w:hAnsiTheme="majorHAnsi" w:cs="Cambria"/>
          <w:lang w:val="en-GB" w:eastAsia="en-US"/>
        </w:rPr>
        <w:t xml:space="preserve"> their re</w:t>
      </w:r>
      <w:r w:rsidR="00AD15AC" w:rsidRPr="00E80090">
        <w:rPr>
          <w:rFonts w:asciiTheme="majorHAnsi" w:hAnsiTheme="majorHAnsi" w:cs="Cambria"/>
          <w:lang w:val="en-GB" w:eastAsia="en-US"/>
        </w:rPr>
        <w:t xml:space="preserve">ceivables are in local currency, while their </w:t>
      </w:r>
      <w:r w:rsidRPr="00E80090">
        <w:rPr>
          <w:rFonts w:asciiTheme="majorHAnsi" w:hAnsiTheme="majorHAnsi" w:cs="Cambria"/>
          <w:lang w:val="en-GB" w:eastAsia="en-US"/>
        </w:rPr>
        <w:t xml:space="preserve">payables </w:t>
      </w:r>
      <w:r w:rsidR="00AD15AC" w:rsidRPr="00E80090">
        <w:rPr>
          <w:rFonts w:asciiTheme="majorHAnsi" w:hAnsiTheme="majorHAnsi" w:cs="Cambria"/>
          <w:lang w:val="en-GB" w:eastAsia="en-US"/>
        </w:rPr>
        <w:t xml:space="preserve">are </w:t>
      </w:r>
      <w:r w:rsidRPr="00E80090">
        <w:rPr>
          <w:rFonts w:asciiTheme="majorHAnsi" w:hAnsiTheme="majorHAnsi" w:cs="Cambria"/>
          <w:lang w:val="en-GB" w:eastAsia="en-US"/>
        </w:rPr>
        <w:t xml:space="preserve">in </w:t>
      </w:r>
      <w:r w:rsidR="009D6FF1" w:rsidRPr="00E80090">
        <w:rPr>
          <w:rFonts w:asciiTheme="majorHAnsi" w:hAnsiTheme="majorHAnsi" w:cs="Cambria"/>
          <w:lang w:val="en-GB" w:eastAsia="en-US"/>
        </w:rPr>
        <w:t>euro</w:t>
      </w:r>
      <w:r w:rsidRPr="00E80090">
        <w:rPr>
          <w:rFonts w:asciiTheme="majorHAnsi" w:hAnsiTheme="majorHAnsi" w:cs="Cambria"/>
          <w:lang w:val="en-GB" w:eastAsia="en-US"/>
        </w:rPr>
        <w:t xml:space="preserve"> and </w:t>
      </w:r>
      <w:r w:rsidR="00F10034" w:rsidRPr="00E80090">
        <w:rPr>
          <w:rFonts w:asciiTheme="majorHAnsi" w:hAnsiTheme="majorHAnsi" w:cs="Cambria"/>
          <w:lang w:val="en-GB" w:eastAsia="en-US"/>
        </w:rPr>
        <w:t>the</w:t>
      </w:r>
      <w:r w:rsidR="00632DC4" w:rsidRPr="00E80090">
        <w:rPr>
          <w:rFonts w:asciiTheme="majorHAnsi" w:hAnsiTheme="majorHAnsi" w:cs="Cambria"/>
          <w:lang w:val="en-GB" w:eastAsia="en-US"/>
        </w:rPr>
        <w:t>y</w:t>
      </w:r>
      <w:r w:rsidR="00F10034" w:rsidRPr="00E80090">
        <w:rPr>
          <w:rFonts w:asciiTheme="majorHAnsi" w:hAnsiTheme="majorHAnsi" w:cs="Cambria"/>
          <w:lang w:val="en-GB" w:eastAsia="en-US"/>
        </w:rPr>
        <w:t xml:space="preserve"> </w:t>
      </w:r>
      <w:r w:rsidRPr="00E80090">
        <w:rPr>
          <w:rFonts w:asciiTheme="majorHAnsi" w:hAnsiTheme="majorHAnsi" w:cs="Cambria"/>
          <w:lang w:val="en-GB" w:eastAsia="en-US"/>
        </w:rPr>
        <w:t>may</w:t>
      </w:r>
      <w:r w:rsidR="00632DC4" w:rsidRPr="00E80090">
        <w:rPr>
          <w:rFonts w:asciiTheme="majorHAnsi" w:hAnsiTheme="majorHAnsi" w:cs="Cambria"/>
          <w:lang w:val="en-GB" w:eastAsia="en-US"/>
        </w:rPr>
        <w:t xml:space="preserve"> be</w:t>
      </w:r>
      <w:r w:rsidR="00F10034" w:rsidRPr="00E80090">
        <w:rPr>
          <w:rFonts w:asciiTheme="majorHAnsi" w:hAnsiTheme="majorHAnsi" w:cs="Cambria"/>
          <w:lang w:val="en-GB" w:eastAsia="en-US"/>
        </w:rPr>
        <w:t xml:space="preserve"> exposed to exchange rate risk.</w:t>
      </w:r>
      <w:r w:rsidR="005706F5" w:rsidRPr="00E80090">
        <w:rPr>
          <w:rFonts w:asciiTheme="majorHAnsi" w:hAnsiTheme="majorHAnsi" w:cs="Cambria"/>
          <w:lang w:val="en-GB" w:eastAsia="en-US"/>
        </w:rPr>
        <w:t xml:space="preserve"> </w:t>
      </w:r>
      <w:r w:rsidR="00F10034" w:rsidRPr="00E80090">
        <w:rPr>
          <w:rFonts w:asciiTheme="majorHAnsi" w:hAnsiTheme="majorHAnsi" w:cs="Cambria"/>
          <w:lang w:val="en-GB" w:eastAsia="en-US"/>
        </w:rPr>
        <w:t xml:space="preserve">Slovenia and Slovakia have </w:t>
      </w:r>
      <w:r w:rsidR="00F11011" w:rsidRPr="00E80090">
        <w:rPr>
          <w:rFonts w:asciiTheme="majorHAnsi" w:hAnsiTheme="majorHAnsi" w:cs="Cambria"/>
          <w:lang w:val="en-GB" w:eastAsia="en-US"/>
        </w:rPr>
        <w:t xml:space="preserve">already </w:t>
      </w:r>
      <w:r w:rsidR="00F10034" w:rsidRPr="00E80090">
        <w:rPr>
          <w:rFonts w:asciiTheme="majorHAnsi" w:hAnsiTheme="majorHAnsi" w:cs="Cambria"/>
          <w:lang w:val="en-GB" w:eastAsia="en-US"/>
        </w:rPr>
        <w:t>accepted the euro and the entities there do not b</w:t>
      </w:r>
      <w:r w:rsidR="00026C4E" w:rsidRPr="00E80090">
        <w:rPr>
          <w:rFonts w:asciiTheme="majorHAnsi" w:hAnsiTheme="majorHAnsi" w:cs="Cambria"/>
          <w:lang w:val="en-GB" w:eastAsia="en-US"/>
        </w:rPr>
        <w:t>e</w:t>
      </w:r>
      <w:r w:rsidR="00F11011" w:rsidRPr="00E80090">
        <w:rPr>
          <w:rFonts w:asciiTheme="majorHAnsi" w:hAnsiTheme="majorHAnsi" w:cs="Cambria"/>
          <w:lang w:val="en-GB" w:eastAsia="en-US"/>
        </w:rPr>
        <w:t>ar such risk</w:t>
      </w:r>
      <w:r w:rsidR="00F10034" w:rsidRPr="00E80090">
        <w:rPr>
          <w:rFonts w:asciiTheme="majorHAnsi" w:hAnsiTheme="majorHAnsi" w:cs="Cambria"/>
          <w:lang w:val="en-GB" w:eastAsia="en-US"/>
        </w:rPr>
        <w:t xml:space="preserve">. On the other hand, the Bulgarian Lev is pegged to the euro, which limits the transactional exposure of the Bulgarian </w:t>
      </w:r>
      <w:r w:rsidR="00053C41" w:rsidRPr="00E80090">
        <w:rPr>
          <w:rFonts w:asciiTheme="majorHAnsi" w:hAnsiTheme="majorHAnsi" w:cs="Cambria"/>
          <w:lang w:val="en-GB" w:eastAsia="en-US"/>
        </w:rPr>
        <w:t>branch</w:t>
      </w:r>
      <w:r w:rsidR="00FF3C9C" w:rsidRPr="00E80090">
        <w:rPr>
          <w:rFonts w:asciiTheme="majorHAnsi" w:hAnsiTheme="majorHAnsi" w:cs="Cambria"/>
          <w:lang w:val="en-GB" w:eastAsia="en-US"/>
        </w:rPr>
        <w:t xml:space="preserve">. </w:t>
      </w:r>
    </w:p>
    <w:p w14:paraId="6E58426F" w14:textId="77777777" w:rsidR="00F30074" w:rsidRPr="00E80090" w:rsidRDefault="00053C41" w:rsidP="00FA1617">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subsidiary that faces greater risk is the one in Romania. As the Romanian leu has shown significant instability against the euro over the past year (see Appendix 1) (OANDA, 2013), the entity is exposed to </w:t>
      </w:r>
      <w:r w:rsidR="00E13CD4" w:rsidRPr="00E80090">
        <w:rPr>
          <w:rFonts w:asciiTheme="majorHAnsi" w:hAnsiTheme="majorHAnsi" w:cs="Cambria"/>
          <w:lang w:val="en-GB" w:eastAsia="en-US"/>
        </w:rPr>
        <w:t xml:space="preserve">exchange rate </w:t>
      </w:r>
      <w:r w:rsidR="0081422D" w:rsidRPr="00E80090">
        <w:rPr>
          <w:rFonts w:asciiTheme="majorHAnsi" w:hAnsiTheme="majorHAnsi" w:cs="Cambria"/>
          <w:lang w:val="en-GB" w:eastAsia="en-US"/>
        </w:rPr>
        <w:t>risk</w:t>
      </w:r>
      <w:r w:rsidRPr="00E80090">
        <w:rPr>
          <w:rFonts w:asciiTheme="majorHAnsi" w:hAnsiTheme="majorHAnsi" w:cs="Cambria"/>
          <w:lang w:val="en-GB" w:eastAsia="en-US"/>
        </w:rPr>
        <w:t xml:space="preserve">. </w:t>
      </w:r>
      <w:r w:rsidR="00E13CD4" w:rsidRPr="00E80090">
        <w:rPr>
          <w:rFonts w:asciiTheme="majorHAnsi" w:hAnsiTheme="majorHAnsi" w:cs="Cambria"/>
          <w:lang w:val="en-GB" w:eastAsia="en-US"/>
        </w:rPr>
        <w:t xml:space="preserve">Currently the branch does not hedge its exposure and trades with </w:t>
      </w:r>
      <w:r w:rsidR="00B11F18" w:rsidRPr="00E80090">
        <w:rPr>
          <w:rFonts w:asciiTheme="majorHAnsi" w:hAnsiTheme="majorHAnsi" w:cs="Cambria"/>
          <w:lang w:val="en-GB" w:eastAsia="en-US"/>
        </w:rPr>
        <w:t>its</w:t>
      </w:r>
      <w:r w:rsidR="00E13CD4" w:rsidRPr="00E80090">
        <w:rPr>
          <w:rFonts w:asciiTheme="majorHAnsi" w:hAnsiTheme="majorHAnsi" w:cs="Cambria"/>
          <w:lang w:val="en-GB" w:eastAsia="en-US"/>
        </w:rPr>
        <w:t xml:space="preserve"> bank over the </w:t>
      </w:r>
      <w:r w:rsidR="00917BEA" w:rsidRPr="00E80090">
        <w:rPr>
          <w:rFonts w:asciiTheme="majorHAnsi" w:hAnsiTheme="majorHAnsi" w:cs="Cambria"/>
          <w:lang w:val="en-GB" w:eastAsia="en-US"/>
        </w:rPr>
        <w:t>tele</w:t>
      </w:r>
      <w:r w:rsidR="00E13CD4" w:rsidRPr="00E80090">
        <w:rPr>
          <w:rFonts w:asciiTheme="majorHAnsi" w:hAnsiTheme="majorHAnsi" w:cs="Cambria"/>
          <w:lang w:val="en-GB" w:eastAsia="en-US"/>
        </w:rPr>
        <w:t xml:space="preserve">phone </w:t>
      </w:r>
      <w:r w:rsidR="00917BEA" w:rsidRPr="00E80090">
        <w:rPr>
          <w:rFonts w:asciiTheme="majorHAnsi" w:hAnsiTheme="majorHAnsi" w:cs="Cambria"/>
          <w:lang w:val="en-GB" w:eastAsia="en-US"/>
        </w:rPr>
        <w:t>whenever it needs euro to pay its vendors</w:t>
      </w:r>
      <w:r w:rsidR="00E13CD4" w:rsidRPr="00E80090">
        <w:rPr>
          <w:rFonts w:asciiTheme="majorHAnsi" w:hAnsiTheme="majorHAnsi" w:cs="Cambria"/>
          <w:lang w:val="en-GB" w:eastAsia="en-US"/>
        </w:rPr>
        <w:t xml:space="preserve">. </w:t>
      </w:r>
      <w:r w:rsidR="00917BEA" w:rsidRPr="00E80090">
        <w:rPr>
          <w:rFonts w:asciiTheme="majorHAnsi" w:hAnsiTheme="majorHAnsi" w:cs="Cambria"/>
          <w:lang w:val="en-GB" w:eastAsia="en-US"/>
        </w:rPr>
        <w:t xml:space="preserve">This not only does not help in decreasing its exposure, but also creates issues from a security perspective for the </w:t>
      </w:r>
      <w:r w:rsidR="00B11F18" w:rsidRPr="00E80090">
        <w:rPr>
          <w:rFonts w:asciiTheme="majorHAnsi" w:hAnsiTheme="majorHAnsi" w:cs="Cambria"/>
          <w:lang w:val="en-GB" w:eastAsia="en-US"/>
        </w:rPr>
        <w:t>firm</w:t>
      </w:r>
      <w:r w:rsidR="00917BEA" w:rsidRPr="00E80090">
        <w:rPr>
          <w:rFonts w:asciiTheme="majorHAnsi" w:hAnsiTheme="majorHAnsi" w:cs="Cambria"/>
          <w:lang w:val="en-GB" w:eastAsia="en-US"/>
        </w:rPr>
        <w:t xml:space="preserve">. </w:t>
      </w:r>
      <w:r w:rsidR="00885EF0" w:rsidRPr="00E80090">
        <w:rPr>
          <w:rFonts w:asciiTheme="majorHAnsi" w:hAnsiTheme="majorHAnsi" w:cs="Cambria"/>
          <w:lang w:val="en-GB" w:eastAsia="en-US"/>
        </w:rPr>
        <w:t xml:space="preserve">Such trades are not visible at the </w:t>
      </w:r>
      <w:r w:rsidR="00885EF0" w:rsidRPr="00E80090">
        <w:rPr>
          <w:rFonts w:asciiTheme="majorHAnsi" w:hAnsiTheme="majorHAnsi" w:cs="Cambria"/>
          <w:lang w:val="en-GB" w:eastAsia="en-US"/>
        </w:rPr>
        <w:lastRenderedPageBreak/>
        <w:t xml:space="preserve">central level and thus are hard to monitor. </w:t>
      </w:r>
      <w:r w:rsidR="002B47D1" w:rsidRPr="00E80090">
        <w:rPr>
          <w:rFonts w:asciiTheme="majorHAnsi" w:hAnsiTheme="majorHAnsi" w:cs="Cambria"/>
          <w:lang w:val="en-GB" w:eastAsia="en-US"/>
        </w:rPr>
        <w:t>Moreover</w:t>
      </w:r>
      <w:r w:rsidR="00885EF0" w:rsidRPr="00E80090">
        <w:rPr>
          <w:rFonts w:asciiTheme="majorHAnsi" w:hAnsiTheme="majorHAnsi" w:cs="Cambria"/>
          <w:lang w:val="en-GB" w:eastAsia="en-US"/>
        </w:rPr>
        <w:t>, w</w:t>
      </w:r>
      <w:r w:rsidR="00F30074" w:rsidRPr="00E80090">
        <w:rPr>
          <w:rFonts w:asciiTheme="majorHAnsi" w:hAnsiTheme="majorHAnsi" w:cs="Cambria"/>
          <w:lang w:val="en-GB" w:eastAsia="en-US"/>
        </w:rPr>
        <w:t xml:space="preserve">hen trading over the telephone the agreement is done verbally and therefore there is no physical evidence of the specifics of the transaction. </w:t>
      </w:r>
      <w:r w:rsidR="006A0E61" w:rsidRPr="00E80090">
        <w:rPr>
          <w:rFonts w:asciiTheme="majorHAnsi" w:hAnsiTheme="majorHAnsi" w:cs="Cambria"/>
          <w:lang w:val="en-GB" w:eastAsia="en-US"/>
        </w:rPr>
        <w:t>As a result</w:t>
      </w:r>
      <w:r w:rsidR="001135D4" w:rsidRPr="00E80090">
        <w:rPr>
          <w:rFonts w:asciiTheme="majorHAnsi" w:hAnsiTheme="majorHAnsi" w:cs="Cambria"/>
          <w:lang w:val="en-GB" w:eastAsia="en-US"/>
        </w:rPr>
        <w:t>,</w:t>
      </w:r>
      <w:r w:rsidR="006A0E61" w:rsidRPr="00E80090">
        <w:rPr>
          <w:rFonts w:asciiTheme="majorHAnsi" w:hAnsiTheme="majorHAnsi" w:cs="Cambria"/>
          <w:lang w:val="en-GB" w:eastAsia="en-US"/>
        </w:rPr>
        <w:t xml:space="preserve"> it</w:t>
      </w:r>
      <w:r w:rsidR="00885EF0" w:rsidRPr="00E80090">
        <w:rPr>
          <w:rFonts w:asciiTheme="majorHAnsi" w:hAnsiTheme="majorHAnsi" w:cs="Cambria"/>
          <w:lang w:val="en-GB" w:eastAsia="en-US"/>
        </w:rPr>
        <w:t xml:space="preserve"> is hard to prove what was discussed with the trader to an auditor. </w:t>
      </w:r>
      <w:r w:rsidR="00FA1617" w:rsidRPr="00E80090">
        <w:rPr>
          <w:rFonts w:asciiTheme="majorHAnsi" w:hAnsiTheme="majorHAnsi" w:cs="Cambria"/>
          <w:lang w:val="en-GB" w:eastAsia="en-US"/>
        </w:rPr>
        <w:t xml:space="preserve">Because of that </w:t>
      </w:r>
      <w:r w:rsidR="00885EF0" w:rsidRPr="00E80090">
        <w:rPr>
          <w:rFonts w:asciiTheme="majorHAnsi" w:hAnsiTheme="majorHAnsi" w:cs="Cambria"/>
          <w:lang w:val="en-GB" w:eastAsia="en-US"/>
        </w:rPr>
        <w:t>such trading is not preferred by the company.</w:t>
      </w:r>
    </w:p>
    <w:p w14:paraId="6E584270" w14:textId="77777777" w:rsidR="00633C53" w:rsidRPr="00E80090" w:rsidRDefault="00AD2CE0" w:rsidP="00053C4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solution that </w:t>
      </w:r>
      <w:r w:rsidR="0081422D" w:rsidRPr="00E80090">
        <w:rPr>
          <w:rFonts w:asciiTheme="majorHAnsi" w:hAnsiTheme="majorHAnsi" w:cs="Cambria"/>
          <w:lang w:val="en-GB" w:eastAsia="en-US"/>
        </w:rPr>
        <w:t xml:space="preserve">Citibank </w:t>
      </w:r>
      <w:r w:rsidRPr="00E80090">
        <w:rPr>
          <w:rFonts w:asciiTheme="majorHAnsi" w:hAnsiTheme="majorHAnsi" w:cs="Cambria"/>
          <w:lang w:val="en-GB" w:eastAsia="en-US"/>
        </w:rPr>
        <w:t xml:space="preserve">can provide is </w:t>
      </w:r>
      <w:r w:rsidR="00053C41" w:rsidRPr="00E80090">
        <w:rPr>
          <w:rFonts w:asciiTheme="majorHAnsi" w:hAnsiTheme="majorHAnsi" w:cs="Cambria"/>
          <w:lang w:val="en-GB" w:eastAsia="en-US"/>
        </w:rPr>
        <w:t xml:space="preserve">an online trading platform called CitiPulse. Through this service the </w:t>
      </w:r>
      <w:r w:rsidR="00D648AF" w:rsidRPr="00E80090">
        <w:rPr>
          <w:rFonts w:asciiTheme="majorHAnsi" w:hAnsiTheme="majorHAnsi" w:cs="Cambria"/>
          <w:lang w:val="en-GB" w:eastAsia="en-US"/>
        </w:rPr>
        <w:t>branch</w:t>
      </w:r>
      <w:r w:rsidR="00053C41" w:rsidRPr="00E80090">
        <w:rPr>
          <w:rFonts w:asciiTheme="majorHAnsi" w:hAnsiTheme="majorHAnsi" w:cs="Cambria"/>
          <w:lang w:val="en-GB" w:eastAsia="en-US"/>
        </w:rPr>
        <w:t xml:space="preserve"> would be able to trade online with Citibank for hedging or spot conversion</w:t>
      </w:r>
      <w:r w:rsidR="00D648AF" w:rsidRPr="00E80090">
        <w:rPr>
          <w:rFonts w:asciiTheme="majorHAnsi" w:hAnsiTheme="majorHAnsi" w:cs="Cambria"/>
          <w:lang w:val="en-GB" w:eastAsia="en-US"/>
        </w:rPr>
        <w:t xml:space="preserve">. </w:t>
      </w:r>
      <w:r w:rsidR="00FA7DF3" w:rsidRPr="00E80090">
        <w:rPr>
          <w:rFonts w:asciiTheme="majorHAnsi" w:hAnsiTheme="majorHAnsi" w:cs="Cambria"/>
          <w:lang w:val="en-GB" w:eastAsia="en-US"/>
        </w:rPr>
        <w:t xml:space="preserve">As the platform </w:t>
      </w:r>
      <w:r w:rsidR="00032118" w:rsidRPr="00E80090">
        <w:rPr>
          <w:rFonts w:asciiTheme="majorHAnsi" w:hAnsiTheme="majorHAnsi" w:cs="Cambria"/>
          <w:lang w:val="en-GB" w:eastAsia="en-US"/>
        </w:rPr>
        <w:t xml:space="preserve">is based online all trades </w:t>
      </w:r>
      <w:r w:rsidR="00DD2A0D" w:rsidRPr="00E80090">
        <w:rPr>
          <w:rFonts w:asciiTheme="majorHAnsi" w:hAnsiTheme="majorHAnsi" w:cs="Cambria"/>
          <w:lang w:val="en-GB" w:eastAsia="en-US"/>
        </w:rPr>
        <w:t xml:space="preserve">will be recoded and can be correctly </w:t>
      </w:r>
      <w:r w:rsidR="00032118" w:rsidRPr="00E80090">
        <w:rPr>
          <w:rFonts w:asciiTheme="majorHAnsi" w:hAnsiTheme="majorHAnsi" w:cs="Cambria"/>
          <w:lang w:val="en-GB" w:eastAsia="en-US"/>
        </w:rPr>
        <w:t xml:space="preserve">reported. In this way </w:t>
      </w:r>
      <w:r w:rsidR="00DD2A0D" w:rsidRPr="00E80090">
        <w:rPr>
          <w:rFonts w:asciiTheme="majorHAnsi" w:hAnsiTheme="majorHAnsi" w:cs="Cambria"/>
          <w:lang w:val="en-GB" w:eastAsia="en-US"/>
        </w:rPr>
        <w:t>trades can be</w:t>
      </w:r>
      <w:r w:rsidR="00851B94" w:rsidRPr="00E80090">
        <w:rPr>
          <w:rFonts w:asciiTheme="majorHAnsi" w:hAnsiTheme="majorHAnsi" w:cs="Cambria"/>
          <w:lang w:val="en-GB" w:eastAsia="en-US"/>
        </w:rPr>
        <w:t xml:space="preserve"> explain</w:t>
      </w:r>
      <w:r w:rsidR="00DD2A0D" w:rsidRPr="00E80090">
        <w:rPr>
          <w:rFonts w:asciiTheme="majorHAnsi" w:hAnsiTheme="majorHAnsi" w:cs="Cambria"/>
          <w:lang w:val="en-GB" w:eastAsia="en-US"/>
        </w:rPr>
        <w:t xml:space="preserve">ed </w:t>
      </w:r>
      <w:r w:rsidR="00851B94" w:rsidRPr="00E80090">
        <w:rPr>
          <w:rFonts w:asciiTheme="majorHAnsi" w:hAnsiTheme="majorHAnsi" w:cs="Cambria"/>
          <w:lang w:val="en-GB" w:eastAsia="en-US"/>
        </w:rPr>
        <w:t xml:space="preserve">to auditors </w:t>
      </w:r>
      <w:r w:rsidR="00DD2A0D" w:rsidRPr="00E80090">
        <w:rPr>
          <w:rFonts w:asciiTheme="majorHAnsi" w:hAnsiTheme="majorHAnsi" w:cs="Cambria"/>
          <w:lang w:val="en-GB" w:eastAsia="en-US"/>
        </w:rPr>
        <w:t xml:space="preserve">more easily </w:t>
      </w:r>
      <w:r w:rsidR="00851B94" w:rsidRPr="00E80090">
        <w:rPr>
          <w:rFonts w:asciiTheme="majorHAnsi" w:hAnsiTheme="majorHAnsi" w:cs="Cambria"/>
          <w:lang w:val="en-GB" w:eastAsia="en-US"/>
        </w:rPr>
        <w:t xml:space="preserve">if need be. </w:t>
      </w:r>
      <w:r w:rsidR="00FA7DF3" w:rsidRPr="00E80090">
        <w:rPr>
          <w:rFonts w:asciiTheme="majorHAnsi" w:hAnsiTheme="majorHAnsi" w:cs="Cambria"/>
          <w:lang w:val="en-GB" w:eastAsia="en-US"/>
        </w:rPr>
        <w:t>CitiPulse</w:t>
      </w:r>
      <w:r w:rsidR="00633C53" w:rsidRPr="00E80090">
        <w:rPr>
          <w:rFonts w:asciiTheme="majorHAnsi" w:hAnsiTheme="majorHAnsi" w:cs="Cambria"/>
          <w:lang w:val="en-GB" w:eastAsia="en-US"/>
        </w:rPr>
        <w:t xml:space="preserve"> supports the trading of FX Forwards, Swaps or a normal spot exchange. </w:t>
      </w:r>
      <w:r w:rsidR="00FA7DF3" w:rsidRPr="00E80090">
        <w:rPr>
          <w:rFonts w:asciiTheme="majorHAnsi" w:hAnsiTheme="majorHAnsi" w:cs="Cambria"/>
          <w:lang w:val="en-GB" w:eastAsia="en-US"/>
        </w:rPr>
        <w:t>T</w:t>
      </w:r>
      <w:r w:rsidR="00545527" w:rsidRPr="00E80090">
        <w:rPr>
          <w:rFonts w:asciiTheme="majorHAnsi" w:hAnsiTheme="majorHAnsi" w:cs="Cambria"/>
          <w:lang w:val="en-GB" w:eastAsia="en-US"/>
        </w:rPr>
        <w:t xml:space="preserve">he user can request a price online and trade whenever </w:t>
      </w:r>
      <w:r w:rsidR="00CB6BA4" w:rsidRPr="00E80090">
        <w:rPr>
          <w:rFonts w:asciiTheme="majorHAnsi" w:hAnsiTheme="majorHAnsi" w:cs="Cambria"/>
          <w:lang w:val="en-GB" w:eastAsia="en-US"/>
        </w:rPr>
        <w:t xml:space="preserve">market conditions are favourable for </w:t>
      </w:r>
      <w:r w:rsidR="00F009B4" w:rsidRPr="00E80090">
        <w:rPr>
          <w:rFonts w:asciiTheme="majorHAnsi" w:hAnsiTheme="majorHAnsi" w:cs="Cambria"/>
          <w:lang w:val="en-GB" w:eastAsia="en-US"/>
        </w:rPr>
        <w:t>hedg</w:t>
      </w:r>
      <w:r w:rsidR="00CB6BA4" w:rsidRPr="00E80090">
        <w:rPr>
          <w:rFonts w:asciiTheme="majorHAnsi" w:hAnsiTheme="majorHAnsi" w:cs="Cambria"/>
          <w:lang w:val="en-GB" w:eastAsia="en-US"/>
        </w:rPr>
        <w:t>ing</w:t>
      </w:r>
      <w:r w:rsidR="00F009B4" w:rsidRPr="00E80090">
        <w:rPr>
          <w:rFonts w:asciiTheme="majorHAnsi" w:hAnsiTheme="majorHAnsi" w:cs="Cambria"/>
          <w:lang w:val="en-GB" w:eastAsia="en-US"/>
        </w:rPr>
        <w:t xml:space="preserve"> their position</w:t>
      </w:r>
      <w:r w:rsidR="00545527" w:rsidRPr="00E80090">
        <w:rPr>
          <w:rFonts w:asciiTheme="majorHAnsi" w:hAnsiTheme="majorHAnsi" w:cs="Cambria"/>
          <w:lang w:val="en-GB" w:eastAsia="en-US"/>
        </w:rPr>
        <w:t>.</w:t>
      </w:r>
    </w:p>
    <w:p w14:paraId="6E584271" w14:textId="77777777" w:rsidR="00053C41" w:rsidRPr="00E80090" w:rsidRDefault="00053C41" w:rsidP="00053C41">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Another option </w:t>
      </w:r>
      <w:r w:rsidR="00283592" w:rsidRPr="00E80090">
        <w:rPr>
          <w:rFonts w:asciiTheme="majorHAnsi" w:hAnsiTheme="majorHAnsi" w:cs="Cambria"/>
          <w:lang w:val="en-GB" w:eastAsia="en-US"/>
        </w:rPr>
        <w:t xml:space="preserve">for </w:t>
      </w:r>
      <w:r w:rsidR="0049477B" w:rsidRPr="00E80090">
        <w:rPr>
          <w:rFonts w:asciiTheme="majorHAnsi" w:hAnsiTheme="majorHAnsi" w:cs="Cambria"/>
          <w:lang w:val="en-GB" w:eastAsia="en-US"/>
        </w:rPr>
        <w:t>hedging</w:t>
      </w:r>
      <w:r w:rsidR="00283592" w:rsidRPr="00E80090">
        <w:rPr>
          <w:rFonts w:asciiTheme="majorHAnsi" w:hAnsiTheme="majorHAnsi" w:cs="Cambria"/>
          <w:lang w:val="en-GB" w:eastAsia="en-US"/>
        </w:rPr>
        <w:t xml:space="preserve"> the transactional exposure of the branch </w:t>
      </w:r>
      <w:r w:rsidRPr="00E80090">
        <w:rPr>
          <w:rFonts w:asciiTheme="majorHAnsi" w:hAnsiTheme="majorHAnsi" w:cs="Cambria"/>
          <w:lang w:val="en-GB" w:eastAsia="en-US"/>
        </w:rPr>
        <w:t>that is currently used by the company in other a</w:t>
      </w:r>
      <w:r w:rsidR="00FA73F3" w:rsidRPr="00E80090">
        <w:rPr>
          <w:rFonts w:asciiTheme="majorHAnsi" w:hAnsiTheme="majorHAnsi" w:cs="Cambria"/>
          <w:lang w:val="en-GB" w:eastAsia="en-US"/>
        </w:rPr>
        <w:t xml:space="preserve">reas </w:t>
      </w:r>
      <w:r w:rsidR="009D15E5" w:rsidRPr="00E80090">
        <w:rPr>
          <w:rFonts w:asciiTheme="majorHAnsi" w:hAnsiTheme="majorHAnsi" w:cs="Cambria"/>
          <w:lang w:val="en-GB" w:eastAsia="en-US"/>
        </w:rPr>
        <w:t>is</w:t>
      </w:r>
      <w:r w:rsidR="00FA73F3" w:rsidRPr="00E80090">
        <w:rPr>
          <w:rFonts w:asciiTheme="majorHAnsi" w:hAnsiTheme="majorHAnsi" w:cs="Cambria"/>
          <w:lang w:val="en-GB" w:eastAsia="en-US"/>
        </w:rPr>
        <w:t xml:space="preserve"> FXall. </w:t>
      </w:r>
      <w:r w:rsidR="00D92B49" w:rsidRPr="00E80090">
        <w:rPr>
          <w:rFonts w:asciiTheme="majorHAnsi" w:hAnsiTheme="majorHAnsi" w:cs="Cambria"/>
          <w:lang w:val="en-GB" w:eastAsia="en-US"/>
        </w:rPr>
        <w:t>FXall</w:t>
      </w:r>
      <w:r w:rsidR="00FA73F3" w:rsidRPr="00E80090">
        <w:rPr>
          <w:rFonts w:asciiTheme="majorHAnsi" w:hAnsiTheme="majorHAnsi" w:cs="Cambria"/>
          <w:lang w:val="en-GB" w:eastAsia="en-US"/>
        </w:rPr>
        <w:t xml:space="preserve"> </w:t>
      </w:r>
      <w:r w:rsidR="002E44F3" w:rsidRPr="00E80090">
        <w:rPr>
          <w:rFonts w:asciiTheme="majorHAnsi" w:hAnsiTheme="majorHAnsi" w:cs="Cambria"/>
          <w:lang w:val="en-GB" w:eastAsia="en-US"/>
        </w:rPr>
        <w:t xml:space="preserve">is an </w:t>
      </w:r>
      <w:r w:rsidR="00507D92" w:rsidRPr="00E80090">
        <w:rPr>
          <w:rFonts w:asciiTheme="majorHAnsi" w:hAnsiTheme="majorHAnsi" w:cs="Cambria"/>
          <w:lang w:val="en-GB" w:eastAsia="en-US"/>
        </w:rPr>
        <w:t>independent electronic trading pl</w:t>
      </w:r>
      <w:r w:rsidR="002E44F3" w:rsidRPr="00E80090">
        <w:rPr>
          <w:rFonts w:asciiTheme="majorHAnsi" w:hAnsiTheme="majorHAnsi" w:cs="Cambria"/>
          <w:lang w:val="en-GB" w:eastAsia="en-US"/>
        </w:rPr>
        <w:t>atform</w:t>
      </w:r>
      <w:r w:rsidR="00507D92" w:rsidRPr="00E80090">
        <w:rPr>
          <w:rFonts w:asciiTheme="majorHAnsi" w:hAnsiTheme="majorHAnsi" w:cs="Cambria"/>
          <w:lang w:val="en-GB" w:eastAsia="en-US"/>
        </w:rPr>
        <w:t>, provided by the Thomson Reuters Company</w:t>
      </w:r>
      <w:r w:rsidR="002E44F3" w:rsidRPr="00E80090">
        <w:rPr>
          <w:rFonts w:asciiTheme="majorHAnsi" w:hAnsiTheme="majorHAnsi" w:cs="Cambria"/>
          <w:lang w:val="en-GB" w:eastAsia="en-US"/>
        </w:rPr>
        <w:t xml:space="preserve">. </w:t>
      </w:r>
      <w:r w:rsidR="00B84178" w:rsidRPr="00E80090">
        <w:rPr>
          <w:rFonts w:asciiTheme="majorHAnsi" w:hAnsiTheme="majorHAnsi" w:cs="Cambria"/>
          <w:lang w:val="en-GB" w:eastAsia="en-US"/>
        </w:rPr>
        <w:t>It</w:t>
      </w:r>
      <w:r w:rsidR="00187DA5" w:rsidRPr="00E80090">
        <w:rPr>
          <w:rFonts w:asciiTheme="majorHAnsi" w:hAnsiTheme="majorHAnsi" w:cs="Cambria"/>
          <w:lang w:val="en-GB" w:eastAsia="en-US"/>
        </w:rPr>
        <w:t xml:space="preserve"> </w:t>
      </w:r>
      <w:r w:rsidR="00507D92" w:rsidRPr="00E80090">
        <w:rPr>
          <w:rFonts w:asciiTheme="majorHAnsi" w:hAnsiTheme="majorHAnsi" w:cs="Cambria"/>
          <w:lang w:val="en-GB" w:eastAsia="en-US"/>
        </w:rPr>
        <w:t>funct</w:t>
      </w:r>
      <w:r w:rsidR="00851B94" w:rsidRPr="00E80090">
        <w:rPr>
          <w:rFonts w:asciiTheme="majorHAnsi" w:hAnsiTheme="majorHAnsi" w:cs="Cambria"/>
          <w:lang w:val="en-GB" w:eastAsia="en-US"/>
        </w:rPr>
        <w:t xml:space="preserve">ions similarly to CitiPulse </w:t>
      </w:r>
      <w:r w:rsidR="00673F1E" w:rsidRPr="00E80090">
        <w:rPr>
          <w:rFonts w:asciiTheme="majorHAnsi" w:hAnsiTheme="majorHAnsi" w:cs="Cambria"/>
          <w:lang w:val="en-GB" w:eastAsia="en-US"/>
        </w:rPr>
        <w:t xml:space="preserve">but </w:t>
      </w:r>
      <w:r w:rsidR="00851B94" w:rsidRPr="00E80090">
        <w:rPr>
          <w:rFonts w:asciiTheme="majorHAnsi" w:hAnsiTheme="majorHAnsi" w:cs="Cambria"/>
          <w:lang w:val="en-GB" w:eastAsia="en-US"/>
        </w:rPr>
        <w:t xml:space="preserve">can be linked to the same platform used by Group Treasury and in this way </w:t>
      </w:r>
      <w:r w:rsidR="00673F1E" w:rsidRPr="00E80090">
        <w:rPr>
          <w:rFonts w:asciiTheme="majorHAnsi" w:hAnsiTheme="majorHAnsi" w:cs="Cambria"/>
          <w:lang w:val="en-GB" w:eastAsia="en-US"/>
        </w:rPr>
        <w:t xml:space="preserve">local trades </w:t>
      </w:r>
      <w:r w:rsidR="00187DA5" w:rsidRPr="00E80090">
        <w:rPr>
          <w:rFonts w:asciiTheme="majorHAnsi" w:hAnsiTheme="majorHAnsi" w:cs="Cambria"/>
          <w:lang w:val="en-GB" w:eastAsia="en-US"/>
        </w:rPr>
        <w:t xml:space="preserve">can </w:t>
      </w:r>
      <w:r w:rsidR="00851B94" w:rsidRPr="00E80090">
        <w:rPr>
          <w:rFonts w:asciiTheme="majorHAnsi" w:hAnsiTheme="majorHAnsi" w:cs="Cambria"/>
          <w:lang w:val="en-GB" w:eastAsia="en-US"/>
        </w:rPr>
        <w:t xml:space="preserve">be directly </w:t>
      </w:r>
      <w:r w:rsidR="00187DA5" w:rsidRPr="00E80090">
        <w:rPr>
          <w:rFonts w:asciiTheme="majorHAnsi" w:hAnsiTheme="majorHAnsi" w:cs="Cambria"/>
          <w:lang w:val="en-GB" w:eastAsia="en-US"/>
        </w:rPr>
        <w:t>monitored centrally</w:t>
      </w:r>
      <w:r w:rsidR="00866D45" w:rsidRPr="00E80090">
        <w:rPr>
          <w:rFonts w:asciiTheme="majorHAnsi" w:hAnsiTheme="majorHAnsi" w:cs="Cambria"/>
          <w:lang w:val="en-GB" w:eastAsia="en-US"/>
        </w:rPr>
        <w:t xml:space="preserve">. </w:t>
      </w:r>
      <w:r w:rsidR="00055F92" w:rsidRPr="00E80090">
        <w:rPr>
          <w:rFonts w:asciiTheme="majorHAnsi" w:hAnsiTheme="majorHAnsi" w:cs="Cambria"/>
          <w:lang w:val="en-GB" w:eastAsia="en-US"/>
        </w:rPr>
        <w:t>Thus,</w:t>
      </w:r>
      <w:r w:rsidR="00673F1E" w:rsidRPr="00E80090">
        <w:rPr>
          <w:rFonts w:asciiTheme="majorHAnsi" w:hAnsiTheme="majorHAnsi" w:cs="Cambria"/>
          <w:lang w:val="en-GB" w:eastAsia="en-US"/>
        </w:rPr>
        <w:t xml:space="preserve"> the security of local FX trading can be significantly improved. </w:t>
      </w:r>
      <w:r w:rsidR="00507D92" w:rsidRPr="00E80090">
        <w:rPr>
          <w:rFonts w:asciiTheme="majorHAnsi" w:hAnsiTheme="majorHAnsi" w:cs="Cambria"/>
          <w:lang w:val="en-GB" w:eastAsia="en-US"/>
        </w:rPr>
        <w:t>Moreover</w:t>
      </w:r>
      <w:r w:rsidR="00866D45" w:rsidRPr="00E80090">
        <w:rPr>
          <w:rFonts w:asciiTheme="majorHAnsi" w:hAnsiTheme="majorHAnsi" w:cs="Cambria"/>
          <w:lang w:val="en-GB" w:eastAsia="en-US"/>
        </w:rPr>
        <w:t xml:space="preserve">, it </w:t>
      </w:r>
      <w:r w:rsidR="003D599B" w:rsidRPr="00E80090">
        <w:rPr>
          <w:rFonts w:asciiTheme="majorHAnsi" w:hAnsiTheme="majorHAnsi" w:cs="Cambria"/>
          <w:lang w:val="en-GB" w:eastAsia="en-US"/>
        </w:rPr>
        <w:t xml:space="preserve">is a multi-bank platform and as such </w:t>
      </w:r>
      <w:r w:rsidR="00C5337C" w:rsidRPr="00E80090">
        <w:rPr>
          <w:rFonts w:asciiTheme="majorHAnsi" w:hAnsiTheme="majorHAnsi" w:cs="Cambria"/>
          <w:lang w:val="en-GB" w:eastAsia="en-US"/>
        </w:rPr>
        <w:t xml:space="preserve">would </w:t>
      </w:r>
      <w:r w:rsidR="00A10D8E" w:rsidRPr="00E80090">
        <w:rPr>
          <w:rFonts w:asciiTheme="majorHAnsi" w:hAnsiTheme="majorHAnsi" w:cs="Cambria"/>
          <w:lang w:val="en-GB" w:eastAsia="en-US"/>
        </w:rPr>
        <w:t xml:space="preserve">also </w:t>
      </w:r>
      <w:r w:rsidR="00866D45" w:rsidRPr="00E80090">
        <w:rPr>
          <w:rFonts w:asciiTheme="majorHAnsi" w:hAnsiTheme="majorHAnsi" w:cs="Cambria"/>
          <w:lang w:val="en-GB" w:eastAsia="en-US"/>
        </w:rPr>
        <w:t>allow the entity to</w:t>
      </w:r>
      <w:r w:rsidRPr="00E80090">
        <w:rPr>
          <w:rFonts w:asciiTheme="majorHAnsi" w:hAnsiTheme="majorHAnsi" w:cs="Cambria"/>
          <w:lang w:val="en-GB" w:eastAsia="en-US"/>
        </w:rPr>
        <w:t xml:space="preserve"> compare the prices of all banks trading with EUR/RON</w:t>
      </w:r>
      <w:r w:rsidR="00AA05B9" w:rsidRPr="00E80090">
        <w:rPr>
          <w:rFonts w:asciiTheme="majorHAnsi" w:hAnsiTheme="majorHAnsi" w:cs="Cambria"/>
          <w:lang w:val="en-GB" w:eastAsia="en-US"/>
        </w:rPr>
        <w:t xml:space="preserve"> and</w:t>
      </w:r>
      <w:r w:rsidR="00D92B49" w:rsidRPr="00E80090">
        <w:rPr>
          <w:rFonts w:asciiTheme="majorHAnsi" w:hAnsiTheme="majorHAnsi" w:cs="Cambria"/>
          <w:lang w:val="en-GB" w:eastAsia="en-US"/>
        </w:rPr>
        <w:t xml:space="preserve"> then</w:t>
      </w:r>
      <w:r w:rsidR="00AA05B9" w:rsidRPr="00E80090">
        <w:rPr>
          <w:rFonts w:asciiTheme="majorHAnsi" w:hAnsiTheme="majorHAnsi" w:cs="Cambria"/>
          <w:lang w:val="en-GB" w:eastAsia="en-US"/>
        </w:rPr>
        <w:t xml:space="preserve"> choose the best offer</w:t>
      </w:r>
      <w:r w:rsidRPr="00E80090">
        <w:rPr>
          <w:rFonts w:asciiTheme="majorHAnsi" w:hAnsiTheme="majorHAnsi" w:cs="Cambria"/>
          <w:lang w:val="en-GB" w:eastAsia="en-US"/>
        </w:rPr>
        <w:t xml:space="preserve">. </w:t>
      </w:r>
    </w:p>
    <w:p w14:paraId="6E584272" w14:textId="77777777" w:rsidR="00001664" w:rsidRPr="00E80090" w:rsidRDefault="00001664" w:rsidP="00261CC3">
      <w:pPr>
        <w:pStyle w:val="Kop2"/>
        <w:numPr>
          <w:ilvl w:val="1"/>
          <w:numId w:val="12"/>
        </w:numPr>
        <w:spacing w:line="360" w:lineRule="auto"/>
        <w:rPr>
          <w:rFonts w:asciiTheme="majorHAnsi" w:hAnsiTheme="majorHAnsi"/>
          <w:lang w:val="en-GB"/>
        </w:rPr>
      </w:pPr>
      <w:bookmarkStart w:id="90" w:name="_Toc359145829"/>
      <w:bookmarkStart w:id="91" w:name="_Toc359408854"/>
      <w:bookmarkStart w:id="92" w:name="_Toc360633022"/>
      <w:bookmarkStart w:id="93" w:name="_Toc368290352"/>
      <w:r w:rsidRPr="00E80090">
        <w:rPr>
          <w:rFonts w:asciiTheme="majorHAnsi" w:hAnsiTheme="majorHAnsi"/>
          <w:lang w:val="en-GB"/>
        </w:rPr>
        <w:t>Preferred bank</w:t>
      </w:r>
      <w:bookmarkEnd w:id="90"/>
      <w:bookmarkEnd w:id="91"/>
      <w:bookmarkEnd w:id="92"/>
      <w:r w:rsidR="00BC5E7A" w:rsidRPr="00E80090">
        <w:rPr>
          <w:rFonts w:asciiTheme="majorHAnsi" w:hAnsiTheme="majorHAnsi"/>
          <w:lang w:val="en-GB"/>
        </w:rPr>
        <w:t>s</w:t>
      </w:r>
      <w:bookmarkEnd w:id="93"/>
    </w:p>
    <w:p w14:paraId="6E584273" w14:textId="77777777" w:rsidR="00772534" w:rsidRPr="00E80090" w:rsidRDefault="00C5337C" w:rsidP="00772534">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preliminary research</w:t>
      </w:r>
      <w:r w:rsidR="00DF17A0" w:rsidRPr="00E80090">
        <w:rPr>
          <w:rFonts w:asciiTheme="majorHAnsi" w:hAnsiTheme="majorHAnsi" w:cs="Cambria"/>
          <w:lang w:val="en-GB" w:eastAsia="en-US"/>
        </w:rPr>
        <w:t>,</w:t>
      </w:r>
      <w:r w:rsidRPr="00E80090">
        <w:rPr>
          <w:rFonts w:asciiTheme="majorHAnsi" w:hAnsiTheme="majorHAnsi" w:cs="Cambria"/>
          <w:lang w:val="en-GB" w:eastAsia="en-US"/>
        </w:rPr>
        <w:t xml:space="preserve"> conducted by the company</w:t>
      </w:r>
      <w:r w:rsidR="00DF17A0" w:rsidRPr="00E80090">
        <w:rPr>
          <w:rFonts w:asciiTheme="majorHAnsi" w:hAnsiTheme="majorHAnsi" w:cs="Cambria"/>
          <w:lang w:val="en-GB" w:eastAsia="en-US"/>
        </w:rPr>
        <w:t>,</w:t>
      </w:r>
      <w:r w:rsidRPr="00E80090">
        <w:rPr>
          <w:rFonts w:asciiTheme="majorHAnsi" w:hAnsiTheme="majorHAnsi" w:cs="Cambria"/>
          <w:lang w:val="en-GB" w:eastAsia="en-US"/>
        </w:rPr>
        <w:t xml:space="preserve"> has shown that none of the banks operating in the CEE region have coverage in all the countries proposed for the migration. Therefore, it appears that full centralisation under one intermediary</w:t>
      </w:r>
      <w:r w:rsidR="00C676CB" w:rsidRPr="00E80090">
        <w:rPr>
          <w:rFonts w:asciiTheme="majorHAnsi" w:hAnsiTheme="majorHAnsi" w:cs="Cambria"/>
          <w:lang w:val="en-GB" w:eastAsia="en-US"/>
        </w:rPr>
        <w:t xml:space="preserve"> can</w:t>
      </w:r>
      <w:r w:rsidR="00456F62" w:rsidRPr="00E80090">
        <w:rPr>
          <w:rFonts w:asciiTheme="majorHAnsi" w:hAnsiTheme="majorHAnsi" w:cs="Cambria"/>
          <w:lang w:val="en-GB" w:eastAsia="en-US"/>
        </w:rPr>
        <w:t>not</w:t>
      </w:r>
      <w:r w:rsidR="00C676CB" w:rsidRPr="00E80090">
        <w:rPr>
          <w:rFonts w:asciiTheme="majorHAnsi" w:hAnsiTheme="majorHAnsi" w:cs="Cambria"/>
          <w:lang w:val="en-GB" w:eastAsia="en-US"/>
        </w:rPr>
        <w:t xml:space="preserve"> be</w:t>
      </w:r>
      <w:r w:rsidR="00456F62" w:rsidRPr="00E80090">
        <w:rPr>
          <w:rFonts w:asciiTheme="majorHAnsi" w:hAnsiTheme="majorHAnsi" w:cs="Cambria"/>
          <w:lang w:val="en-GB" w:eastAsia="en-US"/>
        </w:rPr>
        <w:t xml:space="preserve"> </w:t>
      </w:r>
      <w:r w:rsidR="00D64DF4" w:rsidRPr="00E80090">
        <w:rPr>
          <w:rFonts w:asciiTheme="majorHAnsi" w:hAnsiTheme="majorHAnsi" w:cs="Cambria"/>
          <w:lang w:val="en-GB" w:eastAsia="en-US"/>
        </w:rPr>
        <w:t>accomplished</w:t>
      </w:r>
      <w:r w:rsidR="00456F62" w:rsidRPr="00E80090">
        <w:rPr>
          <w:rFonts w:asciiTheme="majorHAnsi" w:hAnsiTheme="majorHAnsi" w:cs="Cambria"/>
          <w:lang w:val="en-GB" w:eastAsia="en-US"/>
        </w:rPr>
        <w:t xml:space="preserve"> in the area</w:t>
      </w:r>
      <w:r w:rsidRPr="00E80090">
        <w:rPr>
          <w:rFonts w:asciiTheme="majorHAnsi" w:hAnsiTheme="majorHAnsi" w:cs="Cambria"/>
          <w:lang w:val="en-GB" w:eastAsia="en-US"/>
        </w:rPr>
        <w:t>.</w:t>
      </w:r>
      <w:r w:rsidR="00456F62" w:rsidRPr="00E80090">
        <w:rPr>
          <w:rFonts w:asciiTheme="majorHAnsi" w:hAnsiTheme="majorHAnsi" w:cs="Cambria"/>
          <w:lang w:val="en-GB" w:eastAsia="en-US"/>
        </w:rPr>
        <w:t xml:space="preserve"> </w:t>
      </w:r>
      <w:r w:rsidR="00DF17A0" w:rsidRPr="00E80090">
        <w:rPr>
          <w:rFonts w:asciiTheme="majorHAnsi" w:hAnsiTheme="majorHAnsi" w:cs="Cambria"/>
          <w:lang w:val="en-GB" w:eastAsia="en-US"/>
        </w:rPr>
        <w:t xml:space="preserve">Sun Chemical has a preference to work with Citibank wherever possible. </w:t>
      </w:r>
      <w:r w:rsidR="006E2722" w:rsidRPr="00E80090">
        <w:rPr>
          <w:rFonts w:asciiTheme="majorHAnsi" w:hAnsiTheme="majorHAnsi" w:cs="Cambria"/>
          <w:lang w:val="en-GB" w:eastAsia="en-US"/>
        </w:rPr>
        <w:t xml:space="preserve">As a result, </w:t>
      </w:r>
      <w:r w:rsidR="00772534" w:rsidRPr="00E80090">
        <w:rPr>
          <w:rFonts w:asciiTheme="majorHAnsi" w:hAnsiTheme="majorHAnsi" w:cs="Cambria"/>
          <w:lang w:val="en-GB" w:eastAsia="en-US"/>
        </w:rPr>
        <w:t xml:space="preserve">the entities in Bulgaria and Romania, where the bank </w:t>
      </w:r>
      <w:r w:rsidR="0024495B" w:rsidRPr="00E80090">
        <w:rPr>
          <w:rFonts w:asciiTheme="majorHAnsi" w:hAnsiTheme="majorHAnsi" w:cs="Cambria"/>
          <w:lang w:val="en-GB" w:eastAsia="en-US"/>
        </w:rPr>
        <w:t>is present</w:t>
      </w:r>
      <w:r w:rsidR="00772534" w:rsidRPr="00E80090">
        <w:rPr>
          <w:rFonts w:asciiTheme="majorHAnsi" w:hAnsiTheme="majorHAnsi" w:cs="Cambria"/>
          <w:lang w:val="en-GB" w:eastAsia="en-US"/>
        </w:rPr>
        <w:t xml:space="preserve">, are proposed for migration to Citibank. </w:t>
      </w:r>
      <w:r w:rsidR="00747085" w:rsidRPr="00E80090">
        <w:rPr>
          <w:rFonts w:asciiTheme="majorHAnsi" w:hAnsiTheme="majorHAnsi" w:cs="Cambria"/>
          <w:lang w:val="en-GB" w:eastAsia="en-US"/>
        </w:rPr>
        <w:t>The company h</w:t>
      </w:r>
      <w:r w:rsidR="009A63F4" w:rsidRPr="00E80090">
        <w:rPr>
          <w:rFonts w:asciiTheme="majorHAnsi" w:hAnsiTheme="majorHAnsi" w:cs="Cambria"/>
          <w:lang w:val="en-GB" w:eastAsia="en-US"/>
        </w:rPr>
        <w:t xml:space="preserve">as picked </w:t>
      </w:r>
      <w:r w:rsidR="00747085" w:rsidRPr="00E80090">
        <w:rPr>
          <w:rFonts w:asciiTheme="majorHAnsi" w:hAnsiTheme="majorHAnsi"/>
          <w:lang w:val="en-GB"/>
        </w:rPr>
        <w:t>UniCredit</w:t>
      </w:r>
      <w:r w:rsidR="00747085" w:rsidRPr="00E80090">
        <w:rPr>
          <w:rFonts w:asciiTheme="majorHAnsi" w:hAnsiTheme="majorHAnsi" w:cs="Cambria"/>
          <w:lang w:val="en-GB" w:eastAsia="en-US"/>
        </w:rPr>
        <w:t xml:space="preserve"> </w:t>
      </w:r>
      <w:r w:rsidR="009A63F4" w:rsidRPr="00E80090">
        <w:rPr>
          <w:rFonts w:asciiTheme="majorHAnsi" w:hAnsiTheme="majorHAnsi" w:cs="Cambria"/>
          <w:lang w:val="en-GB" w:eastAsia="en-US"/>
        </w:rPr>
        <w:t xml:space="preserve">for the </w:t>
      </w:r>
      <w:r w:rsidR="0017311E" w:rsidRPr="00E80090">
        <w:rPr>
          <w:rFonts w:asciiTheme="majorHAnsi" w:hAnsiTheme="majorHAnsi" w:cs="Cambria"/>
          <w:lang w:val="en-GB" w:eastAsia="en-US"/>
        </w:rPr>
        <w:t>centralis</w:t>
      </w:r>
      <w:r w:rsidR="00747085" w:rsidRPr="00E80090">
        <w:rPr>
          <w:rFonts w:asciiTheme="majorHAnsi" w:hAnsiTheme="majorHAnsi" w:cs="Cambria"/>
          <w:lang w:val="en-GB" w:eastAsia="en-US"/>
        </w:rPr>
        <w:t>ation</w:t>
      </w:r>
      <w:r w:rsidR="009A63F4" w:rsidRPr="00E80090">
        <w:rPr>
          <w:rFonts w:asciiTheme="majorHAnsi" w:hAnsiTheme="majorHAnsi" w:cs="Cambria"/>
          <w:lang w:val="en-GB" w:eastAsia="en-US"/>
        </w:rPr>
        <w:t xml:space="preserve"> of the branches in </w:t>
      </w:r>
      <w:r w:rsidR="00993EF5" w:rsidRPr="00E80090">
        <w:rPr>
          <w:rFonts w:asciiTheme="majorHAnsi" w:hAnsiTheme="majorHAnsi" w:cs="Cambria"/>
          <w:lang w:val="en-GB" w:eastAsia="en-US"/>
        </w:rPr>
        <w:t xml:space="preserve">Slovakia </w:t>
      </w:r>
      <w:r w:rsidR="009A63F4" w:rsidRPr="00E80090">
        <w:rPr>
          <w:rFonts w:asciiTheme="majorHAnsi" w:hAnsiTheme="majorHAnsi" w:cs="Cambria"/>
          <w:lang w:val="en-GB" w:eastAsia="en-US"/>
        </w:rPr>
        <w:t>and</w:t>
      </w:r>
      <w:r w:rsidR="00993EF5" w:rsidRPr="00E80090">
        <w:rPr>
          <w:rFonts w:asciiTheme="majorHAnsi" w:hAnsiTheme="majorHAnsi" w:cs="Cambria"/>
          <w:lang w:val="en-GB" w:eastAsia="en-US"/>
        </w:rPr>
        <w:t xml:space="preserve"> Slovenia</w:t>
      </w:r>
      <w:r w:rsidR="009A63F4" w:rsidRPr="00E80090">
        <w:rPr>
          <w:rFonts w:asciiTheme="majorHAnsi" w:hAnsiTheme="majorHAnsi" w:cs="Cambria"/>
          <w:lang w:val="en-GB" w:eastAsia="en-US"/>
        </w:rPr>
        <w:t>, where</w:t>
      </w:r>
      <w:r w:rsidR="00C413AD" w:rsidRPr="00E80090">
        <w:rPr>
          <w:rFonts w:asciiTheme="majorHAnsi" w:hAnsiTheme="majorHAnsi" w:cs="Cambria"/>
          <w:lang w:val="en-GB" w:eastAsia="en-US"/>
        </w:rPr>
        <w:t xml:space="preserve"> </w:t>
      </w:r>
      <w:r w:rsidR="009A63F4" w:rsidRPr="00E80090">
        <w:rPr>
          <w:rFonts w:asciiTheme="majorHAnsi" w:hAnsiTheme="majorHAnsi" w:cs="Cambria"/>
          <w:lang w:val="en-GB" w:eastAsia="en-US"/>
        </w:rPr>
        <w:t>Citibank has no offices</w:t>
      </w:r>
      <w:r w:rsidR="00772534" w:rsidRPr="00E80090">
        <w:rPr>
          <w:rFonts w:asciiTheme="majorHAnsi" w:hAnsiTheme="majorHAnsi" w:cs="Cambria"/>
          <w:lang w:val="en-GB" w:eastAsia="en-US"/>
        </w:rPr>
        <w:t>. The reasons for the choice of each bank are explained below.</w:t>
      </w:r>
    </w:p>
    <w:p w14:paraId="6E584274" w14:textId="77777777" w:rsidR="00001664" w:rsidRPr="00E80090" w:rsidRDefault="00001664" w:rsidP="00261CC3">
      <w:pPr>
        <w:pStyle w:val="Kop2"/>
        <w:numPr>
          <w:ilvl w:val="2"/>
          <w:numId w:val="12"/>
        </w:numPr>
        <w:spacing w:line="360" w:lineRule="auto"/>
        <w:rPr>
          <w:rFonts w:asciiTheme="majorHAnsi" w:hAnsiTheme="majorHAnsi"/>
          <w:sz w:val="24"/>
          <w:szCs w:val="24"/>
          <w:lang w:val="en-GB"/>
        </w:rPr>
      </w:pPr>
      <w:bookmarkStart w:id="94" w:name="_Toc359145830"/>
      <w:bookmarkStart w:id="95" w:name="_Toc359408855"/>
      <w:bookmarkStart w:id="96" w:name="_Toc360633023"/>
      <w:bookmarkStart w:id="97" w:name="_Toc368290353"/>
      <w:r w:rsidRPr="00E80090">
        <w:rPr>
          <w:rFonts w:asciiTheme="majorHAnsi" w:hAnsiTheme="majorHAnsi"/>
          <w:sz w:val="24"/>
          <w:szCs w:val="24"/>
          <w:lang w:val="en-GB"/>
        </w:rPr>
        <w:t>Citibank</w:t>
      </w:r>
      <w:bookmarkEnd w:id="94"/>
      <w:bookmarkEnd w:id="95"/>
      <w:bookmarkEnd w:id="96"/>
      <w:bookmarkEnd w:id="97"/>
    </w:p>
    <w:p w14:paraId="6E584275" w14:textId="77777777" w:rsidR="00001664" w:rsidRPr="00E80090" w:rsidRDefault="007F0D4A" w:rsidP="0049054F">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Sun Chemical</w:t>
      </w:r>
      <w:r w:rsidR="00AE02E7" w:rsidRPr="00E80090">
        <w:rPr>
          <w:rFonts w:asciiTheme="majorHAnsi" w:hAnsiTheme="majorHAnsi" w:cs="Cambria"/>
          <w:lang w:val="en-GB" w:eastAsia="en-US"/>
        </w:rPr>
        <w:t>’s</w:t>
      </w:r>
      <w:r w:rsidRPr="00E80090">
        <w:rPr>
          <w:rFonts w:asciiTheme="majorHAnsi" w:hAnsiTheme="majorHAnsi" w:cs="Cambria"/>
          <w:lang w:val="en-GB" w:eastAsia="en-US"/>
        </w:rPr>
        <w:t xml:space="preserve"> </w:t>
      </w:r>
      <w:r w:rsidR="00AE02E7" w:rsidRPr="00E80090">
        <w:rPr>
          <w:rFonts w:asciiTheme="majorHAnsi" w:hAnsiTheme="majorHAnsi" w:cs="Cambria"/>
          <w:lang w:val="en-GB" w:eastAsia="en-US"/>
        </w:rPr>
        <w:t xml:space="preserve">strong business relationship with Citibank is the main reason for its preference to use it for the centralisation in the CEE region. </w:t>
      </w:r>
      <w:r w:rsidR="00A50AB6" w:rsidRPr="00E80090">
        <w:rPr>
          <w:rFonts w:asciiTheme="majorHAnsi" w:hAnsiTheme="majorHAnsi" w:cs="Cambria"/>
          <w:lang w:val="en-GB" w:eastAsia="en-US"/>
        </w:rPr>
        <w:t xml:space="preserve">Most of its branches as well as its head offices already work with Citibank. </w:t>
      </w:r>
      <w:r w:rsidR="00AC00EE" w:rsidRPr="00E80090">
        <w:rPr>
          <w:rFonts w:asciiTheme="majorHAnsi" w:hAnsiTheme="majorHAnsi" w:cs="Cambria"/>
          <w:lang w:val="en-GB" w:eastAsia="en-US"/>
        </w:rPr>
        <w:t>Additionally, when</w:t>
      </w:r>
      <w:r w:rsidR="00001664" w:rsidRPr="00E80090">
        <w:rPr>
          <w:rFonts w:asciiTheme="majorHAnsi" w:hAnsiTheme="majorHAnsi" w:cs="Cambria"/>
          <w:lang w:val="en-GB" w:eastAsia="en-US"/>
        </w:rPr>
        <w:t xml:space="preserve"> bringing new </w:t>
      </w:r>
      <w:r w:rsidR="00001664" w:rsidRPr="00E80090">
        <w:rPr>
          <w:rFonts w:asciiTheme="majorHAnsi" w:hAnsiTheme="majorHAnsi" w:cs="Cambria"/>
          <w:lang w:val="en-GB" w:eastAsia="en-US"/>
        </w:rPr>
        <w:lastRenderedPageBreak/>
        <w:t xml:space="preserve">business </w:t>
      </w:r>
      <w:r w:rsidR="00AC00EE" w:rsidRPr="00E80090">
        <w:rPr>
          <w:rFonts w:asciiTheme="majorHAnsi" w:hAnsiTheme="majorHAnsi" w:cs="Cambria"/>
          <w:lang w:val="en-GB" w:eastAsia="en-US"/>
        </w:rPr>
        <w:t xml:space="preserve">to </w:t>
      </w:r>
      <w:r w:rsidR="005B40EE" w:rsidRPr="00E80090">
        <w:rPr>
          <w:rFonts w:asciiTheme="majorHAnsi" w:hAnsiTheme="majorHAnsi" w:cs="Cambria"/>
          <w:lang w:val="en-GB" w:eastAsia="en-US"/>
        </w:rPr>
        <w:t>Citibank</w:t>
      </w:r>
      <w:r w:rsidR="00001664" w:rsidRPr="00E80090">
        <w:rPr>
          <w:rFonts w:asciiTheme="majorHAnsi" w:hAnsiTheme="majorHAnsi" w:cs="Cambria"/>
          <w:lang w:val="en-GB" w:eastAsia="en-US"/>
        </w:rPr>
        <w:t xml:space="preserve"> </w:t>
      </w:r>
      <w:r w:rsidR="00007C56" w:rsidRPr="00E80090">
        <w:rPr>
          <w:rFonts w:asciiTheme="majorHAnsi" w:hAnsiTheme="majorHAnsi" w:cs="Cambria"/>
          <w:lang w:val="en-GB" w:eastAsia="en-US"/>
        </w:rPr>
        <w:t>the company</w:t>
      </w:r>
      <w:r w:rsidR="00001664" w:rsidRPr="00E80090">
        <w:rPr>
          <w:rFonts w:asciiTheme="majorHAnsi" w:hAnsiTheme="majorHAnsi" w:cs="Cambria"/>
          <w:lang w:val="en-GB" w:eastAsia="en-US"/>
        </w:rPr>
        <w:t xml:space="preserve"> can </w:t>
      </w:r>
      <w:r w:rsidR="008D0962" w:rsidRPr="00E80090">
        <w:rPr>
          <w:rFonts w:asciiTheme="majorHAnsi" w:hAnsiTheme="majorHAnsi" w:cs="Cambria"/>
          <w:lang w:val="en-GB" w:eastAsia="en-US"/>
        </w:rPr>
        <w:t>benefit from</w:t>
      </w:r>
      <w:r w:rsidR="00001664" w:rsidRPr="00E80090">
        <w:rPr>
          <w:rFonts w:asciiTheme="majorHAnsi" w:hAnsiTheme="majorHAnsi" w:cs="Cambria"/>
          <w:lang w:val="en-GB" w:eastAsia="en-US"/>
        </w:rPr>
        <w:t xml:space="preserve"> its global position and use </w:t>
      </w:r>
      <w:r w:rsidR="00792F29" w:rsidRPr="00E80090">
        <w:rPr>
          <w:rFonts w:asciiTheme="majorHAnsi" w:hAnsiTheme="majorHAnsi" w:cs="Cambria"/>
          <w:lang w:val="en-GB" w:eastAsia="en-US"/>
        </w:rPr>
        <w:t>that</w:t>
      </w:r>
      <w:r w:rsidR="00001664" w:rsidRPr="00E80090">
        <w:rPr>
          <w:rFonts w:asciiTheme="majorHAnsi" w:hAnsiTheme="majorHAnsi" w:cs="Cambria"/>
          <w:lang w:val="en-GB" w:eastAsia="en-US"/>
        </w:rPr>
        <w:t xml:space="preserve"> leverage to get </w:t>
      </w:r>
      <w:r w:rsidRPr="00E80090">
        <w:rPr>
          <w:rFonts w:asciiTheme="majorHAnsi" w:hAnsiTheme="majorHAnsi" w:cs="Cambria"/>
          <w:lang w:val="en-GB" w:eastAsia="en-US"/>
        </w:rPr>
        <w:t xml:space="preserve">a </w:t>
      </w:r>
      <w:r w:rsidR="00887EFA" w:rsidRPr="00E80090">
        <w:rPr>
          <w:rFonts w:asciiTheme="majorHAnsi" w:hAnsiTheme="majorHAnsi" w:cs="Cambria"/>
          <w:lang w:val="en-GB" w:eastAsia="en-US"/>
        </w:rPr>
        <w:t>high</w:t>
      </w:r>
      <w:r w:rsidR="00001664" w:rsidRPr="00E80090">
        <w:rPr>
          <w:rFonts w:asciiTheme="majorHAnsi" w:hAnsiTheme="majorHAnsi" w:cs="Cambria"/>
          <w:lang w:val="en-GB" w:eastAsia="en-US"/>
        </w:rPr>
        <w:t xml:space="preserve"> service level for a </w:t>
      </w:r>
      <w:r w:rsidR="00AE02E7" w:rsidRPr="00E80090">
        <w:rPr>
          <w:rFonts w:asciiTheme="majorHAnsi" w:hAnsiTheme="majorHAnsi" w:cs="Cambria"/>
          <w:lang w:val="en-GB" w:eastAsia="en-US"/>
        </w:rPr>
        <w:t>competit</w:t>
      </w:r>
      <w:r w:rsidR="005B40EE" w:rsidRPr="00E80090">
        <w:rPr>
          <w:rFonts w:asciiTheme="majorHAnsi" w:hAnsiTheme="majorHAnsi" w:cs="Cambria"/>
          <w:lang w:val="en-GB" w:eastAsia="en-US"/>
        </w:rPr>
        <w:t>i</w:t>
      </w:r>
      <w:r w:rsidR="00AE02E7" w:rsidRPr="00E80090">
        <w:rPr>
          <w:rFonts w:asciiTheme="majorHAnsi" w:hAnsiTheme="majorHAnsi" w:cs="Cambria"/>
          <w:lang w:val="en-GB" w:eastAsia="en-US"/>
        </w:rPr>
        <w:t>ve</w:t>
      </w:r>
      <w:r w:rsidR="00001664" w:rsidRPr="00E80090">
        <w:rPr>
          <w:rFonts w:asciiTheme="majorHAnsi" w:hAnsiTheme="majorHAnsi" w:cs="Cambria"/>
          <w:lang w:val="en-GB" w:eastAsia="en-US"/>
        </w:rPr>
        <w:t xml:space="preserve"> price. </w:t>
      </w:r>
    </w:p>
    <w:p w14:paraId="6E584276" w14:textId="77777777" w:rsidR="00001664" w:rsidRPr="00E80090" w:rsidRDefault="00001664" w:rsidP="00CA1E87">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Moreover, the onlin</w:t>
      </w:r>
      <w:r w:rsidR="005B40EE" w:rsidRPr="00E80090">
        <w:rPr>
          <w:rFonts w:asciiTheme="majorHAnsi" w:hAnsiTheme="majorHAnsi" w:cs="Cambria"/>
          <w:lang w:val="en-GB" w:eastAsia="en-US"/>
        </w:rPr>
        <w:t xml:space="preserve">e banking platform of Citibank, </w:t>
      </w:r>
      <w:r w:rsidRPr="00E80090">
        <w:rPr>
          <w:rFonts w:asciiTheme="majorHAnsi" w:hAnsiTheme="majorHAnsi" w:cs="Cambria"/>
          <w:lang w:val="en-GB" w:eastAsia="en-US"/>
        </w:rPr>
        <w:t>CitiDirect allows for a single point access to the cash management activities</w:t>
      </w:r>
      <w:r w:rsidR="00700B7C" w:rsidRPr="00E80090">
        <w:rPr>
          <w:rFonts w:asciiTheme="majorHAnsi" w:hAnsiTheme="majorHAnsi" w:cs="Cambria"/>
          <w:lang w:val="en-GB" w:eastAsia="en-US"/>
        </w:rPr>
        <w:t xml:space="preserve"> of</w:t>
      </w:r>
      <w:r w:rsidRPr="00E80090">
        <w:rPr>
          <w:rFonts w:asciiTheme="majorHAnsi" w:hAnsiTheme="majorHAnsi" w:cs="Cambria"/>
          <w:lang w:val="en-GB" w:eastAsia="en-US"/>
        </w:rPr>
        <w:t xml:space="preserve"> all </w:t>
      </w:r>
      <w:r w:rsidR="00DC7A56" w:rsidRPr="00E80090">
        <w:rPr>
          <w:rFonts w:asciiTheme="majorHAnsi" w:hAnsiTheme="majorHAnsi" w:cs="Cambria"/>
          <w:lang w:val="en-GB" w:eastAsia="en-US"/>
        </w:rPr>
        <w:t>sub</w:t>
      </w:r>
      <w:r w:rsidR="00700B7C" w:rsidRPr="00E80090">
        <w:rPr>
          <w:rFonts w:asciiTheme="majorHAnsi" w:hAnsiTheme="majorHAnsi" w:cs="Cambria"/>
          <w:lang w:val="en-GB" w:eastAsia="en-US"/>
        </w:rPr>
        <w:t>sidiaries linked to it</w:t>
      </w:r>
      <w:r w:rsidRPr="00E80090">
        <w:rPr>
          <w:rFonts w:asciiTheme="majorHAnsi" w:hAnsiTheme="majorHAnsi" w:cs="Cambria"/>
          <w:lang w:val="en-GB" w:eastAsia="en-US"/>
        </w:rPr>
        <w:t xml:space="preserve">. This would </w:t>
      </w:r>
      <w:r w:rsidR="004D37A9" w:rsidRPr="00E80090">
        <w:rPr>
          <w:rFonts w:asciiTheme="majorHAnsi" w:hAnsiTheme="majorHAnsi" w:cs="Cambria"/>
          <w:lang w:val="en-GB" w:eastAsia="en-US"/>
        </w:rPr>
        <w:t>permit</w:t>
      </w:r>
      <w:r w:rsidR="00582129" w:rsidRPr="00E80090">
        <w:rPr>
          <w:rFonts w:asciiTheme="majorHAnsi" w:hAnsiTheme="majorHAnsi" w:cs="Cambria"/>
          <w:lang w:val="en-GB" w:eastAsia="en-US"/>
        </w:rPr>
        <w:t xml:space="preserve"> the</w:t>
      </w:r>
      <w:r w:rsidR="00D14BEF" w:rsidRPr="00E80090">
        <w:rPr>
          <w:rFonts w:asciiTheme="majorHAnsi" w:hAnsiTheme="majorHAnsi" w:cs="Cambria"/>
          <w:lang w:val="en-GB" w:eastAsia="en-US"/>
        </w:rPr>
        <w:t xml:space="preserve"> T</w:t>
      </w:r>
      <w:r w:rsidRPr="00E80090">
        <w:rPr>
          <w:rFonts w:asciiTheme="majorHAnsi" w:hAnsiTheme="majorHAnsi" w:cs="Cambria"/>
          <w:lang w:val="en-GB" w:eastAsia="en-US"/>
        </w:rPr>
        <w:t xml:space="preserve">reasury employees to monitor the transactions executed via the local e-banking system. Thus </w:t>
      </w:r>
      <w:r w:rsidR="00137CC8" w:rsidRPr="00E80090">
        <w:rPr>
          <w:rFonts w:asciiTheme="majorHAnsi" w:hAnsiTheme="majorHAnsi" w:cs="Cambria"/>
          <w:lang w:val="en-GB" w:eastAsia="en-US"/>
        </w:rPr>
        <w:t>the</w:t>
      </w:r>
      <w:r w:rsidRPr="00E80090">
        <w:rPr>
          <w:rFonts w:asciiTheme="majorHAnsi" w:hAnsiTheme="majorHAnsi" w:cs="Cambria"/>
          <w:lang w:val="en-GB" w:eastAsia="en-US"/>
        </w:rPr>
        <w:t xml:space="preserve"> co</w:t>
      </w:r>
      <w:r w:rsidR="0032404E" w:rsidRPr="00E80090">
        <w:rPr>
          <w:rFonts w:asciiTheme="majorHAnsi" w:hAnsiTheme="majorHAnsi" w:cs="Cambria"/>
          <w:lang w:val="en-GB" w:eastAsia="en-US"/>
        </w:rPr>
        <w:t xml:space="preserve">ntrol and transparency </w:t>
      </w:r>
      <w:r w:rsidR="00CD491D" w:rsidRPr="00E80090">
        <w:rPr>
          <w:rFonts w:asciiTheme="majorHAnsi" w:hAnsiTheme="majorHAnsi" w:cs="Cambria"/>
          <w:lang w:val="en-GB" w:eastAsia="en-US"/>
        </w:rPr>
        <w:t xml:space="preserve">at the local level </w:t>
      </w:r>
      <w:r w:rsidR="00D14BEF" w:rsidRPr="00E80090">
        <w:rPr>
          <w:rFonts w:asciiTheme="majorHAnsi" w:hAnsiTheme="majorHAnsi" w:cs="Cambria"/>
          <w:lang w:val="en-GB" w:eastAsia="en-US"/>
        </w:rPr>
        <w:t>can</w:t>
      </w:r>
      <w:r w:rsidR="0032404E" w:rsidRPr="00E80090">
        <w:rPr>
          <w:rFonts w:asciiTheme="majorHAnsi" w:hAnsiTheme="majorHAnsi" w:cs="Cambria"/>
          <w:lang w:val="en-GB" w:eastAsia="en-US"/>
        </w:rPr>
        <w:t xml:space="preserve"> be </w:t>
      </w:r>
      <w:r w:rsidR="00137CC8" w:rsidRPr="00E80090">
        <w:rPr>
          <w:rFonts w:asciiTheme="majorHAnsi" w:hAnsiTheme="majorHAnsi" w:cs="Cambria"/>
          <w:lang w:val="en-GB" w:eastAsia="en-US"/>
        </w:rPr>
        <w:t>improved</w:t>
      </w:r>
      <w:r w:rsidRPr="00E80090">
        <w:rPr>
          <w:rFonts w:asciiTheme="majorHAnsi" w:hAnsiTheme="majorHAnsi" w:cs="Cambria"/>
          <w:lang w:val="en-GB" w:eastAsia="en-US"/>
        </w:rPr>
        <w:t>.</w:t>
      </w:r>
    </w:p>
    <w:p w14:paraId="6E584277" w14:textId="77777777" w:rsidR="00001664" w:rsidRPr="00E80090" w:rsidRDefault="00001664" w:rsidP="0049054F">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Additionally, Sun Chemical already has experience with Citibank in some of the CEE countries. For instance, in Bulgaria and Romania</w:t>
      </w:r>
      <w:r w:rsidR="00572A10" w:rsidRPr="00E80090">
        <w:rPr>
          <w:rFonts w:asciiTheme="majorHAnsi" w:hAnsiTheme="majorHAnsi" w:cs="Cambria"/>
          <w:lang w:val="en-GB" w:eastAsia="en-US"/>
        </w:rPr>
        <w:t>,</w:t>
      </w:r>
      <w:r w:rsidRPr="00E80090">
        <w:rPr>
          <w:rFonts w:asciiTheme="majorHAnsi" w:hAnsiTheme="majorHAnsi" w:cs="Cambria"/>
          <w:lang w:val="en-GB" w:eastAsia="en-US"/>
        </w:rPr>
        <w:t xml:space="preserve"> the company has joint v</w:t>
      </w:r>
      <w:r w:rsidR="00C83087" w:rsidRPr="00E80090">
        <w:rPr>
          <w:rFonts w:asciiTheme="majorHAnsi" w:hAnsiTheme="majorHAnsi" w:cs="Cambria"/>
          <w:lang w:val="en-GB" w:eastAsia="en-US"/>
        </w:rPr>
        <w:t xml:space="preserve">enture </w:t>
      </w:r>
      <w:r w:rsidR="00176339" w:rsidRPr="00E80090">
        <w:rPr>
          <w:rFonts w:asciiTheme="majorHAnsi" w:hAnsiTheme="majorHAnsi" w:cs="Cambria"/>
          <w:lang w:val="en-GB" w:eastAsia="en-US"/>
        </w:rPr>
        <w:t>businesses</w:t>
      </w:r>
      <w:r w:rsidR="00C83087" w:rsidRPr="00E80090">
        <w:rPr>
          <w:rFonts w:asciiTheme="majorHAnsi" w:hAnsiTheme="majorHAnsi" w:cs="Cambria"/>
          <w:lang w:val="en-GB" w:eastAsia="en-US"/>
        </w:rPr>
        <w:t xml:space="preserve"> with Delta BV. These are</w:t>
      </w:r>
      <w:r w:rsidRPr="00E80090">
        <w:rPr>
          <w:rFonts w:asciiTheme="majorHAnsi" w:hAnsiTheme="majorHAnsi" w:cs="Cambria"/>
          <w:lang w:val="en-GB" w:eastAsia="en-US"/>
        </w:rPr>
        <w:t xml:space="preserve"> </w:t>
      </w:r>
      <w:r w:rsidR="00176339" w:rsidRPr="00E80090">
        <w:rPr>
          <w:rFonts w:asciiTheme="majorHAnsi" w:hAnsiTheme="majorHAnsi" w:cs="Cambria"/>
          <w:lang w:val="en-GB" w:eastAsia="en-US"/>
        </w:rPr>
        <w:t>entities different</w:t>
      </w:r>
      <w:r w:rsidR="00C83087" w:rsidRPr="00E80090">
        <w:rPr>
          <w:rFonts w:asciiTheme="majorHAnsi" w:hAnsiTheme="majorHAnsi" w:cs="Cambria"/>
          <w:lang w:val="en-GB" w:eastAsia="en-US"/>
        </w:rPr>
        <w:t xml:space="preserve"> from the branches in scope and </w:t>
      </w:r>
      <w:r w:rsidRPr="00E80090">
        <w:rPr>
          <w:rFonts w:asciiTheme="majorHAnsi" w:hAnsiTheme="majorHAnsi" w:cs="Cambria"/>
          <w:lang w:val="en-GB" w:eastAsia="en-US"/>
        </w:rPr>
        <w:t xml:space="preserve">have already undergone the migration to Citibank. This experience can be used in the current project for faster and easier execution. </w:t>
      </w:r>
    </w:p>
    <w:p w14:paraId="6E584278" w14:textId="77777777" w:rsidR="003C3964" w:rsidRPr="00E80090" w:rsidRDefault="00001664" w:rsidP="007623BC">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Finally, </w:t>
      </w:r>
      <w:r w:rsidR="004D37A9" w:rsidRPr="00E80090">
        <w:rPr>
          <w:rFonts w:asciiTheme="majorHAnsi" w:hAnsiTheme="majorHAnsi" w:cs="Cambria"/>
          <w:lang w:val="en-GB" w:eastAsia="en-US"/>
        </w:rPr>
        <w:t>adding</w:t>
      </w:r>
      <w:r w:rsidRPr="00E80090">
        <w:rPr>
          <w:rFonts w:asciiTheme="majorHAnsi" w:hAnsiTheme="majorHAnsi" w:cs="Cambria"/>
          <w:lang w:val="en-GB" w:eastAsia="en-US"/>
        </w:rPr>
        <w:t xml:space="preserve"> </w:t>
      </w:r>
      <w:r w:rsidR="00491197" w:rsidRPr="00E80090">
        <w:rPr>
          <w:rFonts w:asciiTheme="majorHAnsi" w:hAnsiTheme="majorHAnsi" w:cs="Cambria"/>
          <w:lang w:val="en-GB" w:eastAsia="en-US"/>
        </w:rPr>
        <w:t xml:space="preserve">these </w:t>
      </w:r>
      <w:r w:rsidR="008259FC" w:rsidRPr="00E80090">
        <w:rPr>
          <w:rFonts w:asciiTheme="majorHAnsi" w:hAnsiTheme="majorHAnsi" w:cs="Cambria"/>
          <w:lang w:val="en-GB" w:eastAsia="en-US"/>
        </w:rPr>
        <w:t>subsidiaries</w:t>
      </w:r>
      <w:r w:rsidRPr="00E80090">
        <w:rPr>
          <w:rFonts w:asciiTheme="majorHAnsi" w:hAnsiTheme="majorHAnsi" w:cs="Cambria"/>
          <w:lang w:val="en-GB" w:eastAsia="en-US"/>
        </w:rPr>
        <w:t xml:space="preserve"> to the global </w:t>
      </w:r>
      <w:r w:rsidR="00551618" w:rsidRPr="00E80090">
        <w:rPr>
          <w:rFonts w:asciiTheme="majorHAnsi" w:hAnsiTheme="majorHAnsi" w:cs="Cambria"/>
          <w:lang w:val="en-GB" w:eastAsia="en-US"/>
        </w:rPr>
        <w:t>CitiDirect</w:t>
      </w:r>
      <w:r w:rsidRPr="00E80090">
        <w:rPr>
          <w:rFonts w:asciiTheme="majorHAnsi" w:hAnsiTheme="majorHAnsi" w:cs="Cambria"/>
          <w:lang w:val="en-GB" w:eastAsia="en-US"/>
        </w:rPr>
        <w:t xml:space="preserve"> platform provides future opportu</w:t>
      </w:r>
      <w:r w:rsidR="00491197" w:rsidRPr="00E80090">
        <w:rPr>
          <w:rFonts w:asciiTheme="majorHAnsi" w:hAnsiTheme="majorHAnsi" w:cs="Cambria"/>
          <w:lang w:val="en-GB" w:eastAsia="en-US"/>
        </w:rPr>
        <w:t>nities for them</w:t>
      </w:r>
      <w:r w:rsidR="004D37A9" w:rsidRPr="00E80090">
        <w:rPr>
          <w:rFonts w:asciiTheme="majorHAnsi" w:hAnsiTheme="majorHAnsi" w:cs="Cambria"/>
          <w:lang w:val="en-GB" w:eastAsia="en-US"/>
        </w:rPr>
        <w:t xml:space="preserve"> to </w:t>
      </w:r>
      <w:r w:rsidR="00AD6038" w:rsidRPr="00E80090">
        <w:rPr>
          <w:rFonts w:asciiTheme="majorHAnsi" w:hAnsiTheme="majorHAnsi" w:cs="Cambria"/>
          <w:lang w:val="en-GB" w:eastAsia="en-US"/>
        </w:rPr>
        <w:t xml:space="preserve">become users of </w:t>
      </w:r>
      <w:r w:rsidR="004D37A9" w:rsidRPr="00E80090">
        <w:rPr>
          <w:rFonts w:asciiTheme="majorHAnsi" w:hAnsiTheme="majorHAnsi" w:cs="Cambria"/>
          <w:lang w:val="en-GB" w:eastAsia="en-US"/>
        </w:rPr>
        <w:t>the company</w:t>
      </w:r>
      <w:r w:rsidR="00AD6038" w:rsidRPr="00E80090">
        <w:rPr>
          <w:rFonts w:asciiTheme="majorHAnsi" w:hAnsiTheme="majorHAnsi" w:cs="Cambria"/>
          <w:lang w:val="en-GB" w:eastAsia="en-US"/>
        </w:rPr>
        <w:t>-wide</w:t>
      </w:r>
      <w:r w:rsidR="004D37A9" w:rsidRPr="00E80090">
        <w:rPr>
          <w:rFonts w:asciiTheme="majorHAnsi" w:hAnsiTheme="majorHAnsi" w:cs="Cambria"/>
          <w:lang w:val="en-GB" w:eastAsia="en-US"/>
        </w:rPr>
        <w:t xml:space="preserve"> Enterprise Resource Planning (ERP) system</w:t>
      </w:r>
      <w:r w:rsidR="008B2318" w:rsidRPr="00E80090">
        <w:rPr>
          <w:rFonts w:asciiTheme="majorHAnsi" w:hAnsiTheme="majorHAnsi" w:cs="Cambria"/>
          <w:lang w:val="en-GB" w:eastAsia="en-US"/>
        </w:rPr>
        <w:t>,</w:t>
      </w:r>
      <w:r w:rsidR="00AD6038" w:rsidRPr="00E80090">
        <w:rPr>
          <w:rFonts w:asciiTheme="majorHAnsi" w:hAnsiTheme="majorHAnsi" w:cs="Cambria"/>
          <w:lang w:val="en-GB" w:eastAsia="en-US"/>
        </w:rPr>
        <w:t xml:space="preserve"> SAP</w:t>
      </w:r>
      <w:r w:rsidR="004D37A9" w:rsidRPr="00E80090">
        <w:rPr>
          <w:rFonts w:asciiTheme="majorHAnsi" w:hAnsiTheme="majorHAnsi" w:cs="Cambria"/>
          <w:lang w:val="en-GB" w:eastAsia="en-US"/>
        </w:rPr>
        <w:t xml:space="preserve">. </w:t>
      </w:r>
      <w:r w:rsidR="00AD6038" w:rsidRPr="00E80090">
        <w:rPr>
          <w:rFonts w:asciiTheme="majorHAnsi" w:hAnsiTheme="majorHAnsi" w:cs="Cambria"/>
          <w:lang w:val="en-GB" w:eastAsia="en-US"/>
        </w:rPr>
        <w:t xml:space="preserve">SAP </w:t>
      </w:r>
      <w:r w:rsidR="00602022" w:rsidRPr="00E80090">
        <w:rPr>
          <w:rFonts w:asciiTheme="majorHAnsi" w:hAnsiTheme="majorHAnsi" w:cs="Cambria"/>
          <w:lang w:val="en-GB" w:eastAsia="en-US"/>
        </w:rPr>
        <w:t xml:space="preserve">integrates internal and external information across the </w:t>
      </w:r>
      <w:r w:rsidR="0076619B" w:rsidRPr="00E80090">
        <w:rPr>
          <w:rFonts w:asciiTheme="majorHAnsi" w:hAnsiTheme="majorHAnsi" w:cs="Cambria"/>
          <w:lang w:val="en-GB" w:eastAsia="en-US"/>
        </w:rPr>
        <w:t>entire</w:t>
      </w:r>
      <w:r w:rsidR="00602022" w:rsidRPr="00E80090">
        <w:rPr>
          <w:rFonts w:asciiTheme="majorHAnsi" w:hAnsiTheme="majorHAnsi" w:cs="Cambria"/>
          <w:lang w:val="en-GB" w:eastAsia="en-US"/>
        </w:rPr>
        <w:t xml:space="preserve"> organization and makes it accessible </w:t>
      </w:r>
      <w:r w:rsidR="00513555" w:rsidRPr="00E80090">
        <w:rPr>
          <w:rFonts w:asciiTheme="majorHAnsi" w:hAnsiTheme="majorHAnsi" w:cs="Cambria"/>
          <w:lang w:val="en-GB" w:eastAsia="en-US"/>
        </w:rPr>
        <w:t>for</w:t>
      </w:r>
      <w:r w:rsidR="00602022" w:rsidRPr="00E80090">
        <w:rPr>
          <w:rFonts w:asciiTheme="majorHAnsi" w:hAnsiTheme="majorHAnsi" w:cs="Cambria"/>
          <w:lang w:val="en-GB" w:eastAsia="en-US"/>
        </w:rPr>
        <w:t xml:space="preserve"> the authorized personnel </w:t>
      </w:r>
      <w:r w:rsidR="00513555" w:rsidRPr="00E80090">
        <w:rPr>
          <w:rFonts w:asciiTheme="majorHAnsi" w:hAnsiTheme="majorHAnsi" w:cs="Cambria"/>
          <w:lang w:val="en-GB" w:eastAsia="en-US"/>
        </w:rPr>
        <w:t>regardless of their location</w:t>
      </w:r>
      <w:sdt>
        <w:sdtPr>
          <w:rPr>
            <w:rFonts w:asciiTheme="majorHAnsi" w:hAnsiTheme="majorHAnsi" w:cs="Cambria"/>
            <w:lang w:val="en-GB" w:eastAsia="en-US"/>
          </w:rPr>
          <w:id w:val="-289677000"/>
          <w:citation/>
        </w:sdtPr>
        <w:sdtEndPr/>
        <w:sdtContent>
          <w:r w:rsidR="00DC7A56" w:rsidRPr="00E80090">
            <w:rPr>
              <w:rFonts w:asciiTheme="majorHAnsi" w:hAnsiTheme="majorHAnsi" w:cs="Cambria"/>
              <w:lang w:val="en-GB" w:eastAsia="en-US"/>
            </w:rPr>
            <w:fldChar w:fldCharType="begin"/>
          </w:r>
          <w:r w:rsidR="00DC7A56" w:rsidRPr="00E80090">
            <w:rPr>
              <w:rFonts w:asciiTheme="majorHAnsi" w:hAnsiTheme="majorHAnsi" w:cs="Cambria"/>
              <w:lang w:eastAsia="en-US"/>
            </w:rPr>
            <w:instrText xml:space="preserve"> CITATION Kri10 \l 1033 </w:instrText>
          </w:r>
          <w:r w:rsidR="00DC7A56" w:rsidRPr="00E80090">
            <w:rPr>
              <w:rFonts w:asciiTheme="majorHAnsi" w:hAnsiTheme="majorHAnsi" w:cs="Cambria"/>
              <w:lang w:val="en-GB" w:eastAsia="en-US"/>
            </w:rPr>
            <w:fldChar w:fldCharType="separate"/>
          </w:r>
          <w:r w:rsidR="004D1237" w:rsidRPr="00E80090">
            <w:rPr>
              <w:rFonts w:asciiTheme="majorHAnsi" w:hAnsiTheme="majorHAnsi" w:cs="Cambria"/>
              <w:noProof/>
              <w:lang w:eastAsia="en-US"/>
            </w:rPr>
            <w:t xml:space="preserve"> (Rungta, 2010)</w:t>
          </w:r>
          <w:r w:rsidR="00DC7A56" w:rsidRPr="00E80090">
            <w:rPr>
              <w:rFonts w:asciiTheme="majorHAnsi" w:hAnsiTheme="majorHAnsi" w:cs="Cambria"/>
              <w:lang w:val="en-GB" w:eastAsia="en-US"/>
            </w:rPr>
            <w:fldChar w:fldCharType="end"/>
          </w:r>
        </w:sdtContent>
      </w:sdt>
      <w:r w:rsidR="00602022" w:rsidRPr="00E80090">
        <w:rPr>
          <w:rFonts w:asciiTheme="majorHAnsi" w:hAnsiTheme="majorHAnsi" w:cs="Cambria"/>
          <w:lang w:val="en-GB" w:eastAsia="en-US"/>
        </w:rPr>
        <w:t xml:space="preserve">. </w:t>
      </w:r>
      <w:r w:rsidR="00993144" w:rsidRPr="00E80090">
        <w:rPr>
          <w:rFonts w:asciiTheme="majorHAnsi" w:hAnsiTheme="majorHAnsi" w:cs="Cambria"/>
          <w:lang w:val="en-GB" w:eastAsia="en-US"/>
        </w:rPr>
        <w:t xml:space="preserve">In this way local data </w:t>
      </w:r>
      <w:r w:rsidR="00672688" w:rsidRPr="00E80090">
        <w:rPr>
          <w:rFonts w:asciiTheme="majorHAnsi" w:hAnsiTheme="majorHAnsi" w:cs="Cambria"/>
          <w:lang w:val="en-GB" w:eastAsia="en-US"/>
        </w:rPr>
        <w:t xml:space="preserve">from all business activities </w:t>
      </w:r>
      <w:r w:rsidR="00993144" w:rsidRPr="00E80090">
        <w:rPr>
          <w:rFonts w:asciiTheme="majorHAnsi" w:hAnsiTheme="majorHAnsi" w:cs="Cambria"/>
          <w:lang w:val="en-GB" w:eastAsia="en-US"/>
        </w:rPr>
        <w:t>can be easily monitored centrally.</w:t>
      </w:r>
      <w:r w:rsidR="003A0B5C" w:rsidRPr="00E80090">
        <w:rPr>
          <w:rFonts w:asciiTheme="majorHAnsi" w:hAnsiTheme="majorHAnsi" w:cs="Cambria"/>
          <w:lang w:val="en-GB" w:eastAsia="en-US"/>
        </w:rPr>
        <w:t xml:space="preserve"> </w:t>
      </w:r>
      <w:r w:rsidR="003C3964" w:rsidRPr="00E80090">
        <w:rPr>
          <w:rFonts w:asciiTheme="majorHAnsi" w:hAnsiTheme="majorHAnsi" w:cs="Cambria"/>
          <w:lang w:val="en-GB" w:eastAsia="en-US"/>
        </w:rPr>
        <w:t xml:space="preserve">The system used by Sun Chemical is linked to the </w:t>
      </w:r>
      <w:r w:rsidR="0076619B" w:rsidRPr="00E80090">
        <w:rPr>
          <w:rFonts w:asciiTheme="majorHAnsi" w:hAnsiTheme="majorHAnsi" w:cs="Cambria"/>
          <w:lang w:val="en-GB" w:eastAsia="en-US"/>
        </w:rPr>
        <w:t>corporate</w:t>
      </w:r>
      <w:r w:rsidR="003C3964" w:rsidRPr="00E80090">
        <w:rPr>
          <w:rFonts w:asciiTheme="majorHAnsi" w:hAnsiTheme="majorHAnsi" w:cs="Cambria"/>
          <w:lang w:val="en-GB" w:eastAsia="en-US"/>
        </w:rPr>
        <w:t xml:space="preserve"> Citibank platform. As a result</w:t>
      </w:r>
      <w:r w:rsidR="0076619B" w:rsidRPr="00E80090">
        <w:rPr>
          <w:rFonts w:asciiTheme="majorHAnsi" w:hAnsiTheme="majorHAnsi" w:cs="Cambria"/>
          <w:lang w:val="en-GB" w:eastAsia="en-US"/>
        </w:rPr>
        <w:t>,</w:t>
      </w:r>
      <w:r w:rsidR="003C3964" w:rsidRPr="00E80090">
        <w:rPr>
          <w:rFonts w:asciiTheme="majorHAnsi" w:hAnsiTheme="majorHAnsi" w:cs="Cambria"/>
          <w:lang w:val="en-GB" w:eastAsia="en-US"/>
        </w:rPr>
        <w:t xml:space="preserve"> only entities working with Citibank can make use of the SAP system.</w:t>
      </w:r>
      <w:r w:rsidR="008B2318" w:rsidRPr="00E80090">
        <w:rPr>
          <w:rFonts w:asciiTheme="majorHAnsi" w:hAnsiTheme="majorHAnsi" w:cs="Cambria"/>
          <w:lang w:val="en-GB" w:eastAsia="en-US"/>
        </w:rPr>
        <w:t xml:space="preserve"> At the moment such transition is not possible because of the high costs related to it, but the company would like to have the option open for the future.</w:t>
      </w:r>
    </w:p>
    <w:p w14:paraId="6E584279" w14:textId="77777777" w:rsidR="00001664" w:rsidRPr="00E80090" w:rsidRDefault="00F57517" w:rsidP="00261CC3">
      <w:pPr>
        <w:pStyle w:val="Kop2"/>
        <w:numPr>
          <w:ilvl w:val="2"/>
          <w:numId w:val="12"/>
        </w:numPr>
        <w:spacing w:line="360" w:lineRule="auto"/>
        <w:rPr>
          <w:rFonts w:asciiTheme="majorHAnsi" w:hAnsiTheme="majorHAnsi"/>
          <w:sz w:val="24"/>
          <w:szCs w:val="24"/>
          <w:lang w:val="en-GB"/>
        </w:rPr>
      </w:pPr>
      <w:bookmarkStart w:id="98" w:name="_Toc368290354"/>
      <w:r w:rsidRPr="00E80090">
        <w:rPr>
          <w:rFonts w:asciiTheme="majorHAnsi" w:hAnsiTheme="majorHAnsi"/>
          <w:sz w:val="24"/>
          <w:szCs w:val="24"/>
          <w:lang w:val="en-GB"/>
        </w:rPr>
        <w:t>UniCredit</w:t>
      </w:r>
      <w:bookmarkEnd w:id="98"/>
    </w:p>
    <w:p w14:paraId="6E58427A" w14:textId="77777777" w:rsidR="00001664" w:rsidRPr="00E80090" w:rsidRDefault="00001664" w:rsidP="00261CC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In the countries where Citibank is not present </w:t>
      </w:r>
      <w:r w:rsidR="00587DA1" w:rsidRPr="00E80090">
        <w:rPr>
          <w:rFonts w:asciiTheme="majorHAnsi" w:hAnsiTheme="majorHAnsi" w:cs="Cambria"/>
          <w:lang w:val="en-GB" w:eastAsia="en-US"/>
        </w:rPr>
        <w:t>Sun Chemical has</w:t>
      </w:r>
      <w:r w:rsidRPr="00E80090">
        <w:rPr>
          <w:rFonts w:asciiTheme="majorHAnsi" w:hAnsiTheme="majorHAnsi" w:cs="Cambria"/>
          <w:lang w:val="en-GB" w:eastAsia="en-US"/>
        </w:rPr>
        <w:t xml:space="preserve"> </w:t>
      </w:r>
      <w:r w:rsidR="00E72D55" w:rsidRPr="00E80090">
        <w:rPr>
          <w:rFonts w:asciiTheme="majorHAnsi" w:hAnsiTheme="majorHAnsi" w:cs="Cambria"/>
          <w:lang w:val="en-GB" w:eastAsia="en-US"/>
        </w:rPr>
        <w:t>chosen</w:t>
      </w:r>
      <w:r w:rsidRPr="00E80090">
        <w:rPr>
          <w:rFonts w:asciiTheme="majorHAnsi" w:hAnsiTheme="majorHAnsi" w:cs="Cambria"/>
          <w:lang w:val="en-GB" w:eastAsia="en-US"/>
        </w:rPr>
        <w:t xml:space="preserve"> </w:t>
      </w:r>
      <w:r w:rsidR="00F57517" w:rsidRPr="00E80090">
        <w:rPr>
          <w:rFonts w:asciiTheme="majorHAnsi" w:hAnsiTheme="majorHAnsi" w:cs="Cambria"/>
          <w:lang w:val="en-GB" w:eastAsia="en-US"/>
        </w:rPr>
        <w:t>UniCredit</w:t>
      </w:r>
      <w:r w:rsidR="00E50303" w:rsidRPr="00E80090">
        <w:rPr>
          <w:rFonts w:asciiTheme="majorHAnsi" w:hAnsiTheme="majorHAnsi" w:cs="Cambria"/>
          <w:lang w:val="en-GB" w:eastAsia="en-US"/>
        </w:rPr>
        <w:t xml:space="preserve"> for the migration project</w:t>
      </w:r>
      <w:r w:rsidRPr="00E80090">
        <w:rPr>
          <w:rFonts w:asciiTheme="majorHAnsi" w:hAnsiTheme="majorHAnsi" w:cs="Cambria"/>
          <w:lang w:val="en-GB" w:eastAsia="en-US"/>
        </w:rPr>
        <w:t xml:space="preserve">. </w:t>
      </w:r>
      <w:r w:rsidR="00CA23F1" w:rsidRPr="00E80090">
        <w:rPr>
          <w:rFonts w:asciiTheme="majorHAnsi" w:hAnsiTheme="majorHAnsi" w:cs="Cambria"/>
          <w:lang w:val="en-GB" w:eastAsia="en-US"/>
        </w:rPr>
        <w:t>The bank</w:t>
      </w:r>
      <w:r w:rsidRPr="00E80090">
        <w:rPr>
          <w:rFonts w:asciiTheme="majorHAnsi" w:hAnsiTheme="majorHAnsi" w:cs="Cambria"/>
          <w:lang w:val="en-GB" w:eastAsia="en-US"/>
        </w:rPr>
        <w:t xml:space="preserve"> has a strong presence in the region and holds </w:t>
      </w:r>
      <w:r w:rsidR="003A6782" w:rsidRPr="00E80090">
        <w:rPr>
          <w:rFonts w:asciiTheme="majorHAnsi" w:hAnsiTheme="majorHAnsi" w:cs="Cambria"/>
          <w:lang w:val="en-GB" w:eastAsia="en-US"/>
        </w:rPr>
        <w:t>a</w:t>
      </w:r>
      <w:r w:rsidRPr="00E80090">
        <w:rPr>
          <w:rFonts w:asciiTheme="majorHAnsi" w:hAnsiTheme="majorHAnsi" w:cs="Cambria"/>
          <w:lang w:val="en-GB" w:eastAsia="en-US"/>
        </w:rPr>
        <w:t xml:space="preserve"> leadership position in the countries in scope. The long term commitment to the region shown by UniCredit is </w:t>
      </w:r>
      <w:r w:rsidR="005F032A" w:rsidRPr="00E80090">
        <w:rPr>
          <w:rFonts w:asciiTheme="majorHAnsi" w:hAnsiTheme="majorHAnsi" w:cs="Cambria"/>
          <w:lang w:val="en-GB" w:eastAsia="en-US"/>
        </w:rPr>
        <w:t>important to Sun Chemical</w:t>
      </w:r>
      <w:r w:rsidRPr="00E80090">
        <w:rPr>
          <w:rFonts w:asciiTheme="majorHAnsi" w:hAnsiTheme="majorHAnsi" w:cs="Cambria"/>
          <w:lang w:val="en-GB" w:eastAsia="en-US"/>
        </w:rPr>
        <w:t xml:space="preserve"> as it would not be feasible for the company to repeat the migration process soon after its implementation. </w:t>
      </w:r>
    </w:p>
    <w:p w14:paraId="6E58427B" w14:textId="77777777" w:rsidR="00001664" w:rsidRPr="00E80090" w:rsidRDefault="00CA23F1" w:rsidP="00261CC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Sun Chemical already </w:t>
      </w:r>
      <w:r w:rsidR="00F363D7" w:rsidRPr="00E80090">
        <w:rPr>
          <w:rFonts w:asciiTheme="majorHAnsi" w:hAnsiTheme="majorHAnsi" w:cs="Cambria"/>
          <w:lang w:val="en-GB" w:eastAsia="en-US"/>
        </w:rPr>
        <w:t>works</w:t>
      </w:r>
      <w:r w:rsidRPr="00E80090">
        <w:rPr>
          <w:rFonts w:asciiTheme="majorHAnsi" w:hAnsiTheme="majorHAnsi" w:cs="Cambria"/>
          <w:lang w:val="en-GB" w:eastAsia="en-US"/>
        </w:rPr>
        <w:t xml:space="preserve"> with </w:t>
      </w:r>
      <w:r w:rsidR="00001664" w:rsidRPr="00E80090">
        <w:rPr>
          <w:rFonts w:asciiTheme="majorHAnsi" w:hAnsiTheme="majorHAnsi" w:cs="Cambria"/>
          <w:lang w:val="en-GB" w:eastAsia="en-US"/>
        </w:rPr>
        <w:t xml:space="preserve">UniCredit in </w:t>
      </w:r>
      <w:r w:rsidR="00A73E42" w:rsidRPr="00E80090">
        <w:rPr>
          <w:rFonts w:asciiTheme="majorHAnsi" w:hAnsiTheme="majorHAnsi" w:cs="Cambria"/>
          <w:lang w:val="en-GB" w:eastAsia="en-US"/>
        </w:rPr>
        <w:t>three</w:t>
      </w:r>
      <w:r w:rsidR="00F363D7" w:rsidRPr="00E80090">
        <w:rPr>
          <w:rFonts w:asciiTheme="majorHAnsi" w:hAnsiTheme="majorHAnsi" w:cs="Cambria"/>
          <w:lang w:val="en-GB" w:eastAsia="en-US"/>
        </w:rPr>
        <w:t xml:space="preserve"> </w:t>
      </w:r>
      <w:r w:rsidR="00001664" w:rsidRPr="00E80090">
        <w:rPr>
          <w:rFonts w:asciiTheme="majorHAnsi" w:hAnsiTheme="majorHAnsi" w:cs="Cambria"/>
          <w:lang w:val="en-GB" w:eastAsia="en-US"/>
        </w:rPr>
        <w:t xml:space="preserve">CEE </w:t>
      </w:r>
      <w:r w:rsidR="00F363D7" w:rsidRPr="00E80090">
        <w:rPr>
          <w:rFonts w:asciiTheme="majorHAnsi" w:hAnsiTheme="majorHAnsi" w:cs="Cambria"/>
          <w:lang w:val="en-GB" w:eastAsia="en-US"/>
        </w:rPr>
        <w:t>countries – Serbia, Ukraine and Hungary</w:t>
      </w:r>
      <w:r w:rsidR="00001664" w:rsidRPr="00E80090">
        <w:rPr>
          <w:rFonts w:asciiTheme="majorHAnsi" w:hAnsiTheme="majorHAnsi" w:cs="Cambria"/>
          <w:lang w:val="en-GB" w:eastAsia="en-US"/>
        </w:rPr>
        <w:t xml:space="preserve">. Bringing more </w:t>
      </w:r>
      <w:r w:rsidR="00C76475" w:rsidRPr="00E80090">
        <w:rPr>
          <w:rFonts w:asciiTheme="majorHAnsi" w:hAnsiTheme="majorHAnsi" w:cs="Cambria"/>
          <w:lang w:val="en-GB" w:eastAsia="en-US"/>
        </w:rPr>
        <w:t>business</w:t>
      </w:r>
      <w:r w:rsidR="00001664" w:rsidRPr="00E80090">
        <w:rPr>
          <w:rFonts w:asciiTheme="majorHAnsi" w:hAnsiTheme="majorHAnsi" w:cs="Cambria"/>
          <w:lang w:val="en-GB" w:eastAsia="en-US"/>
        </w:rPr>
        <w:t xml:space="preserve"> </w:t>
      </w:r>
      <w:r w:rsidR="005F032A" w:rsidRPr="00E80090">
        <w:rPr>
          <w:rFonts w:asciiTheme="majorHAnsi" w:hAnsiTheme="majorHAnsi" w:cs="Cambria"/>
          <w:lang w:val="en-GB" w:eastAsia="en-US"/>
        </w:rPr>
        <w:t>to the bank</w:t>
      </w:r>
      <w:r w:rsidR="00001664" w:rsidRPr="00E80090">
        <w:rPr>
          <w:rFonts w:asciiTheme="majorHAnsi" w:hAnsiTheme="majorHAnsi" w:cs="Cambria"/>
          <w:lang w:val="en-GB" w:eastAsia="en-US"/>
        </w:rPr>
        <w:t xml:space="preserve"> would strengthen this relationship and may create</w:t>
      </w:r>
      <w:r w:rsidR="00A73E42" w:rsidRPr="00E80090">
        <w:rPr>
          <w:rFonts w:asciiTheme="majorHAnsi" w:hAnsiTheme="majorHAnsi" w:cs="Cambria"/>
          <w:lang w:val="en-GB" w:eastAsia="en-US"/>
        </w:rPr>
        <w:t xml:space="preserve"> leverage for the company when pricing </w:t>
      </w:r>
      <w:r w:rsidR="001D6131" w:rsidRPr="00E80090">
        <w:rPr>
          <w:rFonts w:asciiTheme="majorHAnsi" w:hAnsiTheme="majorHAnsi" w:cs="Cambria"/>
          <w:lang w:val="en-GB" w:eastAsia="en-US"/>
        </w:rPr>
        <w:t>and service level are</w:t>
      </w:r>
      <w:r w:rsidR="00A73E42" w:rsidRPr="00E80090">
        <w:rPr>
          <w:rFonts w:asciiTheme="majorHAnsi" w:hAnsiTheme="majorHAnsi" w:cs="Cambria"/>
          <w:lang w:val="en-GB" w:eastAsia="en-US"/>
        </w:rPr>
        <w:t xml:space="preserve"> concerned</w:t>
      </w:r>
      <w:r w:rsidR="00001664" w:rsidRPr="00E80090">
        <w:rPr>
          <w:rFonts w:asciiTheme="majorHAnsi" w:hAnsiTheme="majorHAnsi" w:cs="Cambria"/>
          <w:lang w:val="en-GB" w:eastAsia="en-US"/>
        </w:rPr>
        <w:t xml:space="preserve">. </w:t>
      </w:r>
    </w:p>
    <w:p w14:paraId="6E58427C" w14:textId="77777777" w:rsidR="004F0551" w:rsidRPr="00E80090" w:rsidRDefault="004F0551">
      <w:pPr>
        <w:rPr>
          <w:rFonts w:asciiTheme="majorHAnsi" w:hAnsiTheme="majorHAnsi" w:cs="Cambria"/>
          <w:b/>
          <w:bCs/>
          <w:color w:val="4F81BD"/>
          <w:sz w:val="26"/>
          <w:szCs w:val="26"/>
          <w:lang w:val="en-GB"/>
        </w:rPr>
      </w:pPr>
      <w:bookmarkStart w:id="99" w:name="_Toc359145832"/>
      <w:bookmarkStart w:id="100" w:name="_Toc359408857"/>
      <w:bookmarkStart w:id="101" w:name="_Toc360633025"/>
      <w:r w:rsidRPr="00E80090">
        <w:rPr>
          <w:rFonts w:asciiTheme="majorHAnsi" w:hAnsiTheme="majorHAnsi"/>
          <w:lang w:val="en-GB"/>
        </w:rPr>
        <w:br w:type="page"/>
      </w:r>
    </w:p>
    <w:p w14:paraId="6E58427D" w14:textId="77777777" w:rsidR="00001664" w:rsidRPr="00E80090" w:rsidRDefault="00B87440" w:rsidP="00261CC3">
      <w:pPr>
        <w:pStyle w:val="Kop2"/>
        <w:numPr>
          <w:ilvl w:val="1"/>
          <w:numId w:val="12"/>
        </w:numPr>
        <w:spacing w:line="360" w:lineRule="auto"/>
        <w:rPr>
          <w:rFonts w:asciiTheme="majorHAnsi" w:hAnsiTheme="majorHAnsi"/>
          <w:lang w:val="en-GB"/>
        </w:rPr>
      </w:pPr>
      <w:bookmarkStart w:id="102" w:name="_Toc368290355"/>
      <w:r w:rsidRPr="00E80090">
        <w:rPr>
          <w:rFonts w:asciiTheme="majorHAnsi" w:hAnsiTheme="majorHAnsi"/>
          <w:lang w:val="en-GB"/>
        </w:rPr>
        <w:lastRenderedPageBreak/>
        <w:t>Cost analysis</w:t>
      </w:r>
      <w:bookmarkEnd w:id="99"/>
      <w:bookmarkEnd w:id="100"/>
      <w:bookmarkEnd w:id="101"/>
      <w:bookmarkEnd w:id="102"/>
    </w:p>
    <w:p w14:paraId="6E58427E" w14:textId="77777777" w:rsidR="00FC488F" w:rsidRPr="00E80090" w:rsidRDefault="00FC488F" w:rsidP="00FC488F">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This section examines </w:t>
      </w:r>
      <w:r w:rsidR="001662B6" w:rsidRPr="00E80090">
        <w:rPr>
          <w:rFonts w:asciiTheme="majorHAnsi" w:hAnsiTheme="majorHAnsi" w:cs="Cambria"/>
          <w:lang w:val="en-GB" w:eastAsia="en-US"/>
        </w:rPr>
        <w:t xml:space="preserve">the </w:t>
      </w:r>
      <w:r w:rsidR="008D3041" w:rsidRPr="00E80090">
        <w:rPr>
          <w:rFonts w:asciiTheme="majorHAnsi" w:hAnsiTheme="majorHAnsi" w:cs="Cambria"/>
          <w:lang w:val="en-GB" w:eastAsia="en-US"/>
        </w:rPr>
        <w:t xml:space="preserve">financial </w:t>
      </w:r>
      <w:r w:rsidR="001662B6" w:rsidRPr="00E80090">
        <w:rPr>
          <w:rFonts w:asciiTheme="majorHAnsi" w:hAnsiTheme="majorHAnsi" w:cs="Cambria"/>
          <w:lang w:val="en-GB" w:eastAsia="en-US"/>
        </w:rPr>
        <w:t>effect</w:t>
      </w:r>
      <w:r w:rsidR="00E600DA" w:rsidRPr="00E80090">
        <w:rPr>
          <w:rFonts w:asciiTheme="majorHAnsi" w:hAnsiTheme="majorHAnsi" w:cs="Cambria"/>
          <w:lang w:val="en-GB" w:eastAsia="en-US"/>
        </w:rPr>
        <w:t xml:space="preserve"> of</w:t>
      </w:r>
      <w:r w:rsidRPr="00E80090">
        <w:rPr>
          <w:rFonts w:asciiTheme="majorHAnsi" w:hAnsiTheme="majorHAnsi" w:cs="Cambria"/>
          <w:lang w:val="en-GB" w:eastAsia="en-US"/>
        </w:rPr>
        <w:t xml:space="preserve"> the migration </w:t>
      </w:r>
      <w:r w:rsidR="00313E1E" w:rsidRPr="00E80090">
        <w:rPr>
          <w:rFonts w:asciiTheme="majorHAnsi" w:hAnsiTheme="majorHAnsi" w:cs="Cambria"/>
          <w:lang w:val="en-GB" w:eastAsia="en-US"/>
        </w:rPr>
        <w:t xml:space="preserve">on </w:t>
      </w:r>
      <w:r w:rsidR="00AC6EF7" w:rsidRPr="00E80090">
        <w:rPr>
          <w:rFonts w:asciiTheme="majorHAnsi" w:hAnsiTheme="majorHAnsi" w:cs="Cambria"/>
          <w:lang w:val="en-GB" w:eastAsia="en-US"/>
        </w:rPr>
        <w:t>the branches in scope</w:t>
      </w:r>
      <w:r w:rsidR="00DE5291" w:rsidRPr="00E80090">
        <w:rPr>
          <w:rFonts w:asciiTheme="majorHAnsi" w:hAnsiTheme="majorHAnsi" w:cs="Cambria"/>
          <w:lang w:val="en-GB" w:eastAsia="en-US"/>
        </w:rPr>
        <w:t xml:space="preserve"> as there are no direct costs for the central level</w:t>
      </w:r>
      <w:r w:rsidRPr="00E80090">
        <w:rPr>
          <w:rFonts w:asciiTheme="majorHAnsi" w:hAnsiTheme="majorHAnsi" w:cs="Cambria"/>
          <w:lang w:val="en-GB" w:eastAsia="en-US"/>
        </w:rPr>
        <w:t>.</w:t>
      </w:r>
      <w:r w:rsidR="00213663"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The proposed charges </w:t>
      </w:r>
      <w:r w:rsidR="002C44B6" w:rsidRPr="00E80090">
        <w:rPr>
          <w:rFonts w:asciiTheme="majorHAnsi" w:hAnsiTheme="majorHAnsi" w:cs="Cambria"/>
          <w:lang w:val="en-GB" w:eastAsia="en-US"/>
        </w:rPr>
        <w:t>of</w:t>
      </w:r>
      <w:r w:rsidRPr="00E80090">
        <w:rPr>
          <w:rFonts w:asciiTheme="majorHAnsi" w:hAnsiTheme="majorHAnsi" w:cs="Cambria"/>
          <w:lang w:val="en-GB" w:eastAsia="en-US"/>
        </w:rPr>
        <w:t xml:space="preserve"> the future bank</w:t>
      </w:r>
      <w:r w:rsidR="004B52F8" w:rsidRPr="00E80090">
        <w:rPr>
          <w:rFonts w:asciiTheme="majorHAnsi" w:hAnsiTheme="majorHAnsi" w:cs="Cambria"/>
          <w:lang w:val="en-GB" w:eastAsia="en-US"/>
        </w:rPr>
        <w:t>s</w:t>
      </w:r>
      <w:r w:rsidRPr="00E80090">
        <w:rPr>
          <w:rFonts w:asciiTheme="majorHAnsi" w:hAnsiTheme="majorHAnsi" w:cs="Cambria"/>
          <w:lang w:val="en-GB" w:eastAsia="en-US"/>
        </w:rPr>
        <w:t xml:space="preserve"> are benchmarked against the current fees paid by the entities. </w:t>
      </w:r>
      <w:r w:rsidR="002C44B6" w:rsidRPr="00E80090">
        <w:rPr>
          <w:rFonts w:asciiTheme="majorHAnsi" w:hAnsiTheme="majorHAnsi" w:cs="Cambria"/>
          <w:lang w:val="en-GB" w:eastAsia="en-US"/>
        </w:rPr>
        <w:t xml:space="preserve">All data </w:t>
      </w:r>
      <w:r w:rsidR="00FF34FF" w:rsidRPr="00E80090">
        <w:rPr>
          <w:rFonts w:asciiTheme="majorHAnsi" w:hAnsiTheme="majorHAnsi" w:cs="Cambria"/>
          <w:lang w:val="en-GB" w:eastAsia="en-US"/>
        </w:rPr>
        <w:t xml:space="preserve">presented below </w:t>
      </w:r>
      <w:r w:rsidR="002C44B6" w:rsidRPr="00E80090">
        <w:rPr>
          <w:rFonts w:asciiTheme="majorHAnsi" w:hAnsiTheme="majorHAnsi" w:cs="Cambria"/>
          <w:lang w:val="en-GB" w:eastAsia="en-US"/>
        </w:rPr>
        <w:t>was collected through the field research</w:t>
      </w:r>
      <w:r w:rsidR="002C44B6" w:rsidRPr="00E80090">
        <w:rPr>
          <w:rStyle w:val="Voetnootmarkering"/>
          <w:rFonts w:asciiTheme="majorHAnsi" w:hAnsiTheme="majorHAnsi" w:cs="Cambria"/>
          <w:lang w:val="en-GB" w:eastAsia="en-US"/>
        </w:rPr>
        <w:footnoteReference w:id="2"/>
      </w:r>
      <w:r w:rsidR="002C44B6"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Only the </w:t>
      </w:r>
      <w:r w:rsidR="002E09C5" w:rsidRPr="00E80090">
        <w:rPr>
          <w:rFonts w:asciiTheme="majorHAnsi" w:hAnsiTheme="majorHAnsi" w:cs="Cambria"/>
          <w:lang w:val="en-GB" w:eastAsia="en-US"/>
        </w:rPr>
        <w:t>charges</w:t>
      </w:r>
      <w:r w:rsidRPr="00E80090">
        <w:rPr>
          <w:rFonts w:asciiTheme="majorHAnsi" w:hAnsiTheme="majorHAnsi" w:cs="Cambria"/>
          <w:lang w:val="en-GB" w:eastAsia="en-US"/>
        </w:rPr>
        <w:t xml:space="preserve"> for the products and services currently needed by the </w:t>
      </w:r>
      <w:r w:rsidR="005F770D" w:rsidRPr="00E80090">
        <w:rPr>
          <w:rFonts w:asciiTheme="majorHAnsi" w:hAnsiTheme="majorHAnsi" w:cs="Cambria"/>
          <w:lang w:val="en-GB" w:eastAsia="en-US"/>
        </w:rPr>
        <w:t>local business</w:t>
      </w:r>
      <w:r w:rsidRPr="00E80090">
        <w:rPr>
          <w:rFonts w:asciiTheme="majorHAnsi" w:hAnsiTheme="majorHAnsi" w:cs="Cambria"/>
          <w:lang w:val="en-GB" w:eastAsia="en-US"/>
        </w:rPr>
        <w:t xml:space="preserve"> are considered.</w:t>
      </w:r>
      <w:r w:rsidR="002E09C5" w:rsidRPr="00E80090">
        <w:rPr>
          <w:rFonts w:asciiTheme="majorHAnsi" w:hAnsiTheme="majorHAnsi" w:cs="Cambria"/>
          <w:lang w:val="en-GB" w:eastAsia="en-US"/>
        </w:rPr>
        <w:t xml:space="preserve"> The total costs are estimated based on the volumes of transactions in 2012 (See A</w:t>
      </w:r>
      <w:r w:rsidR="00E3381C" w:rsidRPr="00E80090">
        <w:rPr>
          <w:rFonts w:asciiTheme="majorHAnsi" w:hAnsiTheme="majorHAnsi" w:cs="Cambria"/>
          <w:lang w:val="en-GB" w:eastAsia="en-US"/>
        </w:rPr>
        <w:t>ppendix 2 for the calculations).</w:t>
      </w:r>
    </w:p>
    <w:p w14:paraId="6E58427F" w14:textId="77777777" w:rsidR="00B01B10" w:rsidRPr="00E80090" w:rsidRDefault="00B01B10" w:rsidP="00261CC3">
      <w:pPr>
        <w:pStyle w:val="Kop2"/>
        <w:numPr>
          <w:ilvl w:val="2"/>
          <w:numId w:val="12"/>
        </w:numPr>
        <w:spacing w:line="360" w:lineRule="auto"/>
        <w:rPr>
          <w:rFonts w:asciiTheme="majorHAnsi" w:hAnsiTheme="majorHAnsi"/>
          <w:sz w:val="24"/>
          <w:szCs w:val="24"/>
          <w:lang w:val="en-GB"/>
        </w:rPr>
      </w:pPr>
      <w:bookmarkStart w:id="103" w:name="_Toc360633026"/>
      <w:bookmarkStart w:id="104" w:name="_Toc368290356"/>
      <w:bookmarkStart w:id="105" w:name="_Toc359145833"/>
      <w:bookmarkStart w:id="106" w:name="_Toc359408858"/>
      <w:r w:rsidRPr="00E80090">
        <w:rPr>
          <w:rFonts w:asciiTheme="majorHAnsi" w:hAnsiTheme="majorHAnsi"/>
          <w:sz w:val="24"/>
          <w:szCs w:val="24"/>
          <w:lang w:val="en-GB"/>
        </w:rPr>
        <w:t>Bulgaria</w:t>
      </w:r>
      <w:bookmarkEnd w:id="103"/>
      <w:bookmarkEnd w:id="104"/>
    </w:p>
    <w:p w14:paraId="6E584280" w14:textId="77777777" w:rsidR="00FC488F" w:rsidRPr="00E80090" w:rsidRDefault="00251B84" w:rsidP="00FC488F">
      <w:pPr>
        <w:spacing w:after="200" w:line="360" w:lineRule="auto"/>
        <w:jc w:val="both"/>
        <w:rPr>
          <w:rFonts w:asciiTheme="majorHAnsi" w:hAnsiTheme="majorHAnsi"/>
          <w:lang w:val="en-GB"/>
        </w:rPr>
      </w:pPr>
      <w:r w:rsidRPr="00E80090">
        <w:rPr>
          <w:rFonts w:asciiTheme="majorHAnsi" w:hAnsiTheme="majorHAnsi"/>
          <w:lang w:val="en-GB"/>
        </w:rPr>
        <w:t xml:space="preserve">Sun Chemical Bulgaria </w:t>
      </w:r>
      <w:r w:rsidR="0008154D" w:rsidRPr="00E80090">
        <w:rPr>
          <w:rFonts w:asciiTheme="majorHAnsi" w:hAnsiTheme="majorHAnsi"/>
          <w:lang w:val="en-GB"/>
        </w:rPr>
        <w:t xml:space="preserve">is currently serviced by ING bank and is proposed for migration to Citibank. </w:t>
      </w:r>
      <w:r w:rsidR="00FF61A1" w:rsidRPr="00E80090">
        <w:rPr>
          <w:rFonts w:asciiTheme="majorHAnsi" w:hAnsiTheme="majorHAnsi"/>
          <w:lang w:val="en-GB"/>
        </w:rPr>
        <w:t xml:space="preserve">Therefore, the table below presents a comparison of the </w:t>
      </w:r>
      <w:r w:rsidR="005B6AD6" w:rsidRPr="00E80090">
        <w:rPr>
          <w:rFonts w:asciiTheme="majorHAnsi" w:hAnsiTheme="majorHAnsi"/>
          <w:lang w:val="en-GB"/>
        </w:rPr>
        <w:t xml:space="preserve">cash management fees </w:t>
      </w:r>
      <w:r w:rsidR="00FF61A1" w:rsidRPr="00E80090">
        <w:rPr>
          <w:rFonts w:asciiTheme="majorHAnsi" w:hAnsiTheme="majorHAnsi"/>
          <w:lang w:val="en-GB"/>
        </w:rPr>
        <w:t xml:space="preserve">of the two banks offered to the entity in Bulgaria. </w:t>
      </w:r>
    </w:p>
    <w:tbl>
      <w:tblPr>
        <w:tblW w:w="9132" w:type="dxa"/>
        <w:jc w:val="center"/>
        <w:tblInd w:w="106"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563"/>
        <w:gridCol w:w="3111"/>
        <w:gridCol w:w="2458"/>
      </w:tblGrid>
      <w:tr w:rsidR="002F38E3" w:rsidRPr="00E80090" w14:paraId="6E584284" w14:textId="77777777" w:rsidTr="003271A0">
        <w:trPr>
          <w:trHeight w:val="300"/>
          <w:jc w:val="center"/>
        </w:trPr>
        <w:tc>
          <w:tcPr>
            <w:tcW w:w="3563" w:type="dxa"/>
            <w:tcBorders>
              <w:right w:val="single" w:sz="4" w:space="0" w:color="4F81BD"/>
            </w:tcBorders>
            <w:shd w:val="clear" w:color="auto" w:fill="4BACC6"/>
            <w:noWrap/>
            <w:hideMark/>
          </w:tcPr>
          <w:p w14:paraId="6E584281" w14:textId="77777777" w:rsidR="002F38E3" w:rsidRPr="00E80090" w:rsidRDefault="002F38E3" w:rsidP="002F38E3">
            <w:pPr>
              <w:rPr>
                <w:rFonts w:asciiTheme="majorHAnsi" w:eastAsia="Times New Roman" w:hAnsiTheme="majorHAnsi" w:cs="Arial"/>
                <w:b/>
                <w:bCs/>
                <w:color w:val="FFFFFF"/>
                <w:sz w:val="22"/>
                <w:szCs w:val="20"/>
                <w:lang w:val="en-GB" w:eastAsia="en-US"/>
              </w:rPr>
            </w:pPr>
            <w:r w:rsidRPr="00E80090">
              <w:rPr>
                <w:rFonts w:asciiTheme="majorHAnsi" w:eastAsia="Times New Roman" w:hAnsiTheme="majorHAnsi" w:cs="Arial"/>
                <w:b/>
                <w:bCs/>
                <w:color w:val="FFFFFF"/>
                <w:sz w:val="22"/>
                <w:szCs w:val="20"/>
                <w:lang w:val="en-GB" w:eastAsia="en-US"/>
              </w:rPr>
              <w:t>Product:</w:t>
            </w:r>
          </w:p>
        </w:tc>
        <w:tc>
          <w:tcPr>
            <w:tcW w:w="3111" w:type="dxa"/>
            <w:tcBorders>
              <w:left w:val="single" w:sz="4" w:space="0" w:color="4F81BD"/>
              <w:right w:val="single" w:sz="4" w:space="0" w:color="4F81BD"/>
            </w:tcBorders>
            <w:shd w:val="clear" w:color="auto" w:fill="4BACC6"/>
            <w:noWrap/>
            <w:hideMark/>
          </w:tcPr>
          <w:p w14:paraId="6E584282" w14:textId="77777777" w:rsidR="002F38E3" w:rsidRPr="00E80090" w:rsidRDefault="00AC2B35" w:rsidP="00AC2B35">
            <w:pPr>
              <w:jc w:val="center"/>
              <w:rPr>
                <w:rFonts w:asciiTheme="majorHAnsi" w:eastAsia="Times New Roman" w:hAnsiTheme="majorHAnsi" w:cs="Arial"/>
                <w:b/>
                <w:bCs/>
                <w:color w:val="FFFFFF"/>
                <w:sz w:val="22"/>
                <w:szCs w:val="20"/>
                <w:lang w:val="en-GB" w:eastAsia="en-US"/>
              </w:rPr>
            </w:pPr>
            <w:r w:rsidRPr="00E80090">
              <w:rPr>
                <w:rFonts w:asciiTheme="majorHAnsi" w:eastAsia="Times New Roman" w:hAnsiTheme="majorHAnsi" w:cs="Arial"/>
                <w:b/>
                <w:bCs/>
                <w:color w:val="FFFFFF"/>
                <w:sz w:val="22"/>
                <w:szCs w:val="20"/>
                <w:lang w:val="en-GB" w:eastAsia="en-US"/>
              </w:rPr>
              <w:t>ING</w:t>
            </w:r>
          </w:p>
        </w:tc>
        <w:tc>
          <w:tcPr>
            <w:tcW w:w="2458" w:type="dxa"/>
            <w:tcBorders>
              <w:left w:val="single" w:sz="4" w:space="0" w:color="4F81BD"/>
            </w:tcBorders>
            <w:shd w:val="clear" w:color="auto" w:fill="4BACC6"/>
            <w:noWrap/>
            <w:hideMark/>
          </w:tcPr>
          <w:p w14:paraId="6E584283" w14:textId="77777777" w:rsidR="002F38E3" w:rsidRPr="00E80090" w:rsidRDefault="002F38E3" w:rsidP="00AC2B35">
            <w:pPr>
              <w:jc w:val="center"/>
              <w:rPr>
                <w:rFonts w:asciiTheme="majorHAnsi" w:eastAsia="Times New Roman" w:hAnsiTheme="majorHAnsi" w:cs="Arial"/>
                <w:b/>
                <w:bCs/>
                <w:color w:val="FFFFFF"/>
                <w:sz w:val="22"/>
                <w:szCs w:val="20"/>
                <w:lang w:val="en-GB" w:eastAsia="en-US"/>
              </w:rPr>
            </w:pPr>
            <w:r w:rsidRPr="00E80090">
              <w:rPr>
                <w:rFonts w:asciiTheme="majorHAnsi" w:eastAsia="Times New Roman" w:hAnsiTheme="majorHAnsi" w:cs="Arial"/>
                <w:b/>
                <w:bCs/>
                <w:color w:val="FFFFFF"/>
                <w:sz w:val="22"/>
                <w:szCs w:val="20"/>
                <w:lang w:val="en-GB" w:eastAsia="en-US"/>
              </w:rPr>
              <w:t>Citi</w:t>
            </w:r>
            <w:r w:rsidR="00AC2B35" w:rsidRPr="00E80090">
              <w:rPr>
                <w:rFonts w:asciiTheme="majorHAnsi" w:eastAsia="Times New Roman" w:hAnsiTheme="majorHAnsi" w:cs="Arial"/>
                <w:b/>
                <w:bCs/>
                <w:color w:val="FFFFFF"/>
                <w:sz w:val="22"/>
                <w:szCs w:val="20"/>
                <w:lang w:val="en-GB" w:eastAsia="en-US"/>
              </w:rPr>
              <w:t>bank</w:t>
            </w:r>
          </w:p>
        </w:tc>
      </w:tr>
      <w:tr w:rsidR="002F38E3" w:rsidRPr="00E80090" w14:paraId="6E584288" w14:textId="77777777" w:rsidTr="003271A0">
        <w:trPr>
          <w:trHeight w:val="300"/>
          <w:jc w:val="center"/>
        </w:trPr>
        <w:tc>
          <w:tcPr>
            <w:tcW w:w="3563" w:type="dxa"/>
            <w:tcBorders>
              <w:top w:val="single" w:sz="8" w:space="0" w:color="4BACC6"/>
              <w:bottom w:val="single" w:sz="8" w:space="0" w:color="4BACC6"/>
              <w:right w:val="single" w:sz="4" w:space="0" w:color="4F81BD"/>
            </w:tcBorders>
            <w:shd w:val="clear" w:color="auto" w:fill="auto"/>
            <w:vAlign w:val="center"/>
            <w:hideMark/>
          </w:tcPr>
          <w:p w14:paraId="6E584285" w14:textId="77777777" w:rsidR="002F38E3" w:rsidRPr="00E80090" w:rsidRDefault="006E6F87" w:rsidP="002F38E3">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A</w:t>
            </w:r>
            <w:r w:rsidR="002F38E3" w:rsidRPr="00E80090">
              <w:rPr>
                <w:rFonts w:asciiTheme="majorHAnsi" w:eastAsia="Times New Roman" w:hAnsiTheme="majorHAnsi" w:cs="Arial"/>
                <w:b/>
                <w:bCs/>
                <w:sz w:val="22"/>
                <w:szCs w:val="20"/>
                <w:lang w:val="en-GB" w:eastAsia="en-US"/>
              </w:rPr>
              <w:t>ccount maintenance</w:t>
            </w:r>
            <w:r w:rsidRPr="00E80090">
              <w:rPr>
                <w:rFonts w:asciiTheme="majorHAnsi" w:eastAsia="Times New Roman" w:hAnsiTheme="majorHAnsi" w:cs="Arial"/>
                <w:b/>
                <w:bCs/>
                <w:sz w:val="22"/>
                <w:szCs w:val="20"/>
                <w:lang w:val="en-GB" w:eastAsia="en-US"/>
              </w:rPr>
              <w:t xml:space="preserve"> (monthly)</w:t>
            </w:r>
          </w:p>
        </w:tc>
        <w:tc>
          <w:tcPr>
            <w:tcW w:w="3111" w:type="dxa"/>
            <w:tcBorders>
              <w:top w:val="single" w:sz="8" w:space="0" w:color="4BACC6"/>
              <w:left w:val="single" w:sz="4" w:space="0" w:color="4F81BD"/>
              <w:bottom w:val="single" w:sz="8" w:space="0" w:color="4BACC6"/>
              <w:right w:val="single" w:sz="4" w:space="0" w:color="4F81BD"/>
            </w:tcBorders>
            <w:shd w:val="clear" w:color="auto" w:fill="auto"/>
            <w:vAlign w:val="center"/>
            <w:hideMark/>
          </w:tcPr>
          <w:p w14:paraId="6E584286" w14:textId="77777777" w:rsidR="002F38E3" w:rsidRPr="00E80090" w:rsidRDefault="002F38E3" w:rsidP="000758B8">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BGN 30</w:t>
            </w:r>
          </w:p>
        </w:tc>
        <w:tc>
          <w:tcPr>
            <w:tcW w:w="2458" w:type="dxa"/>
            <w:tcBorders>
              <w:top w:val="single" w:sz="8" w:space="0" w:color="4BACC6"/>
              <w:left w:val="single" w:sz="4" w:space="0" w:color="4F81BD"/>
              <w:bottom w:val="single" w:sz="8" w:space="0" w:color="4BACC6"/>
            </w:tcBorders>
            <w:shd w:val="clear" w:color="auto" w:fill="auto"/>
            <w:vAlign w:val="center"/>
            <w:hideMark/>
          </w:tcPr>
          <w:p w14:paraId="6E584287" w14:textId="77777777" w:rsidR="002F38E3" w:rsidRPr="00E80090" w:rsidRDefault="00B07398" w:rsidP="000758B8">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Free of charge</w:t>
            </w:r>
          </w:p>
        </w:tc>
      </w:tr>
      <w:tr w:rsidR="002F38E3" w:rsidRPr="00E80090" w14:paraId="6E58428C" w14:textId="77777777" w:rsidTr="003271A0">
        <w:trPr>
          <w:trHeight w:val="300"/>
          <w:jc w:val="center"/>
        </w:trPr>
        <w:tc>
          <w:tcPr>
            <w:tcW w:w="3563" w:type="dxa"/>
            <w:tcBorders>
              <w:right w:val="single" w:sz="4" w:space="0" w:color="4F81BD"/>
            </w:tcBorders>
            <w:shd w:val="clear" w:color="auto" w:fill="auto"/>
            <w:vAlign w:val="center"/>
            <w:hideMark/>
          </w:tcPr>
          <w:p w14:paraId="6E584289" w14:textId="77777777" w:rsidR="006E6F87" w:rsidRPr="00E80090" w:rsidRDefault="002F38E3" w:rsidP="002F38E3">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Electronic banking</w:t>
            </w:r>
            <w:r w:rsidR="006E6F87" w:rsidRPr="00E80090">
              <w:rPr>
                <w:rFonts w:asciiTheme="majorHAnsi" w:eastAsia="Times New Roman" w:hAnsiTheme="majorHAnsi" w:cs="Arial"/>
                <w:b/>
                <w:bCs/>
                <w:sz w:val="22"/>
                <w:szCs w:val="20"/>
                <w:lang w:val="en-GB" w:eastAsia="en-US"/>
              </w:rPr>
              <w:t xml:space="preserve"> (monthly)</w:t>
            </w:r>
          </w:p>
        </w:tc>
        <w:tc>
          <w:tcPr>
            <w:tcW w:w="3111" w:type="dxa"/>
            <w:tcBorders>
              <w:left w:val="single" w:sz="4" w:space="0" w:color="4F81BD"/>
              <w:right w:val="single" w:sz="4" w:space="0" w:color="4F81BD"/>
            </w:tcBorders>
            <w:shd w:val="clear" w:color="auto" w:fill="auto"/>
            <w:vAlign w:val="center"/>
            <w:hideMark/>
          </w:tcPr>
          <w:p w14:paraId="6E58428A" w14:textId="77777777" w:rsidR="002F38E3" w:rsidRPr="00E80090" w:rsidRDefault="009A57AB" w:rsidP="000758B8">
            <w:pPr>
              <w:jc w:val="center"/>
              <w:rPr>
                <w:rFonts w:asciiTheme="majorHAnsi" w:eastAsia="Times New Roman" w:hAnsiTheme="majorHAnsi" w:cs="Arial"/>
                <w:sz w:val="22"/>
                <w:szCs w:val="20"/>
                <w:lang w:val="en-GB" w:eastAsia="en-US"/>
              </w:rPr>
            </w:pPr>
            <w:r w:rsidRPr="00E80090">
              <w:rPr>
                <w:rFonts w:asciiTheme="majorHAnsi" w:eastAsia="Times New Roman" w:hAnsiTheme="majorHAnsi"/>
                <w:sz w:val="22"/>
                <w:szCs w:val="20"/>
                <w:lang w:val="en-GB" w:eastAsia="en-US"/>
              </w:rPr>
              <w:t>BGN 30</w:t>
            </w:r>
          </w:p>
        </w:tc>
        <w:tc>
          <w:tcPr>
            <w:tcW w:w="2458" w:type="dxa"/>
            <w:tcBorders>
              <w:left w:val="single" w:sz="4" w:space="0" w:color="4F81BD"/>
            </w:tcBorders>
            <w:shd w:val="clear" w:color="auto" w:fill="auto"/>
            <w:vAlign w:val="center"/>
            <w:hideMark/>
          </w:tcPr>
          <w:p w14:paraId="6E58428B" w14:textId="77777777" w:rsidR="002F38E3" w:rsidRPr="00E80090" w:rsidRDefault="00B80855" w:rsidP="00B80855">
            <w:pPr>
              <w:jc w:val="center"/>
              <w:rPr>
                <w:rFonts w:asciiTheme="majorHAnsi" w:eastAsia="Times New Roman" w:hAnsiTheme="majorHAnsi" w:cs="Arial"/>
                <w:sz w:val="22"/>
                <w:szCs w:val="20"/>
                <w:lang w:val="en-GB" w:eastAsia="en-US"/>
              </w:rPr>
            </w:pPr>
            <w:r w:rsidRPr="00E80090">
              <w:rPr>
                <w:rFonts w:asciiTheme="majorHAnsi" w:eastAsia="Times New Roman" w:hAnsiTheme="majorHAnsi"/>
                <w:sz w:val="22"/>
                <w:szCs w:val="20"/>
                <w:lang w:val="en-GB" w:eastAsia="en-US"/>
              </w:rPr>
              <w:t>BGN 20/</w:t>
            </w:r>
            <w:r w:rsidRPr="00E80090">
              <w:rPr>
                <w:rFonts w:asciiTheme="majorHAnsi" w:eastAsia="Times New Roman" w:hAnsiTheme="majorHAnsi" w:cs="Arial"/>
                <w:sz w:val="22"/>
                <w:szCs w:val="20"/>
                <w:lang w:val="en-GB" w:eastAsia="en-US"/>
              </w:rPr>
              <w:t xml:space="preserve"> Free</w:t>
            </w:r>
            <w:r w:rsidR="003271A0" w:rsidRPr="00E80090">
              <w:rPr>
                <w:rFonts w:asciiTheme="majorHAnsi" w:eastAsia="Times New Roman" w:hAnsiTheme="majorHAnsi" w:cs="Arial"/>
                <w:sz w:val="22"/>
                <w:szCs w:val="20"/>
                <w:lang w:val="en-GB" w:eastAsia="en-US"/>
              </w:rPr>
              <w:t xml:space="preserve"> of charge</w:t>
            </w:r>
          </w:p>
        </w:tc>
      </w:tr>
      <w:tr w:rsidR="002F38E3" w:rsidRPr="00E80090" w14:paraId="6E584290" w14:textId="77777777" w:rsidTr="003271A0">
        <w:trPr>
          <w:trHeight w:val="300"/>
          <w:jc w:val="center"/>
        </w:trPr>
        <w:tc>
          <w:tcPr>
            <w:tcW w:w="3563" w:type="dxa"/>
            <w:tcBorders>
              <w:top w:val="single" w:sz="8" w:space="0" w:color="4BACC6"/>
              <w:bottom w:val="single" w:sz="8" w:space="0" w:color="4BACC6"/>
              <w:right w:val="single" w:sz="4" w:space="0" w:color="4F81BD"/>
            </w:tcBorders>
            <w:shd w:val="clear" w:color="auto" w:fill="auto"/>
            <w:vAlign w:val="center"/>
            <w:hideMark/>
          </w:tcPr>
          <w:p w14:paraId="6E58428D" w14:textId="77777777" w:rsidR="002F38E3" w:rsidRPr="00E80090" w:rsidRDefault="00911385" w:rsidP="00F3533C">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 xml:space="preserve">Incoming </w:t>
            </w:r>
            <w:r w:rsidR="00F3533C" w:rsidRPr="00E80090">
              <w:rPr>
                <w:rFonts w:asciiTheme="majorHAnsi" w:eastAsia="Times New Roman" w:hAnsiTheme="majorHAnsi" w:cs="Arial"/>
                <w:b/>
                <w:bCs/>
                <w:sz w:val="22"/>
                <w:szCs w:val="20"/>
                <w:lang w:val="en-GB" w:eastAsia="en-US"/>
              </w:rPr>
              <w:t>BGN payments</w:t>
            </w:r>
          </w:p>
        </w:tc>
        <w:tc>
          <w:tcPr>
            <w:tcW w:w="3111" w:type="dxa"/>
            <w:tcBorders>
              <w:top w:val="single" w:sz="8" w:space="0" w:color="4BACC6"/>
              <w:left w:val="single" w:sz="4" w:space="0" w:color="4F81BD"/>
              <w:bottom w:val="single" w:sz="8" w:space="0" w:color="4BACC6"/>
              <w:right w:val="single" w:sz="4" w:space="0" w:color="4F81BD"/>
            </w:tcBorders>
            <w:shd w:val="clear" w:color="auto" w:fill="auto"/>
            <w:vAlign w:val="center"/>
            <w:hideMark/>
          </w:tcPr>
          <w:p w14:paraId="6E58428E" w14:textId="77777777" w:rsidR="002F38E3" w:rsidRPr="00E80090" w:rsidRDefault="00911385" w:rsidP="00911385">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 xml:space="preserve">Free of charge </w:t>
            </w:r>
          </w:p>
        </w:tc>
        <w:tc>
          <w:tcPr>
            <w:tcW w:w="2458" w:type="dxa"/>
            <w:tcBorders>
              <w:top w:val="single" w:sz="8" w:space="0" w:color="4BACC6"/>
              <w:left w:val="single" w:sz="4" w:space="0" w:color="4F81BD"/>
              <w:bottom w:val="single" w:sz="8" w:space="0" w:color="4BACC6"/>
            </w:tcBorders>
            <w:shd w:val="clear" w:color="auto" w:fill="auto"/>
            <w:vAlign w:val="center"/>
            <w:hideMark/>
          </w:tcPr>
          <w:p w14:paraId="6E58428F" w14:textId="77777777" w:rsidR="002F38E3" w:rsidRPr="00E80090" w:rsidRDefault="00911385" w:rsidP="00911385">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 xml:space="preserve">Free of charge </w:t>
            </w:r>
          </w:p>
        </w:tc>
      </w:tr>
      <w:tr w:rsidR="002F38E3" w:rsidRPr="00E80090" w14:paraId="6E584294" w14:textId="77777777" w:rsidTr="003271A0">
        <w:trPr>
          <w:trHeight w:val="340"/>
          <w:jc w:val="center"/>
        </w:trPr>
        <w:tc>
          <w:tcPr>
            <w:tcW w:w="3563" w:type="dxa"/>
            <w:tcBorders>
              <w:right w:val="single" w:sz="4" w:space="0" w:color="4F81BD"/>
            </w:tcBorders>
            <w:shd w:val="clear" w:color="auto" w:fill="auto"/>
            <w:vAlign w:val="center"/>
            <w:hideMark/>
          </w:tcPr>
          <w:p w14:paraId="6E584291" w14:textId="77777777" w:rsidR="002F38E3" w:rsidRPr="00E80090" w:rsidRDefault="001C3E20" w:rsidP="001C3E20">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Outgoing</w:t>
            </w:r>
            <w:r w:rsidR="00911385" w:rsidRPr="00E80090">
              <w:rPr>
                <w:rFonts w:asciiTheme="majorHAnsi" w:eastAsia="Times New Roman" w:hAnsiTheme="majorHAnsi" w:cs="Arial"/>
                <w:b/>
                <w:bCs/>
                <w:sz w:val="22"/>
                <w:szCs w:val="20"/>
                <w:lang w:val="en-GB" w:eastAsia="en-US"/>
              </w:rPr>
              <w:t xml:space="preserve"> </w:t>
            </w:r>
            <w:r w:rsidRPr="00E80090">
              <w:rPr>
                <w:rFonts w:asciiTheme="majorHAnsi" w:eastAsia="Times New Roman" w:hAnsiTheme="majorHAnsi" w:cs="Arial"/>
                <w:b/>
                <w:bCs/>
                <w:sz w:val="22"/>
                <w:szCs w:val="20"/>
                <w:lang w:val="en-GB" w:eastAsia="en-US"/>
              </w:rPr>
              <w:t>BGN payments</w:t>
            </w:r>
          </w:p>
        </w:tc>
        <w:tc>
          <w:tcPr>
            <w:tcW w:w="3111" w:type="dxa"/>
            <w:tcBorders>
              <w:left w:val="single" w:sz="4" w:space="0" w:color="4F81BD"/>
              <w:right w:val="single" w:sz="4" w:space="0" w:color="4F81BD"/>
            </w:tcBorders>
            <w:shd w:val="clear" w:color="auto" w:fill="auto"/>
            <w:vAlign w:val="center"/>
            <w:hideMark/>
          </w:tcPr>
          <w:p w14:paraId="6E584292" w14:textId="77777777" w:rsidR="002F38E3" w:rsidRPr="00E80090" w:rsidRDefault="00911385" w:rsidP="00911385">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BGN 0.80 </w:t>
            </w:r>
          </w:p>
        </w:tc>
        <w:tc>
          <w:tcPr>
            <w:tcW w:w="2458" w:type="dxa"/>
            <w:tcBorders>
              <w:left w:val="single" w:sz="4" w:space="0" w:color="4F81BD"/>
            </w:tcBorders>
            <w:shd w:val="clear" w:color="auto" w:fill="auto"/>
            <w:vAlign w:val="center"/>
            <w:hideMark/>
          </w:tcPr>
          <w:p w14:paraId="6E584293" w14:textId="77777777" w:rsidR="002F38E3" w:rsidRPr="00E80090" w:rsidRDefault="00911385" w:rsidP="00911385">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BGN 0.60 </w:t>
            </w:r>
          </w:p>
        </w:tc>
      </w:tr>
      <w:tr w:rsidR="002F38E3" w:rsidRPr="00E80090" w14:paraId="6E584298" w14:textId="77777777" w:rsidTr="003271A0">
        <w:trPr>
          <w:trHeight w:val="300"/>
          <w:jc w:val="center"/>
        </w:trPr>
        <w:tc>
          <w:tcPr>
            <w:tcW w:w="3563" w:type="dxa"/>
            <w:tcBorders>
              <w:top w:val="single" w:sz="8" w:space="0" w:color="4BACC6"/>
              <w:bottom w:val="single" w:sz="8" w:space="0" w:color="4BACC6"/>
              <w:right w:val="single" w:sz="4" w:space="0" w:color="4F81BD"/>
            </w:tcBorders>
            <w:shd w:val="clear" w:color="auto" w:fill="auto"/>
            <w:vAlign w:val="center"/>
            <w:hideMark/>
          </w:tcPr>
          <w:p w14:paraId="6E584295" w14:textId="77777777" w:rsidR="002F38E3" w:rsidRPr="00E80090" w:rsidRDefault="00911385" w:rsidP="00911385">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Outgoing FCY payments</w:t>
            </w:r>
          </w:p>
        </w:tc>
        <w:tc>
          <w:tcPr>
            <w:tcW w:w="3111" w:type="dxa"/>
            <w:tcBorders>
              <w:top w:val="single" w:sz="8" w:space="0" w:color="4BACC6"/>
              <w:left w:val="single" w:sz="4" w:space="0" w:color="4F81BD"/>
              <w:bottom w:val="single" w:sz="8" w:space="0" w:color="4BACC6"/>
              <w:right w:val="single" w:sz="4" w:space="0" w:color="4F81BD"/>
            </w:tcBorders>
            <w:shd w:val="clear" w:color="auto" w:fill="auto"/>
            <w:vAlign w:val="center"/>
            <w:hideMark/>
          </w:tcPr>
          <w:p w14:paraId="6E584296" w14:textId="77777777" w:rsidR="002F38E3" w:rsidRPr="00E80090" w:rsidRDefault="00911385" w:rsidP="00911385">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0.10% (min</w:t>
            </w:r>
            <w:r w:rsidR="00F87AC2" w:rsidRPr="00E80090">
              <w:rPr>
                <w:rFonts w:asciiTheme="majorHAnsi" w:eastAsia="Times New Roman" w:hAnsiTheme="majorHAnsi" w:cs="Arial"/>
                <w:sz w:val="22"/>
                <w:szCs w:val="20"/>
                <w:lang w:val="en-GB" w:eastAsia="en-US"/>
              </w:rPr>
              <w:t>.</w:t>
            </w:r>
            <w:r w:rsidRPr="00E80090">
              <w:rPr>
                <w:rFonts w:asciiTheme="majorHAnsi" w:eastAsia="Times New Roman" w:hAnsiTheme="majorHAnsi" w:cs="Arial"/>
                <w:sz w:val="22"/>
                <w:szCs w:val="20"/>
                <w:lang w:val="en-GB" w:eastAsia="en-US"/>
              </w:rPr>
              <w:t xml:space="preserve"> </w:t>
            </w:r>
            <w:r w:rsidRPr="00E80090">
              <w:rPr>
                <w:rFonts w:asciiTheme="majorHAnsi" w:eastAsia="Times New Roman" w:hAnsiTheme="majorHAnsi" w:cs="Arial"/>
                <w:sz w:val="22"/>
                <w:szCs w:val="22"/>
                <w:lang w:val="en-GB" w:eastAsia="en-US"/>
              </w:rPr>
              <w:t>€</w:t>
            </w:r>
            <w:r w:rsidR="00F87AC2" w:rsidRPr="00E80090">
              <w:rPr>
                <w:rFonts w:asciiTheme="majorHAnsi" w:eastAsia="Times New Roman" w:hAnsiTheme="majorHAnsi" w:cs="Arial"/>
                <w:sz w:val="22"/>
                <w:szCs w:val="20"/>
                <w:lang w:val="en-GB" w:eastAsia="en-US"/>
              </w:rPr>
              <w:t xml:space="preserve"> 20,</w:t>
            </w:r>
            <w:r w:rsidRPr="00E80090">
              <w:rPr>
                <w:rFonts w:asciiTheme="majorHAnsi" w:eastAsia="Times New Roman" w:hAnsiTheme="majorHAnsi" w:cs="Arial"/>
                <w:sz w:val="22"/>
                <w:szCs w:val="20"/>
                <w:lang w:val="en-GB" w:eastAsia="en-US"/>
              </w:rPr>
              <w:t xml:space="preserve"> max</w:t>
            </w:r>
            <w:r w:rsidR="00F87AC2" w:rsidRPr="00E80090">
              <w:rPr>
                <w:rFonts w:asciiTheme="majorHAnsi" w:eastAsia="Times New Roman" w:hAnsiTheme="majorHAnsi" w:cs="Arial"/>
                <w:sz w:val="22"/>
                <w:szCs w:val="20"/>
                <w:lang w:val="en-GB" w:eastAsia="en-US"/>
              </w:rPr>
              <w:t>.</w:t>
            </w:r>
            <w:r w:rsidRPr="00E80090">
              <w:rPr>
                <w:rFonts w:asciiTheme="majorHAnsi" w:eastAsia="Times New Roman" w:hAnsiTheme="majorHAnsi" w:cs="Arial"/>
                <w:sz w:val="22"/>
                <w:szCs w:val="20"/>
                <w:lang w:val="en-GB" w:eastAsia="en-US"/>
              </w:rPr>
              <w:t xml:space="preserve"> </w:t>
            </w:r>
            <w:r w:rsidRPr="00E80090">
              <w:rPr>
                <w:rFonts w:asciiTheme="majorHAnsi" w:eastAsia="Times New Roman" w:hAnsiTheme="majorHAnsi" w:cs="Arial"/>
                <w:sz w:val="22"/>
                <w:szCs w:val="22"/>
                <w:lang w:val="en-GB" w:eastAsia="en-US"/>
              </w:rPr>
              <w:t>€</w:t>
            </w:r>
            <w:r w:rsidR="00F87AC2" w:rsidRPr="00E80090">
              <w:rPr>
                <w:rFonts w:asciiTheme="majorHAnsi" w:eastAsia="Times New Roman" w:hAnsiTheme="majorHAnsi" w:cs="Arial"/>
                <w:sz w:val="22"/>
                <w:szCs w:val="20"/>
                <w:lang w:val="en-GB" w:eastAsia="en-US"/>
              </w:rPr>
              <w:t xml:space="preserve"> 200</w:t>
            </w:r>
            <w:r w:rsidRPr="00E80090">
              <w:rPr>
                <w:rFonts w:asciiTheme="majorHAnsi" w:eastAsia="Times New Roman" w:hAnsiTheme="majorHAnsi" w:cs="Arial"/>
                <w:sz w:val="22"/>
                <w:szCs w:val="20"/>
                <w:lang w:val="en-GB" w:eastAsia="en-US"/>
              </w:rPr>
              <w:t>)</w:t>
            </w:r>
          </w:p>
        </w:tc>
        <w:tc>
          <w:tcPr>
            <w:tcW w:w="2458" w:type="dxa"/>
            <w:tcBorders>
              <w:top w:val="single" w:sz="8" w:space="0" w:color="4BACC6"/>
              <w:left w:val="single" w:sz="4" w:space="0" w:color="4F81BD"/>
              <w:bottom w:val="single" w:sz="8" w:space="0" w:color="4BACC6"/>
            </w:tcBorders>
            <w:shd w:val="clear" w:color="auto" w:fill="auto"/>
            <w:vAlign w:val="center"/>
            <w:hideMark/>
          </w:tcPr>
          <w:p w14:paraId="6E584297" w14:textId="77777777" w:rsidR="002F38E3" w:rsidRPr="00E80090" w:rsidRDefault="00911385" w:rsidP="00911385">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2"/>
                <w:lang w:val="en-GB" w:eastAsia="en-US"/>
              </w:rPr>
              <w:t>€</w:t>
            </w:r>
            <w:r w:rsidRPr="00E80090">
              <w:rPr>
                <w:rFonts w:asciiTheme="majorHAnsi" w:eastAsia="Times New Roman" w:hAnsiTheme="majorHAnsi" w:cs="Arial"/>
                <w:sz w:val="22"/>
                <w:szCs w:val="20"/>
                <w:lang w:val="en-GB" w:eastAsia="en-US"/>
              </w:rPr>
              <w:t xml:space="preserve"> 30</w:t>
            </w:r>
          </w:p>
        </w:tc>
      </w:tr>
      <w:tr w:rsidR="00132D51" w:rsidRPr="00E80090" w14:paraId="6E58429C" w14:textId="77777777" w:rsidTr="003271A0">
        <w:trPr>
          <w:trHeight w:val="300"/>
          <w:jc w:val="center"/>
        </w:trPr>
        <w:tc>
          <w:tcPr>
            <w:tcW w:w="3563" w:type="dxa"/>
            <w:tcBorders>
              <w:right w:val="single" w:sz="4" w:space="0" w:color="4F81BD"/>
            </w:tcBorders>
            <w:shd w:val="clear" w:color="auto" w:fill="auto"/>
            <w:vAlign w:val="center"/>
          </w:tcPr>
          <w:p w14:paraId="6E584299" w14:textId="77777777" w:rsidR="00132D51" w:rsidRPr="00E80090" w:rsidRDefault="00911385" w:rsidP="00B62760">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A</w:t>
            </w:r>
            <w:r w:rsidR="00132D51" w:rsidRPr="00E80090">
              <w:rPr>
                <w:rFonts w:asciiTheme="majorHAnsi" w:eastAsia="Times New Roman" w:hAnsiTheme="majorHAnsi" w:cs="Arial"/>
                <w:b/>
                <w:bCs/>
                <w:sz w:val="22"/>
                <w:szCs w:val="20"/>
                <w:lang w:val="en-GB" w:eastAsia="en-US"/>
              </w:rPr>
              <w:t>ccount statements (</w:t>
            </w:r>
            <w:r w:rsidR="003E2E13" w:rsidRPr="00E80090">
              <w:rPr>
                <w:rFonts w:asciiTheme="majorHAnsi" w:eastAsia="Times New Roman" w:hAnsiTheme="majorHAnsi" w:cs="Arial"/>
                <w:b/>
                <w:bCs/>
                <w:sz w:val="22"/>
                <w:szCs w:val="20"/>
                <w:lang w:val="en-GB" w:eastAsia="en-US"/>
              </w:rPr>
              <w:t>monthly</w:t>
            </w:r>
            <w:r w:rsidR="00132D51" w:rsidRPr="00E80090">
              <w:rPr>
                <w:rFonts w:asciiTheme="majorHAnsi" w:eastAsia="Times New Roman" w:hAnsiTheme="majorHAnsi" w:cs="Arial"/>
                <w:b/>
                <w:bCs/>
                <w:sz w:val="22"/>
                <w:szCs w:val="20"/>
                <w:lang w:val="en-GB" w:eastAsia="en-US"/>
              </w:rPr>
              <w:t>)</w:t>
            </w:r>
          </w:p>
        </w:tc>
        <w:tc>
          <w:tcPr>
            <w:tcW w:w="3111" w:type="dxa"/>
            <w:tcBorders>
              <w:left w:val="single" w:sz="4" w:space="0" w:color="4F81BD"/>
              <w:right w:val="single" w:sz="4" w:space="0" w:color="4F81BD"/>
            </w:tcBorders>
            <w:shd w:val="clear" w:color="auto" w:fill="auto"/>
            <w:vAlign w:val="center"/>
          </w:tcPr>
          <w:p w14:paraId="6E58429A" w14:textId="77777777" w:rsidR="00132D51" w:rsidRPr="00E80090" w:rsidRDefault="00132D51" w:rsidP="000758B8">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Free of charge</w:t>
            </w:r>
          </w:p>
        </w:tc>
        <w:tc>
          <w:tcPr>
            <w:tcW w:w="2458" w:type="dxa"/>
            <w:tcBorders>
              <w:left w:val="single" w:sz="4" w:space="0" w:color="4F81BD"/>
            </w:tcBorders>
            <w:shd w:val="clear" w:color="auto" w:fill="auto"/>
            <w:vAlign w:val="center"/>
          </w:tcPr>
          <w:p w14:paraId="6E58429B" w14:textId="77777777" w:rsidR="00132D51" w:rsidRPr="00E80090" w:rsidRDefault="00132D51" w:rsidP="000758B8">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BGN 20  </w:t>
            </w:r>
          </w:p>
        </w:tc>
      </w:tr>
      <w:tr w:rsidR="002F38E3" w:rsidRPr="00E80090" w14:paraId="6E5842A0" w14:textId="77777777" w:rsidTr="003271A0">
        <w:trPr>
          <w:trHeight w:val="300"/>
          <w:jc w:val="center"/>
        </w:trPr>
        <w:tc>
          <w:tcPr>
            <w:tcW w:w="3563" w:type="dxa"/>
            <w:tcBorders>
              <w:top w:val="single" w:sz="8" w:space="0" w:color="4BACC6"/>
              <w:bottom w:val="single" w:sz="8" w:space="0" w:color="4BACC6"/>
              <w:right w:val="single" w:sz="4" w:space="0" w:color="4F81BD"/>
            </w:tcBorders>
            <w:shd w:val="clear" w:color="auto" w:fill="auto"/>
            <w:vAlign w:val="center"/>
            <w:hideMark/>
          </w:tcPr>
          <w:p w14:paraId="6E58429D" w14:textId="77777777" w:rsidR="002F38E3" w:rsidRPr="00E80090" w:rsidRDefault="009F0269" w:rsidP="002F38E3">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Withdrawal in BGN</w:t>
            </w:r>
          </w:p>
        </w:tc>
        <w:tc>
          <w:tcPr>
            <w:tcW w:w="3111" w:type="dxa"/>
            <w:tcBorders>
              <w:top w:val="single" w:sz="8" w:space="0" w:color="4BACC6"/>
              <w:left w:val="single" w:sz="4" w:space="0" w:color="4F81BD"/>
              <w:bottom w:val="single" w:sz="8" w:space="0" w:color="4BACC6"/>
              <w:right w:val="single" w:sz="4" w:space="0" w:color="4F81BD"/>
            </w:tcBorders>
            <w:shd w:val="clear" w:color="auto" w:fill="auto"/>
            <w:vAlign w:val="center"/>
            <w:hideMark/>
          </w:tcPr>
          <w:p w14:paraId="6E58429E" w14:textId="77777777" w:rsidR="002F38E3" w:rsidRPr="00E80090" w:rsidRDefault="007C404C" w:rsidP="000758B8">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 0.3%</w:t>
            </w:r>
          </w:p>
        </w:tc>
        <w:tc>
          <w:tcPr>
            <w:tcW w:w="2458" w:type="dxa"/>
            <w:tcBorders>
              <w:top w:val="single" w:sz="8" w:space="0" w:color="4BACC6"/>
              <w:left w:val="single" w:sz="4" w:space="0" w:color="4F81BD"/>
              <w:bottom w:val="single" w:sz="8" w:space="0" w:color="4BACC6"/>
            </w:tcBorders>
            <w:shd w:val="clear" w:color="auto" w:fill="auto"/>
            <w:vAlign w:val="center"/>
            <w:hideMark/>
          </w:tcPr>
          <w:p w14:paraId="6E58429F" w14:textId="77777777" w:rsidR="002F38E3" w:rsidRPr="00E80090" w:rsidRDefault="007C404C" w:rsidP="000758B8">
            <w:pPr>
              <w:jc w:val="center"/>
              <w:rPr>
                <w:rFonts w:asciiTheme="majorHAnsi" w:eastAsia="Times New Roman" w:hAnsiTheme="majorHAnsi" w:cs="Arial"/>
                <w:sz w:val="22"/>
                <w:szCs w:val="20"/>
                <w:lang w:val="en-GB" w:eastAsia="en-US"/>
              </w:rPr>
            </w:pPr>
            <w:r w:rsidRPr="00E80090">
              <w:rPr>
                <w:rFonts w:asciiTheme="majorHAnsi" w:eastAsia="Times New Roman" w:hAnsiTheme="majorHAnsi" w:cs="Arial"/>
                <w:sz w:val="22"/>
                <w:szCs w:val="20"/>
                <w:lang w:val="en-GB" w:eastAsia="en-US"/>
              </w:rPr>
              <w:t>0.3% min. BGN 5</w:t>
            </w:r>
          </w:p>
        </w:tc>
      </w:tr>
      <w:tr w:rsidR="00C21717" w:rsidRPr="00E80090" w14:paraId="6E5842A4" w14:textId="77777777" w:rsidTr="003271A0">
        <w:trPr>
          <w:trHeight w:val="300"/>
          <w:jc w:val="center"/>
        </w:trPr>
        <w:tc>
          <w:tcPr>
            <w:tcW w:w="3563" w:type="dxa"/>
            <w:tcBorders>
              <w:top w:val="single" w:sz="8" w:space="0" w:color="4BACC6"/>
              <w:right w:val="single" w:sz="4" w:space="0" w:color="4F81BD"/>
            </w:tcBorders>
            <w:shd w:val="clear" w:color="auto" w:fill="auto"/>
            <w:vAlign w:val="center"/>
          </w:tcPr>
          <w:p w14:paraId="6E5842A1" w14:textId="77777777" w:rsidR="00C21717" w:rsidRPr="00E80090" w:rsidRDefault="00C21717" w:rsidP="00FF34FF">
            <w:pPr>
              <w:jc w:val="right"/>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Total fees</w:t>
            </w:r>
          </w:p>
        </w:tc>
        <w:tc>
          <w:tcPr>
            <w:tcW w:w="3111" w:type="dxa"/>
            <w:tcBorders>
              <w:top w:val="single" w:sz="8" w:space="0" w:color="4BACC6"/>
              <w:left w:val="single" w:sz="4" w:space="0" w:color="4F81BD"/>
              <w:bottom w:val="single" w:sz="8" w:space="0" w:color="4BACC6"/>
              <w:right w:val="single" w:sz="4" w:space="0" w:color="4F81BD"/>
            </w:tcBorders>
            <w:shd w:val="clear" w:color="auto" w:fill="auto"/>
            <w:vAlign w:val="center"/>
          </w:tcPr>
          <w:p w14:paraId="6E5842A2" w14:textId="77777777" w:rsidR="00C21717" w:rsidRPr="00E80090" w:rsidRDefault="00595773" w:rsidP="000758B8">
            <w:pPr>
              <w:jc w:val="center"/>
              <w:rPr>
                <w:rFonts w:asciiTheme="majorHAnsi" w:eastAsia="Times New Roman" w:hAnsiTheme="majorHAnsi" w:cs="Arial"/>
                <w:b/>
                <w:sz w:val="22"/>
                <w:szCs w:val="20"/>
                <w:lang w:val="en-GB" w:eastAsia="en-US"/>
              </w:rPr>
            </w:pPr>
            <w:r w:rsidRPr="00E80090">
              <w:rPr>
                <w:rFonts w:asciiTheme="majorHAnsi" w:eastAsia="Times New Roman" w:hAnsiTheme="majorHAnsi" w:cs="Arial"/>
                <w:sz w:val="22"/>
                <w:szCs w:val="22"/>
                <w:lang w:val="en-GB" w:eastAsia="en-US"/>
              </w:rPr>
              <w:t>€</w:t>
            </w:r>
            <w:r w:rsidR="0099102E" w:rsidRPr="00E80090">
              <w:rPr>
                <w:rFonts w:asciiTheme="majorHAnsi" w:eastAsia="Times New Roman" w:hAnsiTheme="majorHAnsi" w:cs="Arial"/>
                <w:b/>
                <w:sz w:val="22"/>
                <w:szCs w:val="20"/>
                <w:lang w:val="en-GB" w:eastAsia="en-US"/>
              </w:rPr>
              <w:t xml:space="preserve"> </w:t>
            </w:r>
            <w:r w:rsidR="00C21717" w:rsidRPr="00E80090">
              <w:rPr>
                <w:rFonts w:asciiTheme="majorHAnsi" w:eastAsia="Times New Roman" w:hAnsiTheme="majorHAnsi" w:cs="Arial"/>
                <w:b/>
                <w:sz w:val="22"/>
                <w:szCs w:val="20"/>
                <w:lang w:val="en-GB" w:eastAsia="en-US"/>
              </w:rPr>
              <w:t>3,</w:t>
            </w:r>
            <w:r w:rsidR="00A05E1E" w:rsidRPr="00E80090">
              <w:rPr>
                <w:rFonts w:asciiTheme="majorHAnsi" w:eastAsia="Times New Roman" w:hAnsiTheme="majorHAnsi" w:cs="Arial"/>
                <w:b/>
                <w:sz w:val="22"/>
                <w:szCs w:val="20"/>
                <w:lang w:val="en-GB" w:eastAsia="en-US"/>
              </w:rPr>
              <w:t>751</w:t>
            </w:r>
            <w:r w:rsidR="00C21717" w:rsidRPr="00E80090">
              <w:rPr>
                <w:rFonts w:asciiTheme="majorHAnsi" w:eastAsia="Times New Roman" w:hAnsiTheme="majorHAnsi" w:cs="Arial"/>
                <w:b/>
                <w:sz w:val="22"/>
                <w:szCs w:val="20"/>
                <w:lang w:val="en-GB" w:eastAsia="en-US"/>
              </w:rPr>
              <w:t>.</w:t>
            </w:r>
            <w:r w:rsidR="00A05E1E" w:rsidRPr="00E80090">
              <w:rPr>
                <w:rFonts w:asciiTheme="majorHAnsi" w:eastAsia="Times New Roman" w:hAnsiTheme="majorHAnsi" w:cs="Arial"/>
                <w:b/>
                <w:sz w:val="22"/>
                <w:szCs w:val="20"/>
                <w:lang w:val="en-GB" w:eastAsia="en-US"/>
              </w:rPr>
              <w:t>35</w:t>
            </w:r>
            <w:r w:rsidR="0099102E" w:rsidRPr="00E80090">
              <w:rPr>
                <w:rStyle w:val="Voetnootmarkering"/>
                <w:rFonts w:asciiTheme="majorHAnsi" w:eastAsia="Times New Roman" w:hAnsiTheme="majorHAnsi" w:cs="Arial"/>
                <w:b/>
                <w:sz w:val="22"/>
                <w:szCs w:val="20"/>
                <w:lang w:val="en-GB" w:eastAsia="en-US"/>
              </w:rPr>
              <w:footnoteReference w:id="3"/>
            </w:r>
          </w:p>
        </w:tc>
        <w:tc>
          <w:tcPr>
            <w:tcW w:w="2458" w:type="dxa"/>
            <w:tcBorders>
              <w:top w:val="single" w:sz="8" w:space="0" w:color="4BACC6"/>
              <w:left w:val="single" w:sz="4" w:space="0" w:color="4F81BD"/>
            </w:tcBorders>
            <w:shd w:val="clear" w:color="auto" w:fill="auto"/>
            <w:vAlign w:val="center"/>
          </w:tcPr>
          <w:p w14:paraId="6E5842A3" w14:textId="77777777" w:rsidR="00C21717" w:rsidRPr="00E80090" w:rsidRDefault="00595773" w:rsidP="004F04CA">
            <w:pPr>
              <w:keepNext/>
              <w:jc w:val="center"/>
              <w:rPr>
                <w:rFonts w:asciiTheme="majorHAnsi" w:eastAsia="Times New Roman" w:hAnsiTheme="majorHAnsi" w:cs="Arial"/>
                <w:b/>
                <w:sz w:val="22"/>
                <w:szCs w:val="20"/>
                <w:lang w:val="en-GB" w:eastAsia="en-US"/>
              </w:rPr>
            </w:pPr>
            <w:r w:rsidRPr="00E80090">
              <w:rPr>
                <w:rFonts w:asciiTheme="majorHAnsi" w:eastAsia="Times New Roman" w:hAnsiTheme="majorHAnsi" w:cs="Arial"/>
                <w:sz w:val="22"/>
                <w:szCs w:val="22"/>
                <w:lang w:val="en-GB" w:eastAsia="en-US"/>
              </w:rPr>
              <w:t>€</w:t>
            </w:r>
            <w:r w:rsidR="0099102E" w:rsidRPr="00E80090">
              <w:rPr>
                <w:rFonts w:asciiTheme="majorHAnsi" w:eastAsia="Times New Roman" w:hAnsiTheme="majorHAnsi" w:cs="Arial"/>
                <w:b/>
                <w:sz w:val="22"/>
                <w:szCs w:val="20"/>
                <w:lang w:val="en-GB" w:eastAsia="en-US"/>
              </w:rPr>
              <w:t xml:space="preserve"> </w:t>
            </w:r>
            <w:r w:rsidR="00B07398" w:rsidRPr="00E80090">
              <w:rPr>
                <w:rFonts w:asciiTheme="majorHAnsi" w:eastAsia="Times New Roman" w:hAnsiTheme="majorHAnsi" w:cs="Arial"/>
                <w:b/>
                <w:sz w:val="22"/>
                <w:szCs w:val="20"/>
                <w:lang w:val="en-GB" w:eastAsia="en-US"/>
              </w:rPr>
              <w:t>4,30</w:t>
            </w:r>
            <w:r w:rsidR="00A05E1E" w:rsidRPr="00E80090">
              <w:rPr>
                <w:rFonts w:asciiTheme="majorHAnsi" w:eastAsia="Times New Roman" w:hAnsiTheme="majorHAnsi" w:cs="Arial"/>
                <w:b/>
                <w:sz w:val="22"/>
                <w:szCs w:val="20"/>
                <w:lang w:val="en-GB" w:eastAsia="en-US"/>
              </w:rPr>
              <w:t>8</w:t>
            </w:r>
            <w:r w:rsidR="00B07398" w:rsidRPr="00E80090">
              <w:rPr>
                <w:rFonts w:asciiTheme="majorHAnsi" w:eastAsia="Times New Roman" w:hAnsiTheme="majorHAnsi" w:cs="Arial"/>
                <w:b/>
                <w:sz w:val="22"/>
                <w:szCs w:val="20"/>
                <w:lang w:val="en-GB" w:eastAsia="en-US"/>
              </w:rPr>
              <w:t>.</w:t>
            </w:r>
            <w:r w:rsidR="00A05E1E" w:rsidRPr="00E80090">
              <w:rPr>
                <w:rFonts w:asciiTheme="majorHAnsi" w:eastAsia="Times New Roman" w:hAnsiTheme="majorHAnsi" w:cs="Arial"/>
                <w:b/>
                <w:sz w:val="22"/>
                <w:szCs w:val="20"/>
                <w:lang w:val="en-GB" w:eastAsia="en-US"/>
              </w:rPr>
              <w:t>79</w:t>
            </w:r>
            <w:r w:rsidR="004F04CA" w:rsidRPr="00E80090">
              <w:rPr>
                <w:rFonts w:asciiTheme="majorHAnsi" w:hAnsiTheme="majorHAnsi"/>
                <w:vertAlign w:val="superscript"/>
                <w:lang w:val="en-GB"/>
              </w:rPr>
              <w:t>3</w:t>
            </w:r>
          </w:p>
        </w:tc>
      </w:tr>
    </w:tbl>
    <w:p w14:paraId="6E5842A5" w14:textId="77777777" w:rsidR="005C6156" w:rsidRPr="00E80090" w:rsidRDefault="005C6156" w:rsidP="00BA4BEE">
      <w:pPr>
        <w:pStyle w:val="Bijschrift"/>
        <w:jc w:val="center"/>
        <w:rPr>
          <w:rFonts w:asciiTheme="majorHAnsi" w:hAnsiTheme="majorHAnsi"/>
          <w:sz w:val="10"/>
          <w:lang w:val="en-GB"/>
        </w:rPr>
      </w:pPr>
    </w:p>
    <w:p w14:paraId="6E5842A6" w14:textId="77777777" w:rsidR="0009663A" w:rsidRPr="00E80090" w:rsidRDefault="00BA4BEE" w:rsidP="00BA4BEE">
      <w:pPr>
        <w:pStyle w:val="Bijschrift"/>
        <w:jc w:val="center"/>
        <w:rPr>
          <w:rFonts w:asciiTheme="majorHAnsi" w:hAnsiTheme="majorHAnsi"/>
          <w:color w:val="4F81BD"/>
          <w:lang w:val="en-GB"/>
        </w:rPr>
      </w:pPr>
      <w:r w:rsidRPr="00E80090">
        <w:rPr>
          <w:rFonts w:asciiTheme="majorHAnsi" w:hAnsiTheme="majorHAnsi"/>
          <w:color w:val="4F81BD"/>
          <w:lang w:val="en-GB"/>
        </w:rPr>
        <w:t xml:space="preserve">Table </w:t>
      </w:r>
      <w:r w:rsidR="00700AD0" w:rsidRPr="00E80090">
        <w:rPr>
          <w:rFonts w:asciiTheme="majorHAnsi" w:hAnsiTheme="majorHAnsi"/>
          <w:color w:val="4F81BD"/>
          <w:lang w:val="en-GB"/>
        </w:rPr>
        <w:fldChar w:fldCharType="begin"/>
      </w:r>
      <w:r w:rsidR="00700AD0" w:rsidRPr="00E80090">
        <w:rPr>
          <w:rFonts w:asciiTheme="majorHAnsi" w:hAnsiTheme="majorHAnsi"/>
          <w:color w:val="4F81BD"/>
          <w:lang w:val="en-GB"/>
        </w:rPr>
        <w:instrText xml:space="preserve"> SEQ Table \* ARABIC </w:instrText>
      </w:r>
      <w:r w:rsidR="00700AD0" w:rsidRPr="00E80090">
        <w:rPr>
          <w:rFonts w:asciiTheme="majorHAnsi" w:hAnsiTheme="majorHAnsi"/>
          <w:color w:val="4F81BD"/>
          <w:lang w:val="en-GB"/>
        </w:rPr>
        <w:fldChar w:fldCharType="separate"/>
      </w:r>
      <w:r w:rsidR="00E80090">
        <w:rPr>
          <w:rFonts w:asciiTheme="majorHAnsi" w:hAnsiTheme="majorHAnsi"/>
          <w:noProof/>
          <w:color w:val="4F81BD"/>
          <w:lang w:val="en-GB"/>
        </w:rPr>
        <w:t>2</w:t>
      </w:r>
      <w:r w:rsidR="00700AD0" w:rsidRPr="00E80090">
        <w:rPr>
          <w:rFonts w:asciiTheme="majorHAnsi" w:hAnsiTheme="majorHAnsi"/>
          <w:color w:val="4F81BD"/>
          <w:lang w:val="en-GB"/>
        </w:rPr>
        <w:fldChar w:fldCharType="end"/>
      </w:r>
      <w:r w:rsidRPr="00E80090">
        <w:rPr>
          <w:rFonts w:asciiTheme="majorHAnsi" w:hAnsiTheme="majorHAnsi"/>
          <w:color w:val="4F81BD"/>
          <w:lang w:val="en-GB"/>
        </w:rPr>
        <w:t>: Bulgaria pricing benchmark</w:t>
      </w:r>
    </w:p>
    <w:p w14:paraId="6E5842A7" w14:textId="77777777" w:rsidR="00F82C6E" w:rsidRPr="00E80090" w:rsidRDefault="00F82C6E" w:rsidP="00F82C6E">
      <w:pPr>
        <w:rPr>
          <w:sz w:val="14"/>
          <w:lang w:val="en-GB"/>
        </w:rPr>
      </w:pPr>
    </w:p>
    <w:p w14:paraId="6E5842A8" w14:textId="77777777" w:rsidR="00EE3090" w:rsidRPr="00E80090" w:rsidRDefault="00EE3090" w:rsidP="00C21717">
      <w:pPr>
        <w:spacing w:after="200" w:line="360" w:lineRule="auto"/>
        <w:jc w:val="both"/>
        <w:rPr>
          <w:rFonts w:asciiTheme="majorHAnsi" w:hAnsiTheme="majorHAnsi"/>
          <w:lang w:val="en-GB"/>
        </w:rPr>
      </w:pPr>
      <w:r w:rsidRPr="00E80090">
        <w:rPr>
          <w:rFonts w:asciiTheme="majorHAnsi" w:hAnsiTheme="majorHAnsi"/>
          <w:lang w:val="en-GB"/>
        </w:rPr>
        <w:t xml:space="preserve">It can be seen that Citibank offers </w:t>
      </w:r>
      <w:r w:rsidR="00E4651B" w:rsidRPr="00E80090">
        <w:rPr>
          <w:rFonts w:asciiTheme="majorHAnsi" w:hAnsiTheme="majorHAnsi"/>
          <w:lang w:val="en-GB"/>
        </w:rPr>
        <w:t>a free of charge service</w:t>
      </w:r>
      <w:r w:rsidRPr="00E80090">
        <w:rPr>
          <w:rFonts w:asciiTheme="majorHAnsi" w:hAnsiTheme="majorHAnsi"/>
          <w:lang w:val="en-GB"/>
        </w:rPr>
        <w:t xml:space="preserve"> </w:t>
      </w:r>
      <w:r w:rsidR="00E4651B" w:rsidRPr="00E80090">
        <w:rPr>
          <w:rFonts w:asciiTheme="majorHAnsi" w:hAnsiTheme="majorHAnsi"/>
          <w:lang w:val="en-GB"/>
        </w:rPr>
        <w:t>for</w:t>
      </w:r>
      <w:r w:rsidRPr="00E80090">
        <w:rPr>
          <w:rFonts w:asciiTheme="majorHAnsi" w:hAnsiTheme="majorHAnsi"/>
          <w:lang w:val="en-GB"/>
        </w:rPr>
        <w:t xml:space="preserve"> account maintenance and </w:t>
      </w:r>
      <w:r w:rsidR="00E4651B" w:rsidRPr="00E80090">
        <w:rPr>
          <w:rFonts w:asciiTheme="majorHAnsi" w:hAnsiTheme="majorHAnsi"/>
          <w:lang w:val="en-GB"/>
        </w:rPr>
        <w:t xml:space="preserve">incoming payments in BGN. Moreover, Sun Chemical pays a fixed fee for all branches linked to its </w:t>
      </w:r>
      <w:r w:rsidR="009F4FE8" w:rsidRPr="00E80090">
        <w:rPr>
          <w:rFonts w:asciiTheme="majorHAnsi" w:hAnsiTheme="majorHAnsi"/>
          <w:lang w:val="en-GB"/>
        </w:rPr>
        <w:t>corporate</w:t>
      </w:r>
      <w:r w:rsidR="00E4651B" w:rsidRPr="00E80090">
        <w:rPr>
          <w:rFonts w:asciiTheme="majorHAnsi" w:hAnsiTheme="majorHAnsi"/>
          <w:lang w:val="en-GB"/>
        </w:rPr>
        <w:t xml:space="preserve"> CitiDirect platform. </w:t>
      </w:r>
      <w:r w:rsidR="009639E7" w:rsidRPr="00E80090">
        <w:rPr>
          <w:rFonts w:asciiTheme="majorHAnsi" w:hAnsiTheme="majorHAnsi"/>
          <w:lang w:val="en-GB"/>
        </w:rPr>
        <w:t xml:space="preserve">Thus, local charges for electronic banking can be avoided by adding </w:t>
      </w:r>
      <w:r w:rsidR="000C65F6" w:rsidRPr="00E80090">
        <w:rPr>
          <w:rFonts w:asciiTheme="majorHAnsi" w:hAnsiTheme="majorHAnsi"/>
          <w:lang w:val="en-GB"/>
        </w:rPr>
        <w:t xml:space="preserve">Sun Chemical Bulgaria </w:t>
      </w:r>
      <w:r w:rsidR="009639E7" w:rsidRPr="00E80090">
        <w:rPr>
          <w:rFonts w:asciiTheme="majorHAnsi" w:hAnsiTheme="majorHAnsi"/>
          <w:lang w:val="en-GB"/>
        </w:rPr>
        <w:t xml:space="preserve">to that </w:t>
      </w:r>
      <w:r w:rsidR="00F946BC" w:rsidRPr="00E80090">
        <w:rPr>
          <w:rFonts w:asciiTheme="majorHAnsi" w:hAnsiTheme="majorHAnsi"/>
          <w:lang w:val="en-GB"/>
        </w:rPr>
        <w:t>platform</w:t>
      </w:r>
      <w:r w:rsidR="00E4651B" w:rsidRPr="00E80090">
        <w:rPr>
          <w:rFonts w:asciiTheme="majorHAnsi" w:hAnsiTheme="majorHAnsi"/>
          <w:lang w:val="en-GB"/>
        </w:rPr>
        <w:t>.</w:t>
      </w:r>
      <w:r w:rsidR="00E4628C" w:rsidRPr="00E80090">
        <w:rPr>
          <w:rFonts w:asciiTheme="majorHAnsi" w:hAnsiTheme="majorHAnsi"/>
          <w:lang w:val="en-GB"/>
        </w:rPr>
        <w:t xml:space="preserve"> Citibank</w:t>
      </w:r>
      <w:r w:rsidR="00E4651B" w:rsidRPr="00E80090">
        <w:rPr>
          <w:rFonts w:asciiTheme="majorHAnsi" w:hAnsiTheme="majorHAnsi"/>
          <w:lang w:val="en-GB"/>
        </w:rPr>
        <w:t xml:space="preserve"> also has preferential pricing for </w:t>
      </w:r>
      <w:r w:rsidRPr="00E80090">
        <w:rPr>
          <w:rFonts w:asciiTheme="majorHAnsi" w:hAnsiTheme="majorHAnsi"/>
          <w:lang w:val="en-GB"/>
        </w:rPr>
        <w:t>outgoing payments in BGN. On the other hand, looking at the fees for outgoing foreign exchange (FCY) payments and monthly account statements ING has a better offer.</w:t>
      </w:r>
      <w:r w:rsidR="00F5066C" w:rsidRPr="00E80090">
        <w:rPr>
          <w:rFonts w:asciiTheme="majorHAnsi" w:hAnsiTheme="majorHAnsi"/>
          <w:lang w:val="en-GB"/>
        </w:rPr>
        <w:t xml:space="preserve"> Finally, t</w:t>
      </w:r>
      <w:r w:rsidRPr="00E80090">
        <w:rPr>
          <w:rFonts w:asciiTheme="majorHAnsi" w:hAnsiTheme="majorHAnsi"/>
          <w:lang w:val="en-GB"/>
        </w:rPr>
        <w:t xml:space="preserve">he cash withdrawal </w:t>
      </w:r>
      <w:r w:rsidR="00DF213A" w:rsidRPr="00E80090">
        <w:rPr>
          <w:rFonts w:asciiTheme="majorHAnsi" w:hAnsiTheme="majorHAnsi"/>
          <w:lang w:val="en-GB"/>
        </w:rPr>
        <w:t>fees of</w:t>
      </w:r>
      <w:r w:rsidRPr="00E80090">
        <w:rPr>
          <w:rFonts w:asciiTheme="majorHAnsi" w:hAnsiTheme="majorHAnsi"/>
          <w:lang w:val="en-GB"/>
        </w:rPr>
        <w:t xml:space="preserve"> </w:t>
      </w:r>
      <w:r w:rsidR="00B47135" w:rsidRPr="00E80090">
        <w:rPr>
          <w:rFonts w:asciiTheme="majorHAnsi" w:hAnsiTheme="majorHAnsi"/>
          <w:lang w:val="en-GB"/>
        </w:rPr>
        <w:t>the two</w:t>
      </w:r>
      <w:r w:rsidRPr="00E80090">
        <w:rPr>
          <w:rFonts w:asciiTheme="majorHAnsi" w:hAnsiTheme="majorHAnsi"/>
          <w:lang w:val="en-GB"/>
        </w:rPr>
        <w:t xml:space="preserve"> banks are very close.</w:t>
      </w:r>
    </w:p>
    <w:p w14:paraId="6E5842A9" w14:textId="77777777" w:rsidR="00C21717" w:rsidRPr="00E80090" w:rsidRDefault="00FD46C2" w:rsidP="00C21717">
      <w:pPr>
        <w:spacing w:after="200" w:line="360" w:lineRule="auto"/>
        <w:jc w:val="both"/>
        <w:rPr>
          <w:rFonts w:asciiTheme="majorHAnsi" w:hAnsiTheme="majorHAnsi"/>
          <w:lang w:val="en-GB"/>
        </w:rPr>
      </w:pPr>
      <w:r w:rsidRPr="00E80090">
        <w:rPr>
          <w:rFonts w:asciiTheme="majorHAnsi" w:hAnsiTheme="majorHAnsi"/>
          <w:lang w:val="en-GB"/>
        </w:rPr>
        <w:t>Even though Citibank has more competitive pricing on almost all components, i</w:t>
      </w:r>
      <w:r w:rsidR="00C21717" w:rsidRPr="00E80090">
        <w:rPr>
          <w:rFonts w:asciiTheme="majorHAnsi" w:hAnsiTheme="majorHAnsi"/>
          <w:lang w:val="en-GB"/>
        </w:rPr>
        <w:t>t is visible that ING has a better propos</w:t>
      </w:r>
      <w:r w:rsidRPr="00E80090">
        <w:rPr>
          <w:rFonts w:asciiTheme="majorHAnsi" w:hAnsiTheme="majorHAnsi"/>
          <w:lang w:val="en-GB"/>
        </w:rPr>
        <w:t xml:space="preserve">ition </w:t>
      </w:r>
      <w:r w:rsidR="006D1030" w:rsidRPr="00E80090">
        <w:rPr>
          <w:rFonts w:asciiTheme="majorHAnsi" w:hAnsiTheme="majorHAnsi"/>
          <w:lang w:val="en-GB"/>
        </w:rPr>
        <w:t>when</w:t>
      </w:r>
      <w:r w:rsidRPr="00E80090">
        <w:rPr>
          <w:rFonts w:asciiTheme="majorHAnsi" w:hAnsiTheme="majorHAnsi"/>
          <w:lang w:val="en-GB"/>
        </w:rPr>
        <w:t xml:space="preserve"> the total costs</w:t>
      </w:r>
      <w:r w:rsidR="006D1030" w:rsidRPr="00E80090">
        <w:rPr>
          <w:rFonts w:asciiTheme="majorHAnsi" w:hAnsiTheme="majorHAnsi"/>
          <w:lang w:val="en-GB"/>
        </w:rPr>
        <w:t xml:space="preserve"> are concerned</w:t>
      </w:r>
      <w:r w:rsidRPr="00E80090">
        <w:rPr>
          <w:rFonts w:asciiTheme="majorHAnsi" w:hAnsiTheme="majorHAnsi"/>
          <w:lang w:val="en-GB"/>
        </w:rPr>
        <w:t xml:space="preserve">. </w:t>
      </w:r>
      <w:r w:rsidR="00C21717" w:rsidRPr="00E80090">
        <w:rPr>
          <w:rFonts w:asciiTheme="majorHAnsi" w:hAnsiTheme="majorHAnsi"/>
          <w:lang w:val="en-GB"/>
        </w:rPr>
        <w:t xml:space="preserve">This is due to </w:t>
      </w:r>
      <w:r w:rsidRPr="00E80090">
        <w:rPr>
          <w:rFonts w:asciiTheme="majorHAnsi" w:hAnsiTheme="majorHAnsi"/>
          <w:lang w:val="en-GB"/>
        </w:rPr>
        <w:t xml:space="preserve">the high volume of the outgoing FCY payments, </w:t>
      </w:r>
      <w:r w:rsidR="00023A9C" w:rsidRPr="00E80090">
        <w:rPr>
          <w:rFonts w:asciiTheme="majorHAnsi" w:hAnsiTheme="majorHAnsi"/>
          <w:lang w:val="en-GB"/>
        </w:rPr>
        <w:t xml:space="preserve">which are provided </w:t>
      </w:r>
      <w:r w:rsidR="006D1030" w:rsidRPr="00E80090">
        <w:rPr>
          <w:rFonts w:asciiTheme="majorHAnsi" w:hAnsiTheme="majorHAnsi"/>
          <w:lang w:val="en-GB"/>
        </w:rPr>
        <w:t>at a lower cost</w:t>
      </w:r>
      <w:r w:rsidR="00023A9C" w:rsidRPr="00E80090">
        <w:rPr>
          <w:rFonts w:asciiTheme="majorHAnsi" w:hAnsiTheme="majorHAnsi"/>
          <w:lang w:val="en-GB"/>
        </w:rPr>
        <w:t xml:space="preserve"> at the moment than Citibank has proposed for the future. </w:t>
      </w:r>
    </w:p>
    <w:p w14:paraId="6E5842AA" w14:textId="77777777" w:rsidR="00001664" w:rsidRPr="00E80090" w:rsidRDefault="00B87440" w:rsidP="00261CC3">
      <w:pPr>
        <w:pStyle w:val="Kop2"/>
        <w:numPr>
          <w:ilvl w:val="2"/>
          <w:numId w:val="12"/>
        </w:numPr>
        <w:spacing w:line="360" w:lineRule="auto"/>
        <w:rPr>
          <w:rFonts w:asciiTheme="majorHAnsi" w:hAnsiTheme="majorHAnsi"/>
          <w:sz w:val="22"/>
          <w:szCs w:val="24"/>
          <w:lang w:val="en-GB"/>
        </w:rPr>
      </w:pPr>
      <w:bookmarkStart w:id="107" w:name="_Toc360633027"/>
      <w:bookmarkStart w:id="108" w:name="_Toc368290357"/>
      <w:r w:rsidRPr="00E80090">
        <w:rPr>
          <w:rFonts w:asciiTheme="majorHAnsi" w:hAnsiTheme="majorHAnsi"/>
          <w:sz w:val="24"/>
          <w:lang w:val="en-GB"/>
        </w:rPr>
        <w:lastRenderedPageBreak/>
        <w:t>Romania</w:t>
      </w:r>
      <w:bookmarkEnd w:id="107"/>
      <w:bookmarkEnd w:id="108"/>
      <w:r w:rsidRPr="00E80090">
        <w:rPr>
          <w:rFonts w:asciiTheme="majorHAnsi" w:hAnsiTheme="majorHAnsi"/>
          <w:sz w:val="22"/>
          <w:szCs w:val="24"/>
          <w:lang w:val="en-GB"/>
        </w:rPr>
        <w:t xml:space="preserve"> </w:t>
      </w:r>
      <w:bookmarkEnd w:id="105"/>
      <w:bookmarkEnd w:id="106"/>
    </w:p>
    <w:p w14:paraId="6E5842AB" w14:textId="77777777" w:rsidR="00D475EC" w:rsidRPr="00E80090" w:rsidRDefault="00001664" w:rsidP="005C6156">
      <w:pPr>
        <w:spacing w:after="200" w:line="360" w:lineRule="auto"/>
        <w:jc w:val="both"/>
        <w:rPr>
          <w:rFonts w:asciiTheme="majorHAnsi" w:hAnsiTheme="majorHAnsi"/>
          <w:lang w:val="en-GB"/>
        </w:rPr>
      </w:pPr>
      <w:r w:rsidRPr="00E80090">
        <w:rPr>
          <w:rFonts w:asciiTheme="majorHAnsi" w:hAnsiTheme="majorHAnsi"/>
          <w:lang w:val="en-GB"/>
        </w:rPr>
        <w:t>The table below pr</w:t>
      </w:r>
      <w:r w:rsidR="006E04CB" w:rsidRPr="00E80090">
        <w:rPr>
          <w:rFonts w:asciiTheme="majorHAnsi" w:hAnsiTheme="majorHAnsi"/>
          <w:lang w:val="en-GB"/>
        </w:rPr>
        <w:t xml:space="preserve">esents the current fees paid by </w:t>
      </w:r>
      <w:r w:rsidRPr="00E80090">
        <w:rPr>
          <w:rFonts w:asciiTheme="majorHAnsi" w:hAnsiTheme="majorHAnsi"/>
          <w:lang w:val="en-GB"/>
        </w:rPr>
        <w:t>Sun Chemical Romania SRL</w:t>
      </w:r>
      <w:r w:rsidR="006E04CB" w:rsidRPr="00E80090">
        <w:rPr>
          <w:rFonts w:asciiTheme="majorHAnsi" w:hAnsiTheme="majorHAnsi"/>
          <w:lang w:val="en-GB"/>
        </w:rPr>
        <w:t xml:space="preserve"> to Volksbank</w:t>
      </w:r>
      <w:r w:rsidRPr="00E80090">
        <w:rPr>
          <w:rFonts w:asciiTheme="majorHAnsi" w:hAnsiTheme="majorHAnsi"/>
          <w:lang w:val="en-GB"/>
        </w:rPr>
        <w:t xml:space="preserve"> and the </w:t>
      </w:r>
      <w:r w:rsidR="0022509C" w:rsidRPr="00E80090">
        <w:rPr>
          <w:rFonts w:asciiTheme="majorHAnsi" w:hAnsiTheme="majorHAnsi"/>
          <w:lang w:val="en-GB"/>
        </w:rPr>
        <w:t>ones</w:t>
      </w:r>
      <w:r w:rsidRPr="00E80090">
        <w:rPr>
          <w:rFonts w:asciiTheme="majorHAnsi" w:hAnsiTheme="majorHAnsi"/>
          <w:lang w:val="en-GB"/>
        </w:rPr>
        <w:t xml:space="preserve"> proposed by Citibank. It can be seen that on most items Citibank offers </w:t>
      </w:r>
      <w:r w:rsidR="0006301E" w:rsidRPr="00E80090">
        <w:rPr>
          <w:rFonts w:asciiTheme="majorHAnsi" w:hAnsiTheme="majorHAnsi"/>
          <w:lang w:val="en-GB"/>
        </w:rPr>
        <w:t>a</w:t>
      </w:r>
      <w:r w:rsidR="00DD51C9" w:rsidRPr="00E80090">
        <w:rPr>
          <w:rFonts w:asciiTheme="majorHAnsi" w:hAnsiTheme="majorHAnsi"/>
          <w:lang w:val="en-GB"/>
        </w:rPr>
        <w:t xml:space="preserve"> better</w:t>
      </w:r>
      <w:r w:rsidRPr="00E80090">
        <w:rPr>
          <w:rFonts w:asciiTheme="majorHAnsi" w:hAnsiTheme="majorHAnsi"/>
          <w:lang w:val="en-GB"/>
        </w:rPr>
        <w:t xml:space="preserve"> pricing. Only on cash withdrawal does Volksbank beat the offer of Citibank. However, it is a co</w:t>
      </w:r>
      <w:r w:rsidR="00015052" w:rsidRPr="00E80090">
        <w:rPr>
          <w:rFonts w:asciiTheme="majorHAnsi" w:hAnsiTheme="majorHAnsi"/>
          <w:lang w:val="en-GB"/>
        </w:rPr>
        <w:t>rporate</w:t>
      </w:r>
      <w:r w:rsidRPr="00E80090">
        <w:rPr>
          <w:rFonts w:asciiTheme="majorHAnsi" w:hAnsiTheme="majorHAnsi"/>
          <w:lang w:val="en-GB"/>
        </w:rPr>
        <w:t xml:space="preserve"> policy to get rid of cash </w:t>
      </w:r>
      <w:r w:rsidR="00DD51C9" w:rsidRPr="00E80090">
        <w:rPr>
          <w:rFonts w:asciiTheme="majorHAnsi" w:hAnsiTheme="majorHAnsi"/>
          <w:lang w:val="en-GB"/>
        </w:rPr>
        <w:t xml:space="preserve">transactions and </w:t>
      </w:r>
      <w:r w:rsidRPr="00E80090">
        <w:rPr>
          <w:rFonts w:asciiTheme="majorHAnsi" w:hAnsiTheme="majorHAnsi"/>
          <w:lang w:val="en-GB"/>
        </w:rPr>
        <w:t xml:space="preserve">the entity may not need to use this service in the future. </w:t>
      </w:r>
    </w:p>
    <w:tbl>
      <w:tblPr>
        <w:tblpPr w:leftFromText="180" w:rightFromText="180" w:vertAnchor="text" w:horzAnchor="margin" w:tblpXSpec="center" w:tblpY="30"/>
        <w:tblW w:w="0" w:type="auto"/>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3240"/>
        <w:gridCol w:w="2610"/>
        <w:gridCol w:w="3134"/>
      </w:tblGrid>
      <w:tr w:rsidR="00710694" w:rsidRPr="00E80090" w14:paraId="6E5842AF" w14:textId="77777777" w:rsidTr="00710694">
        <w:trPr>
          <w:trHeight w:val="322"/>
          <w:jc w:val="center"/>
        </w:trPr>
        <w:tc>
          <w:tcPr>
            <w:tcW w:w="3240" w:type="dxa"/>
            <w:tcBorders>
              <w:top w:val="single" w:sz="8" w:space="0" w:color="4BACC6"/>
              <w:right w:val="single" w:sz="4" w:space="0" w:color="4F81BD"/>
            </w:tcBorders>
            <w:shd w:val="clear" w:color="auto" w:fill="4BACC6"/>
            <w:noWrap/>
            <w:vAlign w:val="center"/>
          </w:tcPr>
          <w:p w14:paraId="6E5842AC" w14:textId="77777777" w:rsidR="00710694" w:rsidRPr="00E80090" w:rsidRDefault="00710694" w:rsidP="00710694">
            <w:pPr>
              <w:rPr>
                <w:rFonts w:asciiTheme="majorHAnsi" w:hAnsiTheme="majorHAnsi" w:cs="Cambria"/>
                <w:b/>
                <w:bCs/>
                <w:color w:val="FFFFFF"/>
                <w:lang w:val="en-GB" w:eastAsia="en-US"/>
              </w:rPr>
            </w:pPr>
            <w:r w:rsidRPr="00E80090">
              <w:rPr>
                <w:rFonts w:asciiTheme="majorHAnsi" w:hAnsiTheme="majorHAnsi" w:cs="Cambria"/>
                <w:b/>
                <w:bCs/>
                <w:color w:val="FFFFFF"/>
                <w:lang w:val="en-GB" w:eastAsia="en-US"/>
              </w:rPr>
              <w:t>Product:</w:t>
            </w:r>
          </w:p>
        </w:tc>
        <w:tc>
          <w:tcPr>
            <w:tcW w:w="2610" w:type="dxa"/>
            <w:tcBorders>
              <w:top w:val="single" w:sz="8" w:space="0" w:color="4BACC6"/>
              <w:left w:val="single" w:sz="4" w:space="0" w:color="4F81BD"/>
              <w:right w:val="single" w:sz="4" w:space="0" w:color="4F81BD"/>
            </w:tcBorders>
            <w:shd w:val="clear" w:color="auto" w:fill="4BACC6"/>
            <w:noWrap/>
            <w:vAlign w:val="center"/>
          </w:tcPr>
          <w:p w14:paraId="6E5842AD" w14:textId="77777777" w:rsidR="00710694" w:rsidRPr="00E80090" w:rsidRDefault="00AC2B35" w:rsidP="00AC2B35">
            <w:pPr>
              <w:jc w:val="center"/>
              <w:rPr>
                <w:rFonts w:asciiTheme="majorHAnsi" w:hAnsiTheme="majorHAnsi" w:cs="Cambria"/>
                <w:b/>
                <w:bCs/>
                <w:color w:val="FFFFFF"/>
                <w:lang w:val="en-GB" w:eastAsia="en-US"/>
              </w:rPr>
            </w:pPr>
            <w:r w:rsidRPr="00E80090">
              <w:rPr>
                <w:rFonts w:asciiTheme="majorHAnsi" w:hAnsiTheme="majorHAnsi" w:cs="Cambria"/>
                <w:b/>
                <w:bCs/>
                <w:color w:val="FFFFFF"/>
                <w:lang w:val="en-GB" w:eastAsia="en-US"/>
              </w:rPr>
              <w:t>Volksbank</w:t>
            </w:r>
          </w:p>
        </w:tc>
        <w:tc>
          <w:tcPr>
            <w:tcW w:w="3134" w:type="dxa"/>
            <w:tcBorders>
              <w:top w:val="single" w:sz="8" w:space="0" w:color="4BACC6"/>
              <w:left w:val="single" w:sz="4" w:space="0" w:color="4F81BD"/>
            </w:tcBorders>
            <w:shd w:val="clear" w:color="auto" w:fill="4BACC6"/>
            <w:noWrap/>
            <w:vAlign w:val="center"/>
          </w:tcPr>
          <w:p w14:paraId="6E5842AE" w14:textId="77777777" w:rsidR="00710694" w:rsidRPr="00E80090" w:rsidRDefault="00710694" w:rsidP="00AC2B35">
            <w:pPr>
              <w:jc w:val="center"/>
              <w:rPr>
                <w:rFonts w:asciiTheme="majorHAnsi" w:hAnsiTheme="majorHAnsi" w:cs="Cambria"/>
                <w:b/>
                <w:bCs/>
                <w:color w:val="FFFFFF"/>
                <w:lang w:val="en-GB" w:eastAsia="en-US"/>
              </w:rPr>
            </w:pPr>
            <w:r w:rsidRPr="00E80090">
              <w:rPr>
                <w:rFonts w:asciiTheme="majorHAnsi" w:hAnsiTheme="majorHAnsi" w:cs="Cambria"/>
                <w:b/>
                <w:bCs/>
                <w:color w:val="FFFFFF"/>
                <w:lang w:val="en-GB" w:eastAsia="en-US"/>
              </w:rPr>
              <w:t>Citi</w:t>
            </w:r>
            <w:r w:rsidR="00AC2B35" w:rsidRPr="00E80090">
              <w:rPr>
                <w:rFonts w:asciiTheme="majorHAnsi" w:hAnsiTheme="majorHAnsi" w:cs="Cambria"/>
                <w:b/>
                <w:bCs/>
                <w:color w:val="FFFFFF"/>
                <w:lang w:val="en-GB" w:eastAsia="en-US"/>
              </w:rPr>
              <w:t>bank</w:t>
            </w:r>
          </w:p>
        </w:tc>
      </w:tr>
      <w:tr w:rsidR="00710694" w:rsidRPr="00E80090" w14:paraId="6E5842B3" w14:textId="77777777" w:rsidTr="00AB069B">
        <w:trPr>
          <w:trHeight w:val="547"/>
          <w:jc w:val="center"/>
        </w:trPr>
        <w:tc>
          <w:tcPr>
            <w:tcW w:w="3240" w:type="dxa"/>
            <w:tcBorders>
              <w:top w:val="single" w:sz="8" w:space="0" w:color="4BACC6"/>
              <w:bottom w:val="single" w:sz="8" w:space="0" w:color="4BACC6"/>
              <w:right w:val="single" w:sz="4" w:space="0" w:color="4F81BD"/>
            </w:tcBorders>
            <w:vAlign w:val="center"/>
          </w:tcPr>
          <w:p w14:paraId="6E5842B0" w14:textId="77777777" w:rsidR="00710694" w:rsidRPr="00E80090" w:rsidRDefault="00710694" w:rsidP="00710694">
            <w:pPr>
              <w:rPr>
                <w:rFonts w:asciiTheme="majorHAnsi" w:hAnsiTheme="majorHAnsi" w:cs="Cambria"/>
                <w:b/>
                <w:bCs/>
                <w:lang w:val="en-GB" w:eastAsia="en-US"/>
              </w:rPr>
            </w:pPr>
            <w:r w:rsidRPr="00E80090">
              <w:rPr>
                <w:rFonts w:asciiTheme="majorHAnsi" w:hAnsiTheme="majorHAnsi" w:cs="Cambria"/>
                <w:b/>
                <w:bCs/>
                <w:sz w:val="22"/>
                <w:szCs w:val="22"/>
                <w:lang w:val="en-GB" w:eastAsia="en-US"/>
              </w:rPr>
              <w:t>Account maintenance (monthly)</w:t>
            </w:r>
          </w:p>
        </w:tc>
        <w:tc>
          <w:tcPr>
            <w:tcW w:w="2610" w:type="dxa"/>
            <w:tcBorders>
              <w:top w:val="single" w:sz="8" w:space="0" w:color="4BACC6"/>
              <w:left w:val="single" w:sz="4" w:space="0" w:color="4F81BD"/>
              <w:bottom w:val="single" w:sz="8" w:space="0" w:color="4BACC6"/>
              <w:right w:val="single" w:sz="4" w:space="0" w:color="4F81BD"/>
            </w:tcBorders>
            <w:vAlign w:val="center"/>
          </w:tcPr>
          <w:p w14:paraId="6E5842B1" w14:textId="77777777" w:rsidR="00710694" w:rsidRPr="00E80090" w:rsidRDefault="00710694" w:rsidP="00710694">
            <w:pPr>
              <w:jc w:val="center"/>
              <w:rPr>
                <w:rFonts w:asciiTheme="majorHAnsi" w:hAnsiTheme="majorHAnsi" w:cs="Cambria"/>
                <w:lang w:val="en-GB" w:eastAsia="en-US"/>
              </w:rPr>
            </w:pPr>
            <w:r w:rsidRPr="00E80090">
              <w:rPr>
                <w:rFonts w:asciiTheme="majorHAnsi" w:eastAsia="Times New Roman" w:hAnsiTheme="majorHAnsi" w:cs="Arial"/>
                <w:sz w:val="22"/>
                <w:szCs w:val="22"/>
                <w:lang w:val="en-GB" w:eastAsia="en-US"/>
              </w:rPr>
              <w:t>€</w:t>
            </w:r>
            <w:r w:rsidRPr="00E80090">
              <w:rPr>
                <w:rFonts w:asciiTheme="majorHAnsi" w:hAnsiTheme="majorHAnsi" w:cs="Cambria"/>
                <w:sz w:val="22"/>
                <w:szCs w:val="22"/>
                <w:lang w:val="en-GB" w:eastAsia="en-US"/>
              </w:rPr>
              <w:t xml:space="preserve"> 25.00 </w:t>
            </w:r>
          </w:p>
        </w:tc>
        <w:tc>
          <w:tcPr>
            <w:tcW w:w="3134" w:type="dxa"/>
            <w:tcBorders>
              <w:top w:val="single" w:sz="8" w:space="0" w:color="4BACC6"/>
              <w:left w:val="single" w:sz="4" w:space="0" w:color="4F81BD"/>
              <w:bottom w:val="single" w:sz="8" w:space="0" w:color="4BACC6"/>
            </w:tcBorders>
            <w:vAlign w:val="center"/>
          </w:tcPr>
          <w:p w14:paraId="6E5842B2"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Free for 3 accounts + RON 100 each for additional</w:t>
            </w:r>
          </w:p>
        </w:tc>
      </w:tr>
      <w:tr w:rsidR="00710694" w:rsidRPr="00E80090" w14:paraId="6E5842B7" w14:textId="77777777" w:rsidTr="00710694">
        <w:trPr>
          <w:trHeight w:val="322"/>
          <w:jc w:val="center"/>
        </w:trPr>
        <w:tc>
          <w:tcPr>
            <w:tcW w:w="3240" w:type="dxa"/>
            <w:tcBorders>
              <w:bottom w:val="single" w:sz="4" w:space="0" w:color="4F81BD"/>
              <w:right w:val="single" w:sz="4" w:space="0" w:color="4F81BD"/>
            </w:tcBorders>
            <w:vAlign w:val="center"/>
          </w:tcPr>
          <w:p w14:paraId="6E5842B4" w14:textId="77777777" w:rsidR="00710694" w:rsidRPr="00E80090" w:rsidRDefault="00710694" w:rsidP="00710694">
            <w:pPr>
              <w:rPr>
                <w:rFonts w:asciiTheme="majorHAnsi" w:hAnsiTheme="majorHAnsi" w:cs="Cambria"/>
                <w:b/>
                <w:bCs/>
                <w:sz w:val="22"/>
                <w:szCs w:val="22"/>
                <w:lang w:val="en-GB" w:eastAsia="en-US"/>
              </w:rPr>
            </w:pPr>
            <w:r w:rsidRPr="00E80090">
              <w:rPr>
                <w:rFonts w:asciiTheme="majorHAnsi" w:hAnsiTheme="majorHAnsi" w:cs="Cambria"/>
                <w:b/>
                <w:bCs/>
                <w:sz w:val="22"/>
                <w:szCs w:val="22"/>
                <w:lang w:val="en-GB" w:eastAsia="en-US"/>
              </w:rPr>
              <w:t>Electronic banking (monthly)</w:t>
            </w:r>
          </w:p>
        </w:tc>
        <w:tc>
          <w:tcPr>
            <w:tcW w:w="2610" w:type="dxa"/>
            <w:tcBorders>
              <w:left w:val="single" w:sz="4" w:space="0" w:color="4F81BD"/>
              <w:bottom w:val="single" w:sz="4" w:space="0" w:color="4F81BD"/>
              <w:right w:val="single" w:sz="4" w:space="0" w:color="4F81BD"/>
            </w:tcBorders>
            <w:vAlign w:val="center"/>
          </w:tcPr>
          <w:p w14:paraId="6E5842B5" w14:textId="77777777" w:rsidR="00710694" w:rsidRPr="00E80090" w:rsidRDefault="00710694" w:rsidP="00710694">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 xml:space="preserve">€ </w:t>
            </w:r>
            <w:r w:rsidRPr="00E80090">
              <w:rPr>
                <w:rFonts w:asciiTheme="majorHAnsi" w:hAnsiTheme="majorHAnsi" w:cs="Cambria"/>
                <w:sz w:val="22"/>
                <w:szCs w:val="22"/>
                <w:lang w:val="en-GB" w:eastAsia="en-US"/>
              </w:rPr>
              <w:t>15</w:t>
            </w:r>
          </w:p>
        </w:tc>
        <w:tc>
          <w:tcPr>
            <w:tcW w:w="3134" w:type="dxa"/>
            <w:tcBorders>
              <w:left w:val="single" w:sz="4" w:space="0" w:color="4F81BD"/>
              <w:bottom w:val="single" w:sz="4" w:space="0" w:color="4F81BD"/>
            </w:tcBorders>
            <w:vAlign w:val="center"/>
          </w:tcPr>
          <w:p w14:paraId="6E5842B6" w14:textId="77777777" w:rsidR="00710694" w:rsidRPr="00E80090" w:rsidRDefault="00710694" w:rsidP="00710694">
            <w:pPr>
              <w:jc w:val="center"/>
              <w:rPr>
                <w:rFonts w:asciiTheme="majorHAnsi" w:hAnsiTheme="majorHAnsi" w:cs="Cambria"/>
                <w:sz w:val="22"/>
                <w:szCs w:val="22"/>
                <w:lang w:val="en-GB" w:eastAsia="en-US"/>
              </w:rPr>
            </w:pPr>
            <w:r w:rsidRPr="00E80090">
              <w:rPr>
                <w:rFonts w:asciiTheme="majorHAnsi" w:hAnsiTheme="majorHAnsi" w:cs="Cambria"/>
                <w:sz w:val="22"/>
                <w:szCs w:val="22"/>
                <w:lang w:val="en-GB" w:eastAsia="en-US"/>
              </w:rPr>
              <w:t>Free of charge</w:t>
            </w:r>
          </w:p>
        </w:tc>
      </w:tr>
      <w:tr w:rsidR="00710694" w:rsidRPr="00E80090" w14:paraId="6E5842BB" w14:textId="77777777" w:rsidTr="00710694">
        <w:trPr>
          <w:trHeight w:val="322"/>
          <w:jc w:val="center"/>
        </w:trPr>
        <w:tc>
          <w:tcPr>
            <w:tcW w:w="3240" w:type="dxa"/>
            <w:tcBorders>
              <w:top w:val="single" w:sz="4" w:space="0" w:color="4F81BD"/>
              <w:right w:val="single" w:sz="4" w:space="0" w:color="4F81BD"/>
            </w:tcBorders>
            <w:vAlign w:val="center"/>
          </w:tcPr>
          <w:p w14:paraId="6E5842B8" w14:textId="77777777" w:rsidR="00710694" w:rsidRPr="00E80090" w:rsidRDefault="00710694" w:rsidP="00710694">
            <w:pPr>
              <w:rPr>
                <w:rFonts w:asciiTheme="majorHAnsi" w:hAnsiTheme="majorHAnsi" w:cs="Cambria"/>
                <w:b/>
                <w:bCs/>
                <w:lang w:val="en-GB" w:eastAsia="en-US"/>
              </w:rPr>
            </w:pPr>
            <w:r w:rsidRPr="00E80090">
              <w:rPr>
                <w:rFonts w:asciiTheme="majorHAnsi" w:hAnsiTheme="majorHAnsi" w:cs="Cambria"/>
                <w:b/>
                <w:bCs/>
                <w:sz w:val="22"/>
                <w:szCs w:val="22"/>
                <w:lang w:val="en-GB" w:eastAsia="en-US"/>
              </w:rPr>
              <w:t xml:space="preserve">Incoming RON payments </w:t>
            </w:r>
          </w:p>
        </w:tc>
        <w:tc>
          <w:tcPr>
            <w:tcW w:w="2610" w:type="dxa"/>
            <w:tcBorders>
              <w:top w:val="single" w:sz="4" w:space="0" w:color="4F81BD"/>
              <w:left w:val="single" w:sz="4" w:space="0" w:color="4F81BD"/>
              <w:right w:val="single" w:sz="4" w:space="0" w:color="4F81BD"/>
            </w:tcBorders>
            <w:vAlign w:val="center"/>
          </w:tcPr>
          <w:p w14:paraId="6E5842B9"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 xml:space="preserve">first 10 are free, </w:t>
            </w:r>
            <w:r w:rsidRPr="00E80090">
              <w:rPr>
                <w:rFonts w:asciiTheme="majorHAnsi" w:eastAsia="Times New Roman" w:hAnsiTheme="majorHAnsi" w:cs="Arial"/>
                <w:sz w:val="22"/>
                <w:szCs w:val="22"/>
                <w:lang w:val="en-GB" w:eastAsia="en-US"/>
              </w:rPr>
              <w:t>€</w:t>
            </w:r>
            <w:r w:rsidRPr="00E80090">
              <w:rPr>
                <w:rFonts w:asciiTheme="majorHAnsi" w:hAnsiTheme="majorHAnsi" w:cs="Cambria"/>
                <w:sz w:val="22"/>
                <w:szCs w:val="22"/>
                <w:lang w:val="en-GB" w:eastAsia="en-US"/>
              </w:rPr>
              <w:t xml:space="preserve"> 1.70</w:t>
            </w:r>
          </w:p>
        </w:tc>
        <w:tc>
          <w:tcPr>
            <w:tcW w:w="3134" w:type="dxa"/>
            <w:tcBorders>
              <w:top w:val="single" w:sz="4" w:space="0" w:color="4F81BD"/>
              <w:left w:val="single" w:sz="4" w:space="0" w:color="4F81BD"/>
            </w:tcBorders>
            <w:vAlign w:val="center"/>
          </w:tcPr>
          <w:p w14:paraId="6E5842BA"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Free of charge</w:t>
            </w:r>
          </w:p>
        </w:tc>
      </w:tr>
      <w:tr w:rsidR="00710694" w:rsidRPr="00E80090" w14:paraId="6E5842BF" w14:textId="77777777" w:rsidTr="00710694">
        <w:trPr>
          <w:trHeight w:val="322"/>
          <w:jc w:val="center"/>
        </w:trPr>
        <w:tc>
          <w:tcPr>
            <w:tcW w:w="3240" w:type="dxa"/>
            <w:tcBorders>
              <w:top w:val="single" w:sz="8" w:space="0" w:color="4BACC6"/>
              <w:bottom w:val="single" w:sz="8" w:space="0" w:color="4BACC6"/>
              <w:right w:val="single" w:sz="4" w:space="0" w:color="4F81BD"/>
            </w:tcBorders>
            <w:vAlign w:val="center"/>
          </w:tcPr>
          <w:p w14:paraId="6E5842BC" w14:textId="77777777" w:rsidR="00710694" w:rsidRPr="00E80090" w:rsidRDefault="00710694" w:rsidP="00710694">
            <w:pPr>
              <w:rPr>
                <w:rFonts w:asciiTheme="majorHAnsi" w:hAnsiTheme="majorHAnsi" w:cs="Cambria"/>
                <w:b/>
                <w:bCs/>
                <w:lang w:val="en-GB" w:eastAsia="en-US"/>
              </w:rPr>
            </w:pPr>
            <w:r w:rsidRPr="00E80090">
              <w:rPr>
                <w:rFonts w:asciiTheme="majorHAnsi" w:hAnsiTheme="majorHAnsi" w:cs="Cambria"/>
                <w:b/>
                <w:bCs/>
                <w:sz w:val="22"/>
                <w:szCs w:val="22"/>
                <w:lang w:val="en-GB" w:eastAsia="en-US"/>
              </w:rPr>
              <w:t xml:space="preserve">Outgoing RON payments </w:t>
            </w:r>
          </w:p>
        </w:tc>
        <w:tc>
          <w:tcPr>
            <w:tcW w:w="2610" w:type="dxa"/>
            <w:tcBorders>
              <w:top w:val="single" w:sz="8" w:space="0" w:color="4BACC6"/>
              <w:left w:val="single" w:sz="4" w:space="0" w:color="4F81BD"/>
              <w:bottom w:val="single" w:sz="8" w:space="0" w:color="4BACC6"/>
              <w:right w:val="single" w:sz="4" w:space="0" w:color="4F81BD"/>
            </w:tcBorders>
            <w:vAlign w:val="center"/>
          </w:tcPr>
          <w:p w14:paraId="6E5842BD"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Min RON 3, max. RON 17</w:t>
            </w:r>
          </w:p>
        </w:tc>
        <w:tc>
          <w:tcPr>
            <w:tcW w:w="3134" w:type="dxa"/>
            <w:tcBorders>
              <w:top w:val="single" w:sz="8" w:space="0" w:color="4BACC6"/>
              <w:left w:val="single" w:sz="4" w:space="0" w:color="4F81BD"/>
              <w:bottom w:val="single" w:sz="8" w:space="0" w:color="4BACC6"/>
            </w:tcBorders>
            <w:vAlign w:val="center"/>
          </w:tcPr>
          <w:p w14:paraId="6E5842BE"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RON 2.5</w:t>
            </w:r>
          </w:p>
        </w:tc>
      </w:tr>
      <w:tr w:rsidR="00710694" w:rsidRPr="00E80090" w14:paraId="6E5842C3" w14:textId="77777777" w:rsidTr="00AB069B">
        <w:trPr>
          <w:trHeight w:val="295"/>
          <w:jc w:val="center"/>
        </w:trPr>
        <w:tc>
          <w:tcPr>
            <w:tcW w:w="3240" w:type="dxa"/>
            <w:tcBorders>
              <w:bottom w:val="single" w:sz="4" w:space="0" w:color="4F81BD"/>
              <w:right w:val="single" w:sz="4" w:space="0" w:color="4F81BD"/>
            </w:tcBorders>
            <w:vAlign w:val="center"/>
          </w:tcPr>
          <w:p w14:paraId="6E5842C0" w14:textId="77777777" w:rsidR="00710694" w:rsidRPr="00E80090" w:rsidRDefault="00710694" w:rsidP="00710694">
            <w:pPr>
              <w:rPr>
                <w:rFonts w:asciiTheme="majorHAnsi" w:hAnsiTheme="majorHAnsi" w:cs="Cambria"/>
                <w:b/>
                <w:bCs/>
                <w:lang w:val="en-GB" w:eastAsia="en-US"/>
              </w:rPr>
            </w:pPr>
            <w:r w:rsidRPr="00E80090">
              <w:rPr>
                <w:rFonts w:asciiTheme="majorHAnsi" w:hAnsiTheme="majorHAnsi" w:cs="Cambria"/>
                <w:b/>
                <w:bCs/>
                <w:sz w:val="22"/>
                <w:szCs w:val="22"/>
                <w:lang w:val="en-GB" w:eastAsia="en-US"/>
              </w:rPr>
              <w:t xml:space="preserve">Outgoing FCY payment </w:t>
            </w:r>
          </w:p>
        </w:tc>
        <w:tc>
          <w:tcPr>
            <w:tcW w:w="2610" w:type="dxa"/>
            <w:tcBorders>
              <w:left w:val="single" w:sz="4" w:space="0" w:color="4F81BD"/>
              <w:bottom w:val="single" w:sz="4" w:space="0" w:color="4F81BD"/>
              <w:right w:val="single" w:sz="4" w:space="0" w:color="4F81BD"/>
            </w:tcBorders>
            <w:vAlign w:val="center"/>
          </w:tcPr>
          <w:p w14:paraId="6E5842C1"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0.1%, min 25 EUR</w:t>
            </w:r>
          </w:p>
        </w:tc>
        <w:tc>
          <w:tcPr>
            <w:tcW w:w="3134" w:type="dxa"/>
            <w:tcBorders>
              <w:left w:val="single" w:sz="4" w:space="0" w:color="4F81BD"/>
              <w:bottom w:val="single" w:sz="4" w:space="0" w:color="4F81BD"/>
            </w:tcBorders>
            <w:vAlign w:val="center"/>
          </w:tcPr>
          <w:p w14:paraId="6E5842C2"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 xml:space="preserve">0,08%, min </w:t>
            </w:r>
            <w:r w:rsidRPr="00E80090">
              <w:rPr>
                <w:rFonts w:asciiTheme="majorHAnsi" w:eastAsia="Times New Roman" w:hAnsiTheme="majorHAnsi" w:cs="Arial"/>
                <w:sz w:val="22"/>
                <w:szCs w:val="22"/>
                <w:lang w:val="en-GB" w:eastAsia="en-US"/>
              </w:rPr>
              <w:t>€</w:t>
            </w:r>
            <w:r w:rsidRPr="00E80090">
              <w:rPr>
                <w:rFonts w:asciiTheme="majorHAnsi" w:hAnsiTheme="majorHAnsi" w:cs="Cambria"/>
                <w:sz w:val="22"/>
                <w:szCs w:val="22"/>
                <w:lang w:val="en-GB" w:eastAsia="en-US"/>
              </w:rPr>
              <w:t xml:space="preserve"> 15, max </w:t>
            </w:r>
            <w:r w:rsidRPr="00E80090">
              <w:rPr>
                <w:rFonts w:asciiTheme="majorHAnsi" w:eastAsia="Times New Roman" w:hAnsiTheme="majorHAnsi" w:cs="Arial"/>
                <w:sz w:val="22"/>
                <w:szCs w:val="22"/>
                <w:lang w:val="en-GB" w:eastAsia="en-US"/>
              </w:rPr>
              <w:t>€</w:t>
            </w:r>
            <w:r w:rsidRPr="00E80090">
              <w:rPr>
                <w:rFonts w:asciiTheme="majorHAnsi" w:hAnsiTheme="majorHAnsi" w:cs="Cambria"/>
                <w:sz w:val="22"/>
                <w:szCs w:val="22"/>
                <w:lang w:val="en-GB" w:eastAsia="en-US"/>
              </w:rPr>
              <w:t xml:space="preserve"> 300</w:t>
            </w:r>
          </w:p>
        </w:tc>
      </w:tr>
      <w:tr w:rsidR="00710694" w:rsidRPr="00E80090" w14:paraId="6E5842C7" w14:textId="77777777" w:rsidTr="0058661C">
        <w:trPr>
          <w:trHeight w:val="322"/>
          <w:jc w:val="center"/>
        </w:trPr>
        <w:tc>
          <w:tcPr>
            <w:tcW w:w="3240" w:type="dxa"/>
            <w:tcBorders>
              <w:top w:val="single" w:sz="4" w:space="0" w:color="4F81BD"/>
              <w:bottom w:val="single" w:sz="8" w:space="0" w:color="4BACC6"/>
              <w:right w:val="single" w:sz="4" w:space="0" w:color="4F81BD"/>
            </w:tcBorders>
            <w:vAlign w:val="center"/>
          </w:tcPr>
          <w:p w14:paraId="6E5842C4" w14:textId="77777777" w:rsidR="00710694" w:rsidRPr="00E80090" w:rsidRDefault="00710694" w:rsidP="00710694">
            <w:pPr>
              <w:rPr>
                <w:rFonts w:asciiTheme="majorHAnsi" w:hAnsiTheme="majorHAnsi" w:cs="Cambria"/>
                <w:b/>
                <w:bCs/>
                <w:lang w:val="en-GB" w:eastAsia="en-US"/>
              </w:rPr>
            </w:pPr>
            <w:r w:rsidRPr="00E80090">
              <w:rPr>
                <w:rFonts w:asciiTheme="majorHAnsi" w:hAnsiTheme="majorHAnsi" w:cs="Cambria"/>
                <w:b/>
                <w:bCs/>
                <w:sz w:val="22"/>
                <w:szCs w:val="22"/>
                <w:lang w:val="en-GB" w:eastAsia="en-US"/>
              </w:rPr>
              <w:t>Cheques</w:t>
            </w:r>
          </w:p>
        </w:tc>
        <w:tc>
          <w:tcPr>
            <w:tcW w:w="2610" w:type="dxa"/>
            <w:tcBorders>
              <w:top w:val="single" w:sz="4" w:space="0" w:color="4F81BD"/>
              <w:left w:val="single" w:sz="4" w:space="0" w:color="4F81BD"/>
              <w:bottom w:val="single" w:sz="8" w:space="0" w:color="4BACC6"/>
              <w:right w:val="single" w:sz="4" w:space="0" w:color="4F81BD"/>
            </w:tcBorders>
            <w:vAlign w:val="center"/>
          </w:tcPr>
          <w:p w14:paraId="6E5842C5"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Min. RON 8 - Max. 15</w:t>
            </w:r>
          </w:p>
        </w:tc>
        <w:tc>
          <w:tcPr>
            <w:tcW w:w="3134" w:type="dxa"/>
            <w:tcBorders>
              <w:top w:val="single" w:sz="4" w:space="0" w:color="4F81BD"/>
              <w:left w:val="single" w:sz="4" w:space="0" w:color="4F81BD"/>
              <w:bottom w:val="single" w:sz="8" w:space="0" w:color="4BACC6"/>
            </w:tcBorders>
            <w:vAlign w:val="center"/>
          </w:tcPr>
          <w:p w14:paraId="6E5842C6" w14:textId="77777777" w:rsidR="00710694" w:rsidRPr="00E80090" w:rsidRDefault="00710694"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RON 4.88</w:t>
            </w:r>
          </w:p>
        </w:tc>
      </w:tr>
      <w:tr w:rsidR="00710694" w:rsidRPr="00E80090" w14:paraId="6E5842CB" w14:textId="77777777" w:rsidTr="00B2161E">
        <w:trPr>
          <w:trHeight w:val="295"/>
          <w:jc w:val="center"/>
        </w:trPr>
        <w:tc>
          <w:tcPr>
            <w:tcW w:w="3240" w:type="dxa"/>
            <w:tcBorders>
              <w:top w:val="single" w:sz="8" w:space="0" w:color="4BACC6"/>
              <w:bottom w:val="single" w:sz="8" w:space="0" w:color="4BACC6"/>
              <w:right w:val="single" w:sz="4" w:space="0" w:color="4F81BD"/>
            </w:tcBorders>
            <w:vAlign w:val="center"/>
          </w:tcPr>
          <w:p w14:paraId="6E5842C8" w14:textId="77777777" w:rsidR="00710694" w:rsidRPr="00E80090" w:rsidRDefault="00710694" w:rsidP="00710694">
            <w:pPr>
              <w:rPr>
                <w:rFonts w:asciiTheme="majorHAnsi" w:hAnsiTheme="majorHAnsi" w:cs="Cambria"/>
                <w:b/>
                <w:bCs/>
                <w:lang w:val="en-GB" w:eastAsia="en-US"/>
              </w:rPr>
            </w:pPr>
            <w:r w:rsidRPr="00E80090">
              <w:rPr>
                <w:rFonts w:asciiTheme="majorHAnsi" w:hAnsiTheme="majorHAnsi" w:cs="Cambria"/>
                <w:b/>
                <w:bCs/>
                <w:sz w:val="22"/>
                <w:szCs w:val="22"/>
                <w:lang w:val="en-GB" w:eastAsia="en-US"/>
              </w:rPr>
              <w:t>Withdrawal in RON</w:t>
            </w:r>
          </w:p>
        </w:tc>
        <w:tc>
          <w:tcPr>
            <w:tcW w:w="2610" w:type="dxa"/>
            <w:tcBorders>
              <w:top w:val="single" w:sz="8" w:space="0" w:color="4BACC6"/>
              <w:left w:val="single" w:sz="4" w:space="0" w:color="4F81BD"/>
              <w:bottom w:val="single" w:sz="8" w:space="0" w:color="4BACC6"/>
              <w:right w:val="single" w:sz="4" w:space="0" w:color="4F81BD"/>
            </w:tcBorders>
            <w:vAlign w:val="center"/>
          </w:tcPr>
          <w:p w14:paraId="6E5842C9" w14:textId="77777777" w:rsidR="00710694" w:rsidRPr="00E80090" w:rsidRDefault="00B2161E" w:rsidP="00710694">
            <w:pPr>
              <w:jc w:val="center"/>
              <w:rPr>
                <w:rFonts w:asciiTheme="majorHAnsi" w:hAnsiTheme="majorHAnsi" w:cs="Cambria"/>
                <w:lang w:val="en-GB" w:eastAsia="en-US"/>
              </w:rPr>
            </w:pPr>
            <w:r w:rsidRPr="00E80090">
              <w:rPr>
                <w:rFonts w:asciiTheme="majorHAnsi" w:hAnsiTheme="majorHAnsi" w:cs="Cambria"/>
                <w:sz w:val="22"/>
                <w:szCs w:val="22"/>
                <w:lang w:val="en-GB" w:eastAsia="en-US"/>
              </w:rPr>
              <w:t>0.5%</w:t>
            </w:r>
            <w:r w:rsidR="00710694" w:rsidRPr="00E80090">
              <w:rPr>
                <w:rFonts w:asciiTheme="majorHAnsi" w:hAnsiTheme="majorHAnsi" w:cs="Cambria"/>
                <w:sz w:val="22"/>
                <w:szCs w:val="22"/>
                <w:lang w:val="en-GB" w:eastAsia="en-US"/>
              </w:rPr>
              <w:t>, min RON 2.5</w:t>
            </w:r>
          </w:p>
        </w:tc>
        <w:tc>
          <w:tcPr>
            <w:tcW w:w="3134" w:type="dxa"/>
            <w:tcBorders>
              <w:top w:val="single" w:sz="8" w:space="0" w:color="4BACC6"/>
              <w:left w:val="single" w:sz="4" w:space="0" w:color="4F81BD"/>
              <w:bottom w:val="single" w:sz="8" w:space="0" w:color="4BACC6"/>
            </w:tcBorders>
            <w:vAlign w:val="center"/>
          </w:tcPr>
          <w:p w14:paraId="6E5842CA" w14:textId="77777777" w:rsidR="00710694" w:rsidRPr="00E80090" w:rsidRDefault="00B2161E" w:rsidP="00B2161E">
            <w:pPr>
              <w:jc w:val="center"/>
              <w:rPr>
                <w:rFonts w:asciiTheme="majorHAnsi" w:hAnsiTheme="majorHAnsi" w:cs="Cambria"/>
                <w:lang w:val="en-GB" w:eastAsia="en-US"/>
              </w:rPr>
            </w:pPr>
            <w:r w:rsidRPr="00E80090">
              <w:rPr>
                <w:rFonts w:asciiTheme="majorHAnsi" w:hAnsiTheme="majorHAnsi" w:cs="Cambria"/>
                <w:sz w:val="22"/>
                <w:szCs w:val="22"/>
                <w:lang w:val="en-GB" w:eastAsia="en-US"/>
              </w:rPr>
              <w:t xml:space="preserve">0.5%, </w:t>
            </w:r>
            <w:r w:rsidR="00710694" w:rsidRPr="00E80090">
              <w:rPr>
                <w:rFonts w:asciiTheme="majorHAnsi" w:hAnsiTheme="majorHAnsi" w:cs="Cambria"/>
                <w:sz w:val="22"/>
                <w:szCs w:val="22"/>
                <w:lang w:val="en-GB" w:eastAsia="en-US"/>
              </w:rPr>
              <w:t>min RON 3.5</w:t>
            </w:r>
          </w:p>
        </w:tc>
      </w:tr>
      <w:tr w:rsidR="00710694" w:rsidRPr="00E80090" w14:paraId="6E5842CF" w14:textId="77777777" w:rsidTr="00710694">
        <w:trPr>
          <w:trHeight w:val="322"/>
          <w:jc w:val="center"/>
        </w:trPr>
        <w:tc>
          <w:tcPr>
            <w:tcW w:w="3240" w:type="dxa"/>
            <w:tcBorders>
              <w:top w:val="single" w:sz="8" w:space="0" w:color="4BACC6"/>
              <w:bottom w:val="single" w:sz="8" w:space="0" w:color="4BACC6"/>
              <w:right w:val="single" w:sz="4" w:space="0" w:color="4F81BD"/>
            </w:tcBorders>
            <w:vAlign w:val="center"/>
          </w:tcPr>
          <w:p w14:paraId="6E5842CC" w14:textId="77777777" w:rsidR="00710694" w:rsidRPr="00E80090" w:rsidRDefault="00710694" w:rsidP="00710694">
            <w:pPr>
              <w:jc w:val="right"/>
              <w:rPr>
                <w:rFonts w:asciiTheme="majorHAnsi" w:hAnsiTheme="majorHAnsi" w:cs="Cambria"/>
                <w:b/>
                <w:bCs/>
                <w:sz w:val="22"/>
                <w:szCs w:val="22"/>
                <w:lang w:val="en-GB" w:eastAsia="en-US"/>
              </w:rPr>
            </w:pPr>
            <w:r w:rsidRPr="00E80090">
              <w:rPr>
                <w:rFonts w:asciiTheme="majorHAnsi" w:hAnsiTheme="majorHAnsi" w:cs="Cambria"/>
                <w:b/>
                <w:bCs/>
                <w:sz w:val="22"/>
                <w:szCs w:val="22"/>
                <w:lang w:val="en-GB" w:eastAsia="en-US"/>
              </w:rPr>
              <w:t>Total fees</w:t>
            </w:r>
          </w:p>
        </w:tc>
        <w:tc>
          <w:tcPr>
            <w:tcW w:w="2610" w:type="dxa"/>
            <w:tcBorders>
              <w:top w:val="single" w:sz="8" w:space="0" w:color="4BACC6"/>
              <w:left w:val="single" w:sz="4" w:space="0" w:color="4F81BD"/>
              <w:bottom w:val="single" w:sz="8" w:space="0" w:color="4BACC6"/>
              <w:right w:val="single" w:sz="4" w:space="0" w:color="4F81BD"/>
            </w:tcBorders>
            <w:vAlign w:val="center"/>
          </w:tcPr>
          <w:p w14:paraId="6E5842CD" w14:textId="77777777" w:rsidR="00710694" w:rsidRPr="00E80090" w:rsidRDefault="00710694" w:rsidP="00710694">
            <w:pPr>
              <w:jc w:val="center"/>
              <w:rPr>
                <w:rFonts w:asciiTheme="majorHAnsi" w:hAnsiTheme="majorHAnsi" w:cs="Cambria"/>
                <w:b/>
                <w:sz w:val="22"/>
                <w:szCs w:val="22"/>
                <w:lang w:val="en-GB" w:eastAsia="en-US"/>
              </w:rPr>
            </w:pPr>
            <w:r w:rsidRPr="00E80090">
              <w:rPr>
                <w:rFonts w:asciiTheme="majorHAnsi" w:eastAsia="Times New Roman" w:hAnsiTheme="majorHAnsi" w:cs="Arial"/>
                <w:sz w:val="22"/>
                <w:szCs w:val="22"/>
                <w:lang w:val="en-GB" w:eastAsia="en-US"/>
              </w:rPr>
              <w:t>€</w:t>
            </w:r>
            <w:r w:rsidRPr="00E80090">
              <w:rPr>
                <w:rFonts w:asciiTheme="majorHAnsi" w:hAnsiTheme="majorHAnsi" w:cs="Cambria"/>
                <w:b/>
                <w:sz w:val="22"/>
                <w:szCs w:val="22"/>
                <w:lang w:val="en-GB" w:eastAsia="en-US"/>
              </w:rPr>
              <w:t xml:space="preserve"> 4,444.91</w:t>
            </w:r>
            <w:r w:rsidRPr="00E80090">
              <w:rPr>
                <w:rStyle w:val="Voetnootmarkering"/>
                <w:rFonts w:asciiTheme="majorHAnsi" w:hAnsiTheme="majorHAnsi" w:cs="Cambria"/>
                <w:b/>
                <w:sz w:val="22"/>
                <w:szCs w:val="22"/>
                <w:lang w:val="en-GB" w:eastAsia="en-US"/>
              </w:rPr>
              <w:footnoteReference w:id="4"/>
            </w:r>
          </w:p>
        </w:tc>
        <w:tc>
          <w:tcPr>
            <w:tcW w:w="3134" w:type="dxa"/>
            <w:tcBorders>
              <w:top w:val="single" w:sz="8" w:space="0" w:color="4BACC6"/>
              <w:left w:val="single" w:sz="4" w:space="0" w:color="4F81BD"/>
              <w:bottom w:val="single" w:sz="8" w:space="0" w:color="4BACC6"/>
            </w:tcBorders>
            <w:vAlign w:val="center"/>
          </w:tcPr>
          <w:p w14:paraId="6E5842CE" w14:textId="77777777" w:rsidR="00710694" w:rsidRPr="00E80090" w:rsidRDefault="00710694" w:rsidP="00710694">
            <w:pPr>
              <w:keepNext/>
              <w:jc w:val="center"/>
              <w:rPr>
                <w:rFonts w:asciiTheme="majorHAnsi" w:hAnsiTheme="majorHAnsi" w:cs="Cambria"/>
                <w:b/>
                <w:sz w:val="22"/>
                <w:szCs w:val="22"/>
                <w:lang w:val="en-GB" w:eastAsia="en-US"/>
              </w:rPr>
            </w:pPr>
            <w:r w:rsidRPr="00E80090">
              <w:rPr>
                <w:rFonts w:asciiTheme="majorHAnsi" w:eastAsia="Times New Roman" w:hAnsiTheme="majorHAnsi" w:cs="Arial"/>
                <w:sz w:val="22"/>
                <w:szCs w:val="22"/>
                <w:lang w:val="en-GB" w:eastAsia="en-US"/>
              </w:rPr>
              <w:t>€</w:t>
            </w:r>
            <w:r w:rsidRPr="00E80090">
              <w:rPr>
                <w:rFonts w:asciiTheme="majorHAnsi" w:hAnsiTheme="majorHAnsi" w:cs="Cambria"/>
                <w:b/>
                <w:sz w:val="22"/>
                <w:szCs w:val="22"/>
                <w:lang w:val="en-GB" w:eastAsia="en-US"/>
              </w:rPr>
              <w:t xml:space="preserve"> 2,851.12</w:t>
            </w:r>
            <w:r w:rsidRPr="00E80090">
              <w:rPr>
                <w:rFonts w:asciiTheme="majorHAnsi" w:hAnsiTheme="majorHAnsi" w:cs="Cambria"/>
                <w:b/>
                <w:sz w:val="22"/>
                <w:szCs w:val="22"/>
                <w:vertAlign w:val="superscript"/>
                <w:lang w:val="en-GB" w:eastAsia="en-US"/>
              </w:rPr>
              <w:t>6</w:t>
            </w:r>
          </w:p>
        </w:tc>
      </w:tr>
    </w:tbl>
    <w:p w14:paraId="6E5842D0" w14:textId="77777777" w:rsidR="00DD3D8D" w:rsidRPr="00E80090" w:rsidRDefault="00DD3D8D" w:rsidP="00DD3D8D">
      <w:pPr>
        <w:pStyle w:val="Bijschrift"/>
        <w:jc w:val="center"/>
        <w:rPr>
          <w:rFonts w:asciiTheme="majorHAnsi" w:hAnsiTheme="majorHAnsi"/>
          <w:sz w:val="14"/>
          <w:lang w:val="en-GB"/>
        </w:rPr>
      </w:pPr>
    </w:p>
    <w:p w14:paraId="6E5842D1" w14:textId="77777777" w:rsidR="00DD3D8D" w:rsidRPr="00E80090" w:rsidRDefault="00710694" w:rsidP="00DD3D8D">
      <w:pPr>
        <w:pStyle w:val="Bijschrift"/>
        <w:jc w:val="center"/>
        <w:rPr>
          <w:rFonts w:asciiTheme="majorHAnsi" w:hAnsiTheme="majorHAnsi"/>
          <w:color w:val="4F81BD"/>
          <w:lang w:val="en-GB"/>
        </w:rPr>
      </w:pPr>
      <w:r w:rsidRPr="00E80090">
        <w:rPr>
          <w:rFonts w:asciiTheme="majorHAnsi" w:hAnsiTheme="majorHAnsi"/>
          <w:lang w:val="en-GB"/>
        </w:rPr>
        <w:t xml:space="preserve"> </w:t>
      </w:r>
      <w:r w:rsidR="00DD3D8D" w:rsidRPr="00E80090">
        <w:rPr>
          <w:rFonts w:asciiTheme="majorHAnsi" w:hAnsiTheme="majorHAnsi"/>
          <w:color w:val="4F81BD"/>
          <w:lang w:val="en-GB"/>
        </w:rPr>
        <w:t xml:space="preserve">Table </w:t>
      </w:r>
      <w:r w:rsidR="00DD3D8D" w:rsidRPr="00E80090">
        <w:rPr>
          <w:rFonts w:asciiTheme="majorHAnsi" w:hAnsiTheme="majorHAnsi"/>
          <w:color w:val="4F81BD"/>
          <w:lang w:val="en-GB"/>
        </w:rPr>
        <w:fldChar w:fldCharType="begin"/>
      </w:r>
      <w:r w:rsidR="00DD3D8D" w:rsidRPr="00E80090">
        <w:rPr>
          <w:rFonts w:asciiTheme="majorHAnsi" w:hAnsiTheme="majorHAnsi"/>
          <w:color w:val="4F81BD"/>
          <w:lang w:val="en-GB"/>
        </w:rPr>
        <w:instrText xml:space="preserve"> SEQ Table \* ARABIC </w:instrText>
      </w:r>
      <w:r w:rsidR="00DD3D8D" w:rsidRPr="00E80090">
        <w:rPr>
          <w:rFonts w:asciiTheme="majorHAnsi" w:hAnsiTheme="majorHAnsi"/>
          <w:color w:val="4F81BD"/>
          <w:lang w:val="en-GB"/>
        </w:rPr>
        <w:fldChar w:fldCharType="separate"/>
      </w:r>
      <w:r w:rsidR="00E80090">
        <w:rPr>
          <w:rFonts w:asciiTheme="majorHAnsi" w:hAnsiTheme="majorHAnsi"/>
          <w:noProof/>
          <w:color w:val="4F81BD"/>
          <w:lang w:val="en-GB"/>
        </w:rPr>
        <w:t>3</w:t>
      </w:r>
      <w:r w:rsidR="00DD3D8D" w:rsidRPr="00E80090">
        <w:rPr>
          <w:rFonts w:asciiTheme="majorHAnsi" w:hAnsiTheme="majorHAnsi"/>
          <w:color w:val="4F81BD"/>
          <w:lang w:val="en-GB"/>
        </w:rPr>
        <w:fldChar w:fldCharType="end"/>
      </w:r>
      <w:r w:rsidR="00DD3D8D" w:rsidRPr="00E80090">
        <w:rPr>
          <w:rFonts w:asciiTheme="majorHAnsi" w:hAnsiTheme="majorHAnsi"/>
          <w:color w:val="4F81BD"/>
          <w:lang w:val="en-GB"/>
        </w:rPr>
        <w:t>: Romania pricing benchmark</w:t>
      </w:r>
    </w:p>
    <w:p w14:paraId="6E5842D2" w14:textId="77777777" w:rsidR="00DD3D8D" w:rsidRPr="00E80090" w:rsidRDefault="00DD3D8D" w:rsidP="00046D59">
      <w:pPr>
        <w:spacing w:after="200" w:line="360" w:lineRule="auto"/>
        <w:jc w:val="both"/>
        <w:rPr>
          <w:rFonts w:asciiTheme="majorHAnsi" w:hAnsiTheme="majorHAnsi"/>
          <w:sz w:val="2"/>
          <w:lang w:val="en-GB"/>
        </w:rPr>
      </w:pPr>
    </w:p>
    <w:p w14:paraId="6E5842D3" w14:textId="77777777" w:rsidR="00001664" w:rsidRPr="00E80090" w:rsidRDefault="00AA5B91" w:rsidP="00AA5B91">
      <w:pPr>
        <w:spacing w:after="200" w:line="360" w:lineRule="auto"/>
        <w:jc w:val="both"/>
        <w:rPr>
          <w:rFonts w:asciiTheme="majorHAnsi" w:hAnsiTheme="majorHAnsi"/>
          <w:lang w:val="en-GB"/>
        </w:rPr>
      </w:pPr>
      <w:bookmarkStart w:id="109" w:name="_Toc357969734"/>
      <w:r w:rsidRPr="00E80090">
        <w:rPr>
          <w:rFonts w:asciiTheme="majorHAnsi" w:hAnsiTheme="majorHAnsi"/>
          <w:lang w:val="en-GB"/>
        </w:rPr>
        <w:t xml:space="preserve">Looking at the total costs per bank, it is </w:t>
      </w:r>
      <w:r w:rsidR="00785E06" w:rsidRPr="00E80090">
        <w:rPr>
          <w:rFonts w:asciiTheme="majorHAnsi" w:hAnsiTheme="majorHAnsi"/>
          <w:lang w:val="en-GB"/>
        </w:rPr>
        <w:t>evident</w:t>
      </w:r>
      <w:r w:rsidRPr="00E80090">
        <w:rPr>
          <w:rFonts w:asciiTheme="majorHAnsi" w:hAnsiTheme="majorHAnsi"/>
          <w:lang w:val="en-GB"/>
        </w:rPr>
        <w:t xml:space="preserve"> that based on the current volumes Citibank has </w:t>
      </w:r>
      <w:r w:rsidR="009B6C4A" w:rsidRPr="00E80090">
        <w:rPr>
          <w:rFonts w:asciiTheme="majorHAnsi" w:hAnsiTheme="majorHAnsi"/>
          <w:lang w:val="en-GB"/>
        </w:rPr>
        <w:t xml:space="preserve">a </w:t>
      </w:r>
      <w:r w:rsidRPr="00E80090">
        <w:rPr>
          <w:rFonts w:asciiTheme="majorHAnsi" w:hAnsiTheme="majorHAnsi"/>
          <w:lang w:val="en-GB"/>
        </w:rPr>
        <w:t xml:space="preserve">more competitive </w:t>
      </w:r>
      <w:r w:rsidR="00C425F9" w:rsidRPr="00E80090">
        <w:rPr>
          <w:rFonts w:asciiTheme="majorHAnsi" w:hAnsiTheme="majorHAnsi"/>
          <w:lang w:val="en-GB"/>
        </w:rPr>
        <w:t xml:space="preserve">offer </w:t>
      </w:r>
      <w:r w:rsidRPr="00E80090">
        <w:rPr>
          <w:rFonts w:asciiTheme="majorHAnsi" w:hAnsiTheme="majorHAnsi"/>
          <w:lang w:val="en-GB"/>
        </w:rPr>
        <w:t xml:space="preserve">than the current one. </w:t>
      </w:r>
      <w:r w:rsidR="00180822" w:rsidRPr="00E80090">
        <w:rPr>
          <w:rFonts w:asciiTheme="majorHAnsi" w:hAnsiTheme="majorHAnsi"/>
          <w:lang w:val="en-GB"/>
        </w:rPr>
        <w:t>Therefore, migrating the entity to Citibank would have positive financial effect for the company.</w:t>
      </w:r>
    </w:p>
    <w:p w14:paraId="6E5842D4" w14:textId="77777777" w:rsidR="00122F2B" w:rsidRPr="00E80090" w:rsidRDefault="00346EDF" w:rsidP="00122F2B">
      <w:pPr>
        <w:pStyle w:val="Kop2"/>
        <w:numPr>
          <w:ilvl w:val="2"/>
          <w:numId w:val="12"/>
        </w:numPr>
        <w:spacing w:line="360" w:lineRule="auto"/>
        <w:rPr>
          <w:rFonts w:asciiTheme="majorHAnsi" w:hAnsiTheme="majorHAnsi"/>
          <w:sz w:val="24"/>
          <w:szCs w:val="24"/>
          <w:lang w:val="en-GB"/>
        </w:rPr>
      </w:pPr>
      <w:bookmarkStart w:id="110" w:name="_Toc360633028"/>
      <w:bookmarkStart w:id="111" w:name="_Toc368290358"/>
      <w:r w:rsidRPr="00E80090">
        <w:rPr>
          <w:rFonts w:asciiTheme="majorHAnsi" w:hAnsiTheme="majorHAnsi"/>
          <w:sz w:val="24"/>
          <w:szCs w:val="24"/>
          <w:lang w:val="en-GB"/>
        </w:rPr>
        <w:t>Slovakia</w:t>
      </w:r>
      <w:bookmarkEnd w:id="110"/>
      <w:bookmarkEnd w:id="111"/>
    </w:p>
    <w:p w14:paraId="6E5842D5" w14:textId="77777777" w:rsidR="00346EDF" w:rsidRPr="00E80090" w:rsidRDefault="0006301E" w:rsidP="00122F2B">
      <w:pPr>
        <w:spacing w:after="200" w:line="360" w:lineRule="auto"/>
        <w:jc w:val="both"/>
        <w:rPr>
          <w:rFonts w:asciiTheme="majorHAnsi" w:hAnsiTheme="majorHAnsi"/>
          <w:lang w:val="en-GB"/>
        </w:rPr>
      </w:pPr>
      <w:r w:rsidRPr="00E80090">
        <w:rPr>
          <w:rFonts w:asciiTheme="majorHAnsi" w:hAnsiTheme="majorHAnsi"/>
          <w:lang w:val="en-GB"/>
        </w:rPr>
        <w:t>T</w:t>
      </w:r>
      <w:r w:rsidR="00122F2B" w:rsidRPr="00E80090">
        <w:rPr>
          <w:rFonts w:asciiTheme="majorHAnsi" w:hAnsiTheme="majorHAnsi"/>
          <w:lang w:val="en-GB"/>
        </w:rPr>
        <w:t xml:space="preserve">he </w:t>
      </w:r>
      <w:r w:rsidRPr="00E80090">
        <w:rPr>
          <w:rFonts w:asciiTheme="majorHAnsi" w:hAnsiTheme="majorHAnsi"/>
          <w:lang w:val="en-GB"/>
        </w:rPr>
        <w:t>branch</w:t>
      </w:r>
      <w:r w:rsidR="00122F2B" w:rsidRPr="00E80090">
        <w:rPr>
          <w:rFonts w:asciiTheme="majorHAnsi" w:hAnsiTheme="majorHAnsi"/>
          <w:lang w:val="en-GB"/>
        </w:rPr>
        <w:t xml:space="preserve"> </w:t>
      </w:r>
      <w:r w:rsidRPr="00E80090">
        <w:rPr>
          <w:rFonts w:asciiTheme="majorHAnsi" w:hAnsiTheme="majorHAnsi"/>
          <w:lang w:val="en-GB"/>
        </w:rPr>
        <w:t>currently uses</w:t>
      </w:r>
      <w:r w:rsidR="00122F2B" w:rsidRPr="00E80090">
        <w:rPr>
          <w:rFonts w:asciiTheme="majorHAnsi" w:hAnsiTheme="majorHAnsi"/>
          <w:lang w:val="en-GB"/>
        </w:rPr>
        <w:t xml:space="preserve"> Volksbank</w:t>
      </w:r>
      <w:r w:rsidRPr="00E80090">
        <w:rPr>
          <w:rFonts w:asciiTheme="majorHAnsi" w:hAnsiTheme="majorHAnsi"/>
          <w:lang w:val="en-GB"/>
        </w:rPr>
        <w:t xml:space="preserve"> and is proposed for migration to UniCredit</w:t>
      </w:r>
      <w:r w:rsidR="00122F2B" w:rsidRPr="00E80090">
        <w:rPr>
          <w:rFonts w:asciiTheme="majorHAnsi" w:hAnsiTheme="majorHAnsi"/>
          <w:lang w:val="en-GB"/>
        </w:rPr>
        <w:t>. Looking at the comparison of the two offers in Table 4, i</w:t>
      </w:r>
      <w:r w:rsidR="00A82011" w:rsidRPr="00E80090">
        <w:rPr>
          <w:rFonts w:asciiTheme="majorHAnsi" w:hAnsiTheme="majorHAnsi"/>
          <w:lang w:val="en-GB"/>
        </w:rPr>
        <w:t>t</w:t>
      </w:r>
      <w:r w:rsidR="00122F2B" w:rsidRPr="00E80090">
        <w:rPr>
          <w:rFonts w:asciiTheme="majorHAnsi" w:hAnsiTheme="majorHAnsi"/>
          <w:lang w:val="en-GB"/>
        </w:rPr>
        <w:t xml:space="preserve"> </w:t>
      </w:r>
      <w:r w:rsidR="00926D81" w:rsidRPr="00E80090">
        <w:rPr>
          <w:rFonts w:asciiTheme="majorHAnsi" w:hAnsiTheme="majorHAnsi"/>
          <w:lang w:val="en-GB"/>
        </w:rPr>
        <w:t>is noticeable</w:t>
      </w:r>
      <w:r w:rsidR="00122F2B" w:rsidRPr="00E80090">
        <w:rPr>
          <w:rFonts w:asciiTheme="majorHAnsi" w:hAnsiTheme="majorHAnsi"/>
          <w:lang w:val="en-GB"/>
        </w:rPr>
        <w:t xml:space="preserve"> that </w:t>
      </w:r>
      <w:r w:rsidR="003C20F0" w:rsidRPr="00E80090">
        <w:rPr>
          <w:rFonts w:asciiTheme="majorHAnsi" w:hAnsiTheme="majorHAnsi"/>
          <w:lang w:val="en-GB"/>
        </w:rPr>
        <w:t xml:space="preserve">currently </w:t>
      </w:r>
      <w:r w:rsidR="00122F2B" w:rsidRPr="00E80090">
        <w:rPr>
          <w:rFonts w:asciiTheme="majorHAnsi" w:hAnsiTheme="majorHAnsi"/>
          <w:lang w:val="en-GB"/>
        </w:rPr>
        <w:t>Volksbank has a more competitive pricing</w:t>
      </w:r>
      <w:r w:rsidR="00F57517" w:rsidRPr="00E80090">
        <w:rPr>
          <w:rFonts w:asciiTheme="majorHAnsi" w:hAnsiTheme="majorHAnsi"/>
          <w:lang w:val="en-GB"/>
        </w:rPr>
        <w:t xml:space="preserve"> than UniCredit</w:t>
      </w:r>
      <w:r w:rsidR="00122F2B" w:rsidRPr="00E80090">
        <w:rPr>
          <w:rFonts w:asciiTheme="majorHAnsi" w:hAnsiTheme="majorHAnsi"/>
          <w:lang w:val="en-GB"/>
        </w:rPr>
        <w:t>.</w:t>
      </w:r>
      <w:r w:rsidR="003C20F0" w:rsidRPr="00E80090">
        <w:rPr>
          <w:rFonts w:asciiTheme="majorHAnsi" w:hAnsiTheme="majorHAnsi"/>
          <w:lang w:val="en-GB"/>
        </w:rPr>
        <w:t xml:space="preserve"> However, the </w:t>
      </w:r>
      <w:r w:rsidR="00825017" w:rsidRPr="00E80090">
        <w:rPr>
          <w:rFonts w:asciiTheme="majorHAnsi" w:hAnsiTheme="majorHAnsi"/>
          <w:lang w:val="en-GB"/>
        </w:rPr>
        <w:t>offer</w:t>
      </w:r>
      <w:r w:rsidR="003C20F0" w:rsidRPr="00E80090">
        <w:rPr>
          <w:rFonts w:asciiTheme="majorHAnsi" w:hAnsiTheme="majorHAnsi"/>
          <w:lang w:val="en-GB"/>
        </w:rPr>
        <w:t xml:space="preserve"> provided by the </w:t>
      </w:r>
      <w:r w:rsidR="00926D81" w:rsidRPr="00E80090">
        <w:rPr>
          <w:rFonts w:asciiTheme="majorHAnsi" w:hAnsiTheme="majorHAnsi"/>
          <w:lang w:val="en-GB"/>
        </w:rPr>
        <w:t>UniCredit</w:t>
      </w:r>
      <w:r w:rsidR="003C20F0" w:rsidRPr="00E80090">
        <w:rPr>
          <w:rFonts w:asciiTheme="majorHAnsi" w:hAnsiTheme="majorHAnsi"/>
          <w:lang w:val="en-GB"/>
        </w:rPr>
        <w:t xml:space="preserve"> has not yet been negotiated to fit the </w:t>
      </w:r>
      <w:r w:rsidR="006F0069" w:rsidRPr="00E80090">
        <w:rPr>
          <w:rFonts w:asciiTheme="majorHAnsi" w:hAnsiTheme="majorHAnsi"/>
          <w:lang w:val="en-GB"/>
        </w:rPr>
        <w:t xml:space="preserve">specific </w:t>
      </w:r>
      <w:r w:rsidR="00AD3759" w:rsidRPr="00E80090">
        <w:rPr>
          <w:rFonts w:asciiTheme="majorHAnsi" w:hAnsiTheme="majorHAnsi"/>
          <w:lang w:val="en-GB"/>
        </w:rPr>
        <w:t>cash management needs of the business</w:t>
      </w:r>
      <w:r w:rsidR="003C20F0" w:rsidRPr="00E80090">
        <w:rPr>
          <w:rFonts w:asciiTheme="majorHAnsi" w:hAnsiTheme="majorHAnsi"/>
          <w:lang w:val="en-GB"/>
        </w:rPr>
        <w:t>.</w:t>
      </w:r>
      <w:r w:rsidR="006F0069" w:rsidRPr="00E80090">
        <w:rPr>
          <w:rFonts w:asciiTheme="majorHAnsi" w:hAnsiTheme="majorHAnsi"/>
          <w:lang w:val="en-GB"/>
        </w:rPr>
        <w:t xml:space="preserve"> Therefore an improvement may be achieved.</w:t>
      </w:r>
    </w:p>
    <w:p w14:paraId="6E5842D6" w14:textId="77777777" w:rsidR="00783995" w:rsidRPr="00E80090" w:rsidRDefault="00783995" w:rsidP="00122F2B">
      <w:pPr>
        <w:spacing w:after="200" w:line="360" w:lineRule="auto"/>
        <w:jc w:val="both"/>
        <w:rPr>
          <w:rFonts w:asciiTheme="majorHAnsi" w:hAnsiTheme="majorHAnsi"/>
          <w:lang w:val="en-GB"/>
        </w:rPr>
      </w:pPr>
      <w:r w:rsidRPr="00E80090">
        <w:rPr>
          <w:rFonts w:asciiTheme="majorHAnsi" w:hAnsiTheme="majorHAnsi"/>
          <w:lang w:val="en-GB"/>
        </w:rPr>
        <w:t>UniCredit has offered a lower monthly fee on account maintenance and electronic statements but its electronic banking charges exceed the one the entity currently pays. As a result, the monthly fees paid by the entity would be much higher with UniCredit than with Volksbank. Additionally, the electronic service provided by UniCredit would require a one off installation fee that would bring the costs further up.</w:t>
      </w:r>
    </w:p>
    <w:p w14:paraId="6E5842D7" w14:textId="77777777" w:rsidR="00783995" w:rsidRPr="00E80090" w:rsidRDefault="00783995" w:rsidP="00122F2B">
      <w:pPr>
        <w:spacing w:after="200" w:line="360" w:lineRule="auto"/>
        <w:jc w:val="both"/>
        <w:rPr>
          <w:rFonts w:asciiTheme="majorHAnsi" w:hAnsiTheme="majorHAnsi"/>
          <w:lang w:val="en-GB"/>
        </w:rPr>
      </w:pPr>
    </w:p>
    <w:tbl>
      <w:tblPr>
        <w:tblW w:w="9090"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690"/>
        <w:gridCol w:w="3510"/>
        <w:gridCol w:w="1890"/>
      </w:tblGrid>
      <w:tr w:rsidR="009543B0" w:rsidRPr="00E80090" w14:paraId="6E5842DB" w14:textId="77777777" w:rsidTr="008270F5">
        <w:trPr>
          <w:trHeight w:val="277"/>
        </w:trPr>
        <w:tc>
          <w:tcPr>
            <w:tcW w:w="3690" w:type="dxa"/>
            <w:tcBorders>
              <w:right w:val="single" w:sz="4" w:space="0" w:color="4F81BD"/>
            </w:tcBorders>
            <w:shd w:val="clear" w:color="auto" w:fill="4BACC6"/>
            <w:noWrap/>
            <w:hideMark/>
          </w:tcPr>
          <w:p w14:paraId="6E5842D8" w14:textId="77777777" w:rsidR="00D2776F" w:rsidRPr="00E80090" w:rsidRDefault="00D2776F" w:rsidP="00D2776F">
            <w:pPr>
              <w:rPr>
                <w:rFonts w:asciiTheme="majorHAnsi" w:eastAsia="Times New Roman" w:hAnsiTheme="majorHAnsi" w:cs="Arial"/>
                <w:b/>
                <w:bCs/>
                <w:color w:val="FFFFFF"/>
                <w:szCs w:val="22"/>
                <w:lang w:val="en-GB" w:eastAsia="en-US"/>
              </w:rPr>
            </w:pPr>
            <w:r w:rsidRPr="00E80090">
              <w:rPr>
                <w:rFonts w:asciiTheme="majorHAnsi" w:eastAsia="Times New Roman" w:hAnsiTheme="majorHAnsi" w:cs="Arial"/>
                <w:b/>
                <w:bCs/>
                <w:color w:val="FFFFFF"/>
                <w:szCs w:val="22"/>
                <w:lang w:val="en-GB" w:eastAsia="en-US"/>
              </w:rPr>
              <w:lastRenderedPageBreak/>
              <w:t>Product:</w:t>
            </w:r>
          </w:p>
        </w:tc>
        <w:tc>
          <w:tcPr>
            <w:tcW w:w="3510" w:type="dxa"/>
            <w:tcBorders>
              <w:left w:val="single" w:sz="4" w:space="0" w:color="4F81BD"/>
              <w:right w:val="single" w:sz="4" w:space="0" w:color="4F81BD"/>
            </w:tcBorders>
            <w:shd w:val="clear" w:color="auto" w:fill="4BACC6"/>
            <w:noWrap/>
            <w:hideMark/>
          </w:tcPr>
          <w:p w14:paraId="6E5842D9" w14:textId="77777777" w:rsidR="00D2776F" w:rsidRPr="00E80090" w:rsidRDefault="00D2776F" w:rsidP="004928A0">
            <w:pPr>
              <w:jc w:val="center"/>
              <w:rPr>
                <w:rFonts w:asciiTheme="majorHAnsi" w:eastAsia="Times New Roman" w:hAnsiTheme="majorHAnsi" w:cs="Arial"/>
                <w:b/>
                <w:bCs/>
                <w:color w:val="FFFFFF"/>
                <w:szCs w:val="22"/>
                <w:lang w:val="en-GB" w:eastAsia="en-US"/>
              </w:rPr>
            </w:pPr>
            <w:r w:rsidRPr="00E80090">
              <w:rPr>
                <w:rFonts w:asciiTheme="majorHAnsi" w:eastAsia="Times New Roman" w:hAnsiTheme="majorHAnsi" w:cs="Arial"/>
                <w:b/>
                <w:bCs/>
                <w:color w:val="FFFFFF"/>
                <w:szCs w:val="22"/>
                <w:lang w:val="en-GB" w:eastAsia="en-US"/>
              </w:rPr>
              <w:t>Volksbank</w:t>
            </w:r>
          </w:p>
        </w:tc>
        <w:tc>
          <w:tcPr>
            <w:tcW w:w="1890" w:type="dxa"/>
            <w:tcBorders>
              <w:left w:val="single" w:sz="4" w:space="0" w:color="4F81BD"/>
            </w:tcBorders>
            <w:shd w:val="clear" w:color="auto" w:fill="4BACC6"/>
            <w:noWrap/>
            <w:hideMark/>
          </w:tcPr>
          <w:p w14:paraId="6E5842DA" w14:textId="77777777" w:rsidR="00D2776F" w:rsidRPr="00E80090" w:rsidRDefault="00D2776F" w:rsidP="004928A0">
            <w:pPr>
              <w:jc w:val="center"/>
              <w:rPr>
                <w:rFonts w:asciiTheme="majorHAnsi" w:eastAsia="Times New Roman" w:hAnsiTheme="majorHAnsi" w:cs="Arial"/>
                <w:b/>
                <w:bCs/>
                <w:color w:val="FFFFFF"/>
                <w:szCs w:val="22"/>
                <w:lang w:val="en-GB" w:eastAsia="en-US"/>
              </w:rPr>
            </w:pPr>
            <w:r w:rsidRPr="00E80090">
              <w:rPr>
                <w:rFonts w:asciiTheme="majorHAnsi" w:eastAsia="Times New Roman" w:hAnsiTheme="majorHAnsi" w:cs="Arial"/>
                <w:b/>
                <w:bCs/>
                <w:color w:val="FFFFFF"/>
                <w:szCs w:val="22"/>
                <w:lang w:val="en-GB" w:eastAsia="en-US"/>
              </w:rPr>
              <w:t>UniCredit</w:t>
            </w:r>
          </w:p>
        </w:tc>
      </w:tr>
      <w:tr w:rsidR="00D2776F" w:rsidRPr="00E80090" w14:paraId="6E5842DF" w14:textId="77777777" w:rsidTr="008270F5">
        <w:trPr>
          <w:trHeight w:val="286"/>
        </w:trPr>
        <w:tc>
          <w:tcPr>
            <w:tcW w:w="3690" w:type="dxa"/>
            <w:tcBorders>
              <w:top w:val="single" w:sz="8" w:space="0" w:color="4BACC6"/>
              <w:bottom w:val="single" w:sz="8" w:space="0" w:color="4BACC6"/>
              <w:right w:val="single" w:sz="4" w:space="0" w:color="4F81BD"/>
            </w:tcBorders>
            <w:shd w:val="clear" w:color="auto" w:fill="auto"/>
            <w:hideMark/>
          </w:tcPr>
          <w:p w14:paraId="6E5842DC" w14:textId="77777777" w:rsidR="00D2776F" w:rsidRPr="00E80090" w:rsidRDefault="00D2776F" w:rsidP="00D2776F">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Account maintenance (monthly)</w:t>
            </w:r>
          </w:p>
        </w:tc>
        <w:tc>
          <w:tcPr>
            <w:tcW w:w="3510" w:type="dxa"/>
            <w:tcBorders>
              <w:top w:val="single" w:sz="8" w:space="0" w:color="4BACC6"/>
              <w:left w:val="single" w:sz="4" w:space="0" w:color="4F81BD"/>
              <w:bottom w:val="single" w:sz="8" w:space="0" w:color="4BACC6"/>
              <w:right w:val="single" w:sz="4" w:space="0" w:color="4F81BD"/>
            </w:tcBorders>
            <w:shd w:val="clear" w:color="auto" w:fill="auto"/>
            <w:hideMark/>
          </w:tcPr>
          <w:p w14:paraId="6E5842DD" w14:textId="77777777" w:rsidR="00D2776F" w:rsidRPr="00E80090" w:rsidRDefault="00D2776F" w:rsidP="000758B8">
            <w:pPr>
              <w:jc w:val="center"/>
              <w:rPr>
                <w:rFonts w:asciiTheme="majorHAnsi" w:eastAsia="Times New Roman" w:hAnsiTheme="majorHAnsi" w:cs="Arial"/>
                <w:color w:val="000000"/>
                <w:sz w:val="22"/>
                <w:szCs w:val="22"/>
                <w:lang w:val="en-GB" w:eastAsia="en-US"/>
              </w:rPr>
            </w:pPr>
            <w:r w:rsidRPr="00E80090">
              <w:rPr>
                <w:rFonts w:asciiTheme="majorHAnsi" w:eastAsia="Times New Roman" w:hAnsiTheme="majorHAnsi" w:cs="Arial"/>
                <w:color w:val="000000"/>
                <w:sz w:val="22"/>
                <w:szCs w:val="22"/>
                <w:lang w:val="en-GB" w:eastAsia="en-US"/>
              </w:rPr>
              <w:t>€ 4.99</w:t>
            </w:r>
          </w:p>
        </w:tc>
        <w:tc>
          <w:tcPr>
            <w:tcW w:w="1890" w:type="dxa"/>
            <w:tcBorders>
              <w:top w:val="single" w:sz="8" w:space="0" w:color="4BACC6"/>
              <w:left w:val="single" w:sz="4" w:space="0" w:color="4F81BD"/>
              <w:bottom w:val="single" w:sz="8" w:space="0" w:color="4BACC6"/>
            </w:tcBorders>
            <w:shd w:val="clear" w:color="auto" w:fill="auto"/>
            <w:hideMark/>
          </w:tcPr>
          <w:p w14:paraId="6E5842DE" w14:textId="77777777" w:rsidR="00D2776F" w:rsidRPr="00E80090" w:rsidRDefault="00D2776F" w:rsidP="000758B8">
            <w:pPr>
              <w:jc w:val="center"/>
              <w:rPr>
                <w:rFonts w:asciiTheme="majorHAnsi" w:eastAsia="Times New Roman" w:hAnsiTheme="majorHAnsi" w:cs="Arial"/>
                <w:color w:val="000000"/>
                <w:sz w:val="22"/>
                <w:szCs w:val="22"/>
                <w:lang w:val="en-GB" w:eastAsia="en-US"/>
              </w:rPr>
            </w:pPr>
            <w:r w:rsidRPr="00E80090">
              <w:rPr>
                <w:rFonts w:asciiTheme="majorHAnsi" w:eastAsia="Times New Roman" w:hAnsiTheme="majorHAnsi" w:cs="Arial"/>
                <w:color w:val="000000"/>
                <w:sz w:val="22"/>
                <w:szCs w:val="22"/>
                <w:lang w:val="en-GB" w:eastAsia="en-US"/>
              </w:rPr>
              <w:t>€ 3.29</w:t>
            </w:r>
          </w:p>
        </w:tc>
      </w:tr>
      <w:tr w:rsidR="00D2776F" w:rsidRPr="00E80090" w14:paraId="6E5842E1" w14:textId="77777777" w:rsidTr="000758B8">
        <w:trPr>
          <w:trHeight w:val="240"/>
        </w:trPr>
        <w:tc>
          <w:tcPr>
            <w:tcW w:w="9090" w:type="dxa"/>
            <w:gridSpan w:val="3"/>
            <w:shd w:val="clear" w:color="auto" w:fill="auto"/>
            <w:hideMark/>
          </w:tcPr>
          <w:p w14:paraId="6E5842E0" w14:textId="77777777" w:rsidR="00D2776F" w:rsidRPr="00E80090" w:rsidRDefault="008F1B84" w:rsidP="008F1B84">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Electronic banking</w:t>
            </w:r>
          </w:p>
        </w:tc>
      </w:tr>
      <w:tr w:rsidR="00424C44" w:rsidRPr="00E80090" w14:paraId="6E5842E5" w14:textId="77777777" w:rsidTr="008270F5">
        <w:trPr>
          <w:trHeight w:val="240"/>
        </w:trPr>
        <w:tc>
          <w:tcPr>
            <w:tcW w:w="3690" w:type="dxa"/>
            <w:tcBorders>
              <w:top w:val="single" w:sz="8" w:space="0" w:color="4BACC6"/>
              <w:bottom w:val="single" w:sz="8" w:space="0" w:color="4BACC6"/>
              <w:right w:val="single" w:sz="4" w:space="0" w:color="4F81BD"/>
            </w:tcBorders>
            <w:shd w:val="clear" w:color="auto" w:fill="auto"/>
            <w:hideMark/>
          </w:tcPr>
          <w:p w14:paraId="6E5842E2" w14:textId="77777777" w:rsidR="00D2776F" w:rsidRPr="00E80090" w:rsidRDefault="00D2776F" w:rsidP="000758B8">
            <w:pPr>
              <w:jc w:val="right"/>
              <w:rPr>
                <w:rFonts w:asciiTheme="majorHAnsi" w:eastAsia="Times New Roman" w:hAnsiTheme="majorHAnsi" w:cs="Arial"/>
                <w:b/>
                <w:bCs/>
                <w:color w:val="000000"/>
                <w:sz w:val="22"/>
                <w:szCs w:val="22"/>
                <w:lang w:val="en-GB" w:eastAsia="en-US"/>
              </w:rPr>
            </w:pPr>
            <w:r w:rsidRPr="00E80090">
              <w:rPr>
                <w:rFonts w:asciiTheme="majorHAnsi" w:eastAsia="Times New Roman" w:hAnsiTheme="majorHAnsi" w:cs="Arial"/>
                <w:b/>
                <w:bCs/>
                <w:color w:val="000000"/>
                <w:sz w:val="22"/>
                <w:szCs w:val="22"/>
                <w:lang w:val="en-GB" w:eastAsia="en-US"/>
              </w:rPr>
              <w:t>service activation</w:t>
            </w:r>
          </w:p>
        </w:tc>
        <w:tc>
          <w:tcPr>
            <w:tcW w:w="3510" w:type="dxa"/>
            <w:tcBorders>
              <w:top w:val="single" w:sz="8" w:space="0" w:color="4BACC6"/>
              <w:left w:val="single" w:sz="4" w:space="0" w:color="4F81BD"/>
              <w:bottom w:val="single" w:sz="8" w:space="0" w:color="4BACC6"/>
              <w:right w:val="single" w:sz="4" w:space="0" w:color="4F81BD"/>
            </w:tcBorders>
            <w:shd w:val="clear" w:color="auto" w:fill="auto"/>
            <w:hideMark/>
          </w:tcPr>
          <w:p w14:paraId="6E5842E3"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NA</w:t>
            </w:r>
          </w:p>
        </w:tc>
        <w:tc>
          <w:tcPr>
            <w:tcW w:w="1890" w:type="dxa"/>
            <w:tcBorders>
              <w:top w:val="single" w:sz="8" w:space="0" w:color="4BACC6"/>
              <w:left w:val="single" w:sz="4" w:space="0" w:color="4F81BD"/>
              <w:bottom w:val="single" w:sz="8" w:space="0" w:color="4BACC6"/>
            </w:tcBorders>
            <w:shd w:val="clear" w:color="auto" w:fill="auto"/>
            <w:noWrap/>
            <w:hideMark/>
          </w:tcPr>
          <w:p w14:paraId="6E5842E4"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€ 50.00</w:t>
            </w:r>
          </w:p>
        </w:tc>
      </w:tr>
      <w:tr w:rsidR="00424C44" w:rsidRPr="00E80090" w14:paraId="6E5842E9" w14:textId="77777777" w:rsidTr="008270F5">
        <w:trPr>
          <w:trHeight w:val="236"/>
        </w:trPr>
        <w:tc>
          <w:tcPr>
            <w:tcW w:w="3690" w:type="dxa"/>
            <w:tcBorders>
              <w:right w:val="single" w:sz="4" w:space="0" w:color="4F81BD"/>
            </w:tcBorders>
            <w:shd w:val="clear" w:color="auto" w:fill="auto"/>
            <w:hideMark/>
          </w:tcPr>
          <w:p w14:paraId="6E5842E6" w14:textId="77777777" w:rsidR="00D2776F" w:rsidRPr="00E80090" w:rsidRDefault="00D2776F" w:rsidP="000758B8">
            <w:pPr>
              <w:jc w:val="right"/>
              <w:rPr>
                <w:rFonts w:asciiTheme="majorHAnsi" w:eastAsia="Times New Roman" w:hAnsiTheme="majorHAnsi" w:cs="Arial"/>
                <w:b/>
                <w:bCs/>
                <w:color w:val="000000"/>
                <w:sz w:val="22"/>
                <w:szCs w:val="22"/>
                <w:lang w:val="en-GB" w:eastAsia="en-US"/>
              </w:rPr>
            </w:pPr>
            <w:r w:rsidRPr="00E80090">
              <w:rPr>
                <w:rFonts w:asciiTheme="majorHAnsi" w:eastAsia="Times New Roman" w:hAnsiTheme="majorHAnsi" w:cs="Arial"/>
                <w:b/>
                <w:bCs/>
                <w:color w:val="000000"/>
                <w:sz w:val="22"/>
                <w:szCs w:val="22"/>
                <w:lang w:val="en-GB" w:eastAsia="en-US"/>
              </w:rPr>
              <w:t>monthly fee</w:t>
            </w:r>
          </w:p>
        </w:tc>
        <w:tc>
          <w:tcPr>
            <w:tcW w:w="3510" w:type="dxa"/>
            <w:tcBorders>
              <w:left w:val="single" w:sz="4" w:space="0" w:color="4F81BD"/>
              <w:right w:val="single" w:sz="4" w:space="0" w:color="4F81BD"/>
            </w:tcBorders>
            <w:shd w:val="clear" w:color="auto" w:fill="auto"/>
            <w:hideMark/>
          </w:tcPr>
          <w:p w14:paraId="6E5842E7"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Free of charge</w:t>
            </w:r>
          </w:p>
        </w:tc>
        <w:tc>
          <w:tcPr>
            <w:tcW w:w="1890" w:type="dxa"/>
            <w:tcBorders>
              <w:left w:val="single" w:sz="4" w:space="0" w:color="4F81BD"/>
            </w:tcBorders>
            <w:shd w:val="clear" w:color="auto" w:fill="auto"/>
            <w:noWrap/>
            <w:hideMark/>
          </w:tcPr>
          <w:p w14:paraId="6E5842E8"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€ 4.98</w:t>
            </w:r>
          </w:p>
        </w:tc>
      </w:tr>
      <w:tr w:rsidR="00424C44" w:rsidRPr="00E80090" w14:paraId="6E5842ED" w14:textId="77777777" w:rsidTr="008270F5">
        <w:trPr>
          <w:trHeight w:val="240"/>
        </w:trPr>
        <w:tc>
          <w:tcPr>
            <w:tcW w:w="3690" w:type="dxa"/>
            <w:tcBorders>
              <w:top w:val="single" w:sz="8" w:space="0" w:color="4BACC6"/>
              <w:bottom w:val="single" w:sz="8" w:space="0" w:color="4BACC6"/>
              <w:right w:val="single" w:sz="4" w:space="0" w:color="4F81BD"/>
            </w:tcBorders>
            <w:shd w:val="clear" w:color="auto" w:fill="auto"/>
            <w:hideMark/>
          </w:tcPr>
          <w:p w14:paraId="6E5842EA" w14:textId="77777777" w:rsidR="00D2776F" w:rsidRPr="00E80090" w:rsidRDefault="00D2776F" w:rsidP="00D2776F">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Incoming domestic payments</w:t>
            </w:r>
          </w:p>
        </w:tc>
        <w:tc>
          <w:tcPr>
            <w:tcW w:w="3510" w:type="dxa"/>
            <w:tcBorders>
              <w:top w:val="single" w:sz="8" w:space="0" w:color="4BACC6"/>
              <w:left w:val="single" w:sz="4" w:space="0" w:color="4F81BD"/>
              <w:bottom w:val="single" w:sz="8" w:space="0" w:color="4BACC6"/>
              <w:right w:val="single" w:sz="4" w:space="0" w:color="4F81BD"/>
            </w:tcBorders>
            <w:shd w:val="clear" w:color="auto" w:fill="auto"/>
            <w:noWrap/>
            <w:hideMark/>
          </w:tcPr>
          <w:p w14:paraId="6E5842EB"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0.17</w:t>
            </w:r>
          </w:p>
        </w:tc>
        <w:tc>
          <w:tcPr>
            <w:tcW w:w="1890" w:type="dxa"/>
            <w:tcBorders>
              <w:top w:val="single" w:sz="8" w:space="0" w:color="4BACC6"/>
              <w:left w:val="single" w:sz="4" w:space="0" w:color="4F81BD"/>
              <w:bottom w:val="single" w:sz="8" w:space="0" w:color="4BACC6"/>
            </w:tcBorders>
            <w:shd w:val="clear" w:color="auto" w:fill="auto"/>
            <w:noWrap/>
            <w:hideMark/>
          </w:tcPr>
          <w:p w14:paraId="6E5842EC"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0.27</w:t>
            </w:r>
          </w:p>
        </w:tc>
      </w:tr>
      <w:tr w:rsidR="00424C44" w:rsidRPr="00E80090" w14:paraId="6E5842F1" w14:textId="77777777" w:rsidTr="008270F5">
        <w:trPr>
          <w:trHeight w:val="240"/>
        </w:trPr>
        <w:tc>
          <w:tcPr>
            <w:tcW w:w="3690" w:type="dxa"/>
            <w:tcBorders>
              <w:right w:val="single" w:sz="4" w:space="0" w:color="4F81BD"/>
            </w:tcBorders>
            <w:shd w:val="clear" w:color="auto" w:fill="auto"/>
            <w:hideMark/>
          </w:tcPr>
          <w:p w14:paraId="6E5842EE" w14:textId="77777777" w:rsidR="00D2776F" w:rsidRPr="00E80090" w:rsidRDefault="00D2776F" w:rsidP="00D2776F">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Outgoing domestic payments</w:t>
            </w:r>
          </w:p>
        </w:tc>
        <w:tc>
          <w:tcPr>
            <w:tcW w:w="3510" w:type="dxa"/>
            <w:tcBorders>
              <w:left w:val="single" w:sz="4" w:space="0" w:color="4F81BD"/>
              <w:right w:val="single" w:sz="4" w:space="0" w:color="4F81BD"/>
            </w:tcBorders>
            <w:shd w:val="clear" w:color="auto" w:fill="auto"/>
            <w:noWrap/>
            <w:hideMark/>
          </w:tcPr>
          <w:p w14:paraId="6E5842EF" w14:textId="77777777" w:rsidR="00D2776F" w:rsidRPr="00E80090" w:rsidRDefault="006333F6"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 xml:space="preserve">15 free </w:t>
            </w:r>
            <w:r w:rsidR="008270F5" w:rsidRPr="00E80090">
              <w:rPr>
                <w:rFonts w:asciiTheme="majorHAnsi" w:eastAsia="Times New Roman" w:hAnsiTheme="majorHAnsi" w:cs="Arial"/>
                <w:sz w:val="22"/>
                <w:szCs w:val="22"/>
                <w:lang w:val="en-GB" w:eastAsia="en-US"/>
              </w:rPr>
              <w:t>(</w:t>
            </w:r>
            <w:r w:rsidRPr="00E80090">
              <w:rPr>
                <w:rFonts w:asciiTheme="majorHAnsi" w:eastAsia="Times New Roman" w:hAnsiTheme="majorHAnsi" w:cs="Arial"/>
                <w:sz w:val="22"/>
                <w:szCs w:val="22"/>
                <w:lang w:val="en-GB" w:eastAsia="en-US"/>
              </w:rPr>
              <w:t>per month)</w:t>
            </w:r>
            <w:r w:rsidR="008270F5" w:rsidRPr="00E80090">
              <w:rPr>
                <w:rFonts w:asciiTheme="majorHAnsi" w:eastAsia="Times New Roman" w:hAnsiTheme="majorHAnsi" w:cs="Arial"/>
                <w:sz w:val="22"/>
                <w:szCs w:val="22"/>
                <w:lang w:val="en-GB" w:eastAsia="en-US"/>
              </w:rPr>
              <w:t>, then € 0.17</w:t>
            </w:r>
          </w:p>
        </w:tc>
        <w:tc>
          <w:tcPr>
            <w:tcW w:w="1890" w:type="dxa"/>
            <w:tcBorders>
              <w:left w:val="single" w:sz="4" w:space="0" w:color="4F81BD"/>
            </w:tcBorders>
            <w:shd w:val="clear" w:color="auto" w:fill="auto"/>
            <w:noWrap/>
            <w:hideMark/>
          </w:tcPr>
          <w:p w14:paraId="6E5842F0"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0.12</w:t>
            </w:r>
          </w:p>
        </w:tc>
      </w:tr>
      <w:tr w:rsidR="00424C44" w:rsidRPr="00E80090" w14:paraId="6E5842F5" w14:textId="77777777" w:rsidTr="008270F5">
        <w:trPr>
          <w:trHeight w:val="223"/>
        </w:trPr>
        <w:tc>
          <w:tcPr>
            <w:tcW w:w="3690" w:type="dxa"/>
            <w:tcBorders>
              <w:top w:val="single" w:sz="8" w:space="0" w:color="4BACC6"/>
              <w:bottom w:val="single" w:sz="8" w:space="0" w:color="4BACC6"/>
              <w:right w:val="single" w:sz="4" w:space="0" w:color="4F81BD"/>
            </w:tcBorders>
            <w:shd w:val="clear" w:color="auto" w:fill="auto"/>
            <w:hideMark/>
          </w:tcPr>
          <w:p w14:paraId="6E5842F2" w14:textId="77777777" w:rsidR="00D2776F" w:rsidRPr="00E80090" w:rsidRDefault="00D2776F" w:rsidP="00D2776F">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Incoming cross-border payments</w:t>
            </w:r>
          </w:p>
        </w:tc>
        <w:tc>
          <w:tcPr>
            <w:tcW w:w="3510" w:type="dxa"/>
            <w:tcBorders>
              <w:top w:val="single" w:sz="8" w:space="0" w:color="4BACC6"/>
              <w:left w:val="single" w:sz="4" w:space="0" w:color="4F81BD"/>
              <w:bottom w:val="single" w:sz="8" w:space="0" w:color="4BACC6"/>
              <w:right w:val="single" w:sz="4" w:space="0" w:color="4F81BD"/>
            </w:tcBorders>
            <w:shd w:val="clear" w:color="auto" w:fill="auto"/>
            <w:noWrap/>
            <w:hideMark/>
          </w:tcPr>
          <w:p w14:paraId="6E5842F3"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0.17</w:t>
            </w:r>
          </w:p>
        </w:tc>
        <w:tc>
          <w:tcPr>
            <w:tcW w:w="1890" w:type="dxa"/>
            <w:tcBorders>
              <w:top w:val="single" w:sz="8" w:space="0" w:color="4BACC6"/>
              <w:left w:val="single" w:sz="4" w:space="0" w:color="4F81BD"/>
              <w:bottom w:val="single" w:sz="8" w:space="0" w:color="4BACC6"/>
            </w:tcBorders>
            <w:shd w:val="clear" w:color="auto" w:fill="auto"/>
            <w:hideMark/>
          </w:tcPr>
          <w:p w14:paraId="6E5842F4" w14:textId="77777777" w:rsidR="00D2776F" w:rsidRPr="00E80090" w:rsidRDefault="00435E4A" w:rsidP="000758B8">
            <w:pPr>
              <w:jc w:val="center"/>
              <w:rPr>
                <w:rFonts w:asciiTheme="majorHAnsi" w:eastAsia="Times New Roman" w:hAnsiTheme="majorHAnsi" w:cs="Arial"/>
                <w:color w:val="000000"/>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 xml:space="preserve"> 0.27</w:t>
            </w:r>
          </w:p>
        </w:tc>
      </w:tr>
      <w:tr w:rsidR="00424C44" w:rsidRPr="00E80090" w14:paraId="6E5842F9" w14:textId="77777777" w:rsidTr="008270F5">
        <w:trPr>
          <w:trHeight w:val="241"/>
        </w:trPr>
        <w:tc>
          <w:tcPr>
            <w:tcW w:w="3690" w:type="dxa"/>
            <w:tcBorders>
              <w:right w:val="single" w:sz="4" w:space="0" w:color="4F81BD"/>
            </w:tcBorders>
            <w:shd w:val="clear" w:color="auto" w:fill="auto"/>
            <w:hideMark/>
          </w:tcPr>
          <w:p w14:paraId="6E5842F6" w14:textId="77777777" w:rsidR="00D2776F" w:rsidRPr="00E80090" w:rsidRDefault="001E20BE" w:rsidP="001E20BE">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Outgoing c</w:t>
            </w:r>
            <w:r w:rsidR="00D2776F" w:rsidRPr="00E80090">
              <w:rPr>
                <w:rFonts w:asciiTheme="majorHAnsi" w:eastAsia="Times New Roman" w:hAnsiTheme="majorHAnsi" w:cs="Arial"/>
                <w:b/>
                <w:bCs/>
                <w:sz w:val="22"/>
                <w:szCs w:val="22"/>
                <w:lang w:val="en-GB" w:eastAsia="en-US"/>
              </w:rPr>
              <w:t xml:space="preserve">ross-border </w:t>
            </w:r>
            <w:r w:rsidR="006333F6" w:rsidRPr="00E80090">
              <w:rPr>
                <w:rFonts w:asciiTheme="majorHAnsi" w:eastAsia="Times New Roman" w:hAnsiTheme="majorHAnsi" w:cs="Arial"/>
                <w:b/>
                <w:bCs/>
                <w:sz w:val="22"/>
                <w:szCs w:val="22"/>
                <w:lang w:val="en-GB" w:eastAsia="en-US"/>
              </w:rPr>
              <w:t>payments</w:t>
            </w:r>
          </w:p>
        </w:tc>
        <w:tc>
          <w:tcPr>
            <w:tcW w:w="3510" w:type="dxa"/>
            <w:tcBorders>
              <w:left w:val="single" w:sz="4" w:space="0" w:color="4F81BD"/>
              <w:right w:val="single" w:sz="4" w:space="0" w:color="4F81BD"/>
            </w:tcBorders>
            <w:shd w:val="clear" w:color="auto" w:fill="auto"/>
            <w:noWrap/>
            <w:hideMark/>
          </w:tcPr>
          <w:p w14:paraId="6E5842F7"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0.17</w:t>
            </w:r>
          </w:p>
        </w:tc>
        <w:tc>
          <w:tcPr>
            <w:tcW w:w="1890" w:type="dxa"/>
            <w:tcBorders>
              <w:left w:val="single" w:sz="4" w:space="0" w:color="4F81BD"/>
            </w:tcBorders>
            <w:shd w:val="clear" w:color="auto" w:fill="auto"/>
            <w:hideMark/>
          </w:tcPr>
          <w:p w14:paraId="6E5842F8" w14:textId="77777777" w:rsidR="00D2776F" w:rsidRPr="00E80090" w:rsidRDefault="00AD2EE0" w:rsidP="000758B8">
            <w:pPr>
              <w:jc w:val="center"/>
              <w:rPr>
                <w:rFonts w:asciiTheme="majorHAnsi" w:eastAsia="Times New Roman" w:hAnsiTheme="majorHAnsi" w:cs="Arial"/>
                <w:color w:val="000000"/>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0.12</w:t>
            </w:r>
          </w:p>
        </w:tc>
      </w:tr>
      <w:tr w:rsidR="00424C44" w:rsidRPr="00E80090" w14:paraId="6E5842FD" w14:textId="77777777" w:rsidTr="008270F5">
        <w:trPr>
          <w:trHeight w:val="240"/>
        </w:trPr>
        <w:tc>
          <w:tcPr>
            <w:tcW w:w="3690" w:type="dxa"/>
            <w:tcBorders>
              <w:top w:val="single" w:sz="8" w:space="0" w:color="4BACC6"/>
              <w:bottom w:val="single" w:sz="8" w:space="0" w:color="4BACC6"/>
              <w:right w:val="single" w:sz="4" w:space="0" w:color="4F81BD"/>
            </w:tcBorders>
            <w:shd w:val="clear" w:color="auto" w:fill="auto"/>
            <w:hideMark/>
          </w:tcPr>
          <w:p w14:paraId="6E5842FA" w14:textId="77777777" w:rsidR="00D2776F" w:rsidRPr="00E80090" w:rsidRDefault="00D2776F" w:rsidP="005B2C1B">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Withdrawal (per tr</w:t>
            </w:r>
            <w:r w:rsidR="005B2C1B" w:rsidRPr="00E80090">
              <w:rPr>
                <w:rFonts w:asciiTheme="majorHAnsi" w:eastAsia="Times New Roman" w:hAnsiTheme="majorHAnsi" w:cs="Arial"/>
                <w:b/>
                <w:bCs/>
                <w:sz w:val="22"/>
                <w:szCs w:val="22"/>
                <w:lang w:val="en-GB" w:eastAsia="en-US"/>
              </w:rPr>
              <w:t>ansaction</w:t>
            </w:r>
            <w:r w:rsidRPr="00E80090">
              <w:rPr>
                <w:rFonts w:asciiTheme="majorHAnsi" w:eastAsia="Times New Roman" w:hAnsiTheme="majorHAnsi" w:cs="Arial"/>
                <w:b/>
                <w:bCs/>
                <w:sz w:val="22"/>
                <w:szCs w:val="22"/>
                <w:lang w:val="en-GB" w:eastAsia="en-US"/>
              </w:rPr>
              <w:t>)</w:t>
            </w:r>
          </w:p>
        </w:tc>
        <w:tc>
          <w:tcPr>
            <w:tcW w:w="3510" w:type="dxa"/>
            <w:tcBorders>
              <w:top w:val="single" w:sz="8" w:space="0" w:color="4BACC6"/>
              <w:left w:val="single" w:sz="4" w:space="0" w:color="4F81BD"/>
              <w:bottom w:val="single" w:sz="8" w:space="0" w:color="4BACC6"/>
              <w:right w:val="single" w:sz="4" w:space="0" w:color="4F81BD"/>
            </w:tcBorders>
            <w:shd w:val="clear" w:color="auto" w:fill="auto"/>
            <w:noWrap/>
            <w:hideMark/>
          </w:tcPr>
          <w:p w14:paraId="6E5842FB"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1.50</w:t>
            </w:r>
          </w:p>
        </w:tc>
        <w:tc>
          <w:tcPr>
            <w:tcW w:w="1890" w:type="dxa"/>
            <w:tcBorders>
              <w:top w:val="single" w:sz="8" w:space="0" w:color="4BACC6"/>
              <w:left w:val="single" w:sz="4" w:space="0" w:color="4F81BD"/>
              <w:bottom w:val="single" w:sz="8" w:space="0" w:color="4BACC6"/>
            </w:tcBorders>
            <w:shd w:val="clear" w:color="auto" w:fill="auto"/>
            <w:noWrap/>
            <w:hideMark/>
          </w:tcPr>
          <w:p w14:paraId="6E5842FC"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2.00</w:t>
            </w:r>
          </w:p>
        </w:tc>
      </w:tr>
      <w:tr w:rsidR="00424C44" w:rsidRPr="00E80090" w14:paraId="6E584301" w14:textId="77777777" w:rsidTr="008270F5">
        <w:trPr>
          <w:trHeight w:val="240"/>
        </w:trPr>
        <w:tc>
          <w:tcPr>
            <w:tcW w:w="3690" w:type="dxa"/>
            <w:tcBorders>
              <w:right w:val="single" w:sz="4" w:space="0" w:color="4F81BD"/>
            </w:tcBorders>
            <w:shd w:val="clear" w:color="auto" w:fill="auto"/>
            <w:noWrap/>
            <w:hideMark/>
          </w:tcPr>
          <w:p w14:paraId="6E5842FE" w14:textId="77777777" w:rsidR="00D2776F" w:rsidRPr="00E80090" w:rsidRDefault="005B2C1B" w:rsidP="005B2C1B">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E</w:t>
            </w:r>
            <w:r w:rsidR="00D2776F" w:rsidRPr="00E80090">
              <w:rPr>
                <w:rFonts w:asciiTheme="majorHAnsi" w:eastAsia="Times New Roman" w:hAnsiTheme="majorHAnsi" w:cs="Arial"/>
                <w:b/>
                <w:bCs/>
                <w:sz w:val="22"/>
                <w:szCs w:val="22"/>
                <w:lang w:val="en-GB" w:eastAsia="en-US"/>
              </w:rPr>
              <w:t>lectronic statements</w:t>
            </w:r>
            <w:r w:rsidRPr="00E80090">
              <w:rPr>
                <w:rFonts w:asciiTheme="majorHAnsi" w:eastAsia="Times New Roman" w:hAnsiTheme="majorHAnsi" w:cs="Arial"/>
                <w:b/>
                <w:bCs/>
                <w:sz w:val="22"/>
                <w:szCs w:val="22"/>
                <w:lang w:val="en-GB" w:eastAsia="en-US"/>
              </w:rPr>
              <w:t xml:space="preserve"> (monthly)</w:t>
            </w:r>
          </w:p>
        </w:tc>
        <w:tc>
          <w:tcPr>
            <w:tcW w:w="3510" w:type="dxa"/>
            <w:tcBorders>
              <w:left w:val="single" w:sz="4" w:space="0" w:color="4F81BD"/>
              <w:right w:val="single" w:sz="4" w:space="0" w:color="4F81BD"/>
            </w:tcBorders>
            <w:shd w:val="clear" w:color="auto" w:fill="auto"/>
            <w:noWrap/>
            <w:hideMark/>
          </w:tcPr>
          <w:p w14:paraId="6E5842FF" w14:textId="77777777" w:rsidR="00D2776F" w:rsidRPr="00E80090" w:rsidRDefault="00D2776F" w:rsidP="000758B8">
            <w:pPr>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€ 1.00</w:t>
            </w:r>
          </w:p>
        </w:tc>
        <w:tc>
          <w:tcPr>
            <w:tcW w:w="1890" w:type="dxa"/>
            <w:tcBorders>
              <w:left w:val="single" w:sz="4" w:space="0" w:color="4F81BD"/>
            </w:tcBorders>
            <w:shd w:val="clear" w:color="auto" w:fill="auto"/>
            <w:noWrap/>
            <w:hideMark/>
          </w:tcPr>
          <w:p w14:paraId="6E584300" w14:textId="77777777" w:rsidR="00D2776F" w:rsidRPr="00E80090" w:rsidRDefault="00D2776F" w:rsidP="000758B8">
            <w:pPr>
              <w:keepNext/>
              <w:jc w:val="center"/>
              <w:rPr>
                <w:rFonts w:asciiTheme="majorHAnsi" w:eastAsia="Times New Roman" w:hAnsiTheme="majorHAnsi" w:cs="Arial"/>
                <w:sz w:val="22"/>
                <w:szCs w:val="22"/>
                <w:lang w:val="en-GB" w:eastAsia="en-US"/>
              </w:rPr>
            </w:pPr>
            <w:r w:rsidRPr="00E80090">
              <w:rPr>
                <w:rFonts w:asciiTheme="majorHAnsi" w:eastAsia="Times New Roman" w:hAnsiTheme="majorHAnsi" w:cs="Arial"/>
                <w:sz w:val="22"/>
                <w:szCs w:val="22"/>
                <w:lang w:val="en-GB" w:eastAsia="en-US"/>
              </w:rPr>
              <w:t>€</w:t>
            </w:r>
            <w:r w:rsidR="00243770" w:rsidRPr="00E80090">
              <w:rPr>
                <w:rFonts w:asciiTheme="majorHAnsi" w:eastAsia="Times New Roman" w:hAnsiTheme="majorHAnsi" w:cs="Arial"/>
                <w:sz w:val="22"/>
                <w:szCs w:val="22"/>
                <w:lang w:val="en-GB" w:eastAsia="en-US"/>
              </w:rPr>
              <w:t xml:space="preserve"> </w:t>
            </w:r>
            <w:r w:rsidRPr="00E80090">
              <w:rPr>
                <w:rFonts w:asciiTheme="majorHAnsi" w:eastAsia="Times New Roman" w:hAnsiTheme="majorHAnsi" w:cs="Arial"/>
                <w:sz w:val="22"/>
                <w:szCs w:val="22"/>
                <w:lang w:val="en-GB" w:eastAsia="en-US"/>
              </w:rPr>
              <w:t>0.30</w:t>
            </w:r>
          </w:p>
        </w:tc>
      </w:tr>
      <w:tr w:rsidR="00401767" w:rsidRPr="00E80090" w14:paraId="6E584305" w14:textId="77777777" w:rsidTr="008270F5">
        <w:trPr>
          <w:trHeight w:val="240"/>
        </w:trPr>
        <w:tc>
          <w:tcPr>
            <w:tcW w:w="3690" w:type="dxa"/>
            <w:tcBorders>
              <w:top w:val="single" w:sz="8" w:space="0" w:color="4BACC6"/>
              <w:right w:val="single" w:sz="4" w:space="0" w:color="4F81BD"/>
            </w:tcBorders>
            <w:shd w:val="clear" w:color="auto" w:fill="auto"/>
            <w:noWrap/>
          </w:tcPr>
          <w:p w14:paraId="6E584302" w14:textId="77777777" w:rsidR="00401767" w:rsidRPr="00E80090" w:rsidRDefault="00401767" w:rsidP="000758B8">
            <w:pPr>
              <w:jc w:val="right"/>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Total Fees</w:t>
            </w:r>
          </w:p>
        </w:tc>
        <w:tc>
          <w:tcPr>
            <w:tcW w:w="3510" w:type="dxa"/>
            <w:tcBorders>
              <w:top w:val="single" w:sz="8" w:space="0" w:color="4BACC6"/>
              <w:left w:val="single" w:sz="4" w:space="0" w:color="4F81BD"/>
              <w:bottom w:val="single" w:sz="8" w:space="0" w:color="4BACC6"/>
              <w:right w:val="single" w:sz="4" w:space="0" w:color="4F81BD"/>
            </w:tcBorders>
            <w:shd w:val="clear" w:color="auto" w:fill="auto"/>
            <w:noWrap/>
          </w:tcPr>
          <w:p w14:paraId="6E584303" w14:textId="77777777" w:rsidR="00401767" w:rsidRPr="00E80090" w:rsidRDefault="00595773" w:rsidP="004B515F">
            <w:pPr>
              <w:keepNext/>
              <w:jc w:val="center"/>
              <w:rPr>
                <w:rFonts w:asciiTheme="majorHAnsi" w:hAnsiTheme="majorHAnsi" w:cs="Arial"/>
                <w:b/>
                <w:sz w:val="20"/>
                <w:szCs w:val="20"/>
                <w:lang w:val="en-GB"/>
              </w:rPr>
            </w:pPr>
            <w:r w:rsidRPr="00E80090">
              <w:rPr>
                <w:rFonts w:asciiTheme="majorHAnsi" w:eastAsia="Times New Roman" w:hAnsiTheme="majorHAnsi" w:cs="Arial"/>
                <w:b/>
                <w:sz w:val="22"/>
                <w:szCs w:val="22"/>
                <w:lang w:val="en-GB" w:eastAsia="en-US"/>
              </w:rPr>
              <w:t xml:space="preserve">€ </w:t>
            </w:r>
            <w:r w:rsidR="00B61C84" w:rsidRPr="00E80090">
              <w:rPr>
                <w:rFonts w:asciiTheme="majorHAnsi" w:eastAsia="Times New Roman" w:hAnsiTheme="majorHAnsi" w:cs="Arial"/>
                <w:b/>
                <w:sz w:val="22"/>
                <w:szCs w:val="22"/>
                <w:lang w:val="en-GB" w:eastAsia="en-US"/>
              </w:rPr>
              <w:t>207.69</w:t>
            </w:r>
          </w:p>
        </w:tc>
        <w:tc>
          <w:tcPr>
            <w:tcW w:w="1890" w:type="dxa"/>
            <w:tcBorders>
              <w:top w:val="single" w:sz="8" w:space="0" w:color="4BACC6"/>
              <w:left w:val="single" w:sz="4" w:space="0" w:color="4F81BD"/>
            </w:tcBorders>
            <w:shd w:val="clear" w:color="auto" w:fill="auto"/>
            <w:noWrap/>
          </w:tcPr>
          <w:p w14:paraId="6E584304" w14:textId="77777777" w:rsidR="00401767" w:rsidRPr="00E80090" w:rsidRDefault="00595773" w:rsidP="000758B8">
            <w:pPr>
              <w:keepNext/>
              <w:jc w:val="center"/>
              <w:rPr>
                <w:rFonts w:asciiTheme="majorHAnsi" w:eastAsia="Times New Roman" w:hAnsiTheme="majorHAnsi" w:cs="Arial"/>
                <w:b/>
                <w:sz w:val="22"/>
                <w:szCs w:val="22"/>
                <w:lang w:val="en-GB" w:eastAsia="en-US"/>
              </w:rPr>
            </w:pPr>
            <w:r w:rsidRPr="00E80090">
              <w:rPr>
                <w:rFonts w:asciiTheme="majorHAnsi" w:eastAsia="Times New Roman" w:hAnsiTheme="majorHAnsi" w:cs="Arial"/>
                <w:b/>
                <w:sz w:val="22"/>
                <w:szCs w:val="22"/>
                <w:lang w:val="en-GB" w:eastAsia="en-US"/>
              </w:rPr>
              <w:t xml:space="preserve">€ </w:t>
            </w:r>
            <w:r w:rsidR="00B61C84" w:rsidRPr="00E80090">
              <w:rPr>
                <w:rFonts w:asciiTheme="majorHAnsi" w:eastAsia="Times New Roman" w:hAnsiTheme="majorHAnsi" w:cs="Arial"/>
                <w:b/>
                <w:sz w:val="22"/>
                <w:szCs w:val="22"/>
                <w:lang w:val="en-GB" w:eastAsia="en-US"/>
              </w:rPr>
              <w:t>307.40</w:t>
            </w:r>
          </w:p>
        </w:tc>
      </w:tr>
    </w:tbl>
    <w:p w14:paraId="6E584306" w14:textId="77777777" w:rsidR="00F31D90" w:rsidRPr="00E80090" w:rsidRDefault="00F31D90" w:rsidP="00F31D90">
      <w:pPr>
        <w:pStyle w:val="Bijschrift"/>
        <w:jc w:val="center"/>
        <w:rPr>
          <w:rFonts w:asciiTheme="majorHAnsi" w:hAnsiTheme="majorHAnsi"/>
          <w:color w:val="4F81BD"/>
          <w:sz w:val="10"/>
          <w:lang w:val="en-GB"/>
        </w:rPr>
      </w:pPr>
    </w:p>
    <w:p w14:paraId="6E584307" w14:textId="77777777" w:rsidR="00346EDF" w:rsidRPr="00E80090" w:rsidRDefault="00F31D90" w:rsidP="00F31D90">
      <w:pPr>
        <w:pStyle w:val="Bijschrift"/>
        <w:jc w:val="center"/>
        <w:rPr>
          <w:rFonts w:asciiTheme="majorHAnsi" w:hAnsiTheme="majorHAnsi"/>
          <w:color w:val="4F81BD"/>
          <w:lang w:val="en-GB"/>
        </w:rPr>
      </w:pPr>
      <w:r w:rsidRPr="00E80090">
        <w:rPr>
          <w:rFonts w:asciiTheme="majorHAnsi" w:hAnsiTheme="majorHAnsi"/>
          <w:color w:val="4F81BD"/>
          <w:lang w:val="en-GB"/>
        </w:rPr>
        <w:t xml:space="preserve">Table </w:t>
      </w:r>
      <w:r w:rsidRPr="00E80090">
        <w:rPr>
          <w:rFonts w:asciiTheme="majorHAnsi" w:hAnsiTheme="majorHAnsi"/>
          <w:color w:val="4F81BD"/>
          <w:lang w:val="en-GB"/>
        </w:rPr>
        <w:fldChar w:fldCharType="begin"/>
      </w:r>
      <w:r w:rsidRPr="00E80090">
        <w:rPr>
          <w:rFonts w:asciiTheme="majorHAnsi" w:hAnsiTheme="majorHAnsi"/>
          <w:color w:val="4F81BD"/>
          <w:lang w:val="en-GB"/>
        </w:rPr>
        <w:instrText xml:space="preserve"> SEQ Table \* ARABIC </w:instrText>
      </w:r>
      <w:r w:rsidRPr="00E80090">
        <w:rPr>
          <w:rFonts w:asciiTheme="majorHAnsi" w:hAnsiTheme="majorHAnsi"/>
          <w:color w:val="4F81BD"/>
          <w:lang w:val="en-GB"/>
        </w:rPr>
        <w:fldChar w:fldCharType="separate"/>
      </w:r>
      <w:r w:rsidR="00E80090">
        <w:rPr>
          <w:rFonts w:asciiTheme="majorHAnsi" w:hAnsiTheme="majorHAnsi"/>
          <w:noProof/>
          <w:color w:val="4F81BD"/>
          <w:lang w:val="en-GB"/>
        </w:rPr>
        <w:t>4</w:t>
      </w:r>
      <w:r w:rsidRPr="00E80090">
        <w:rPr>
          <w:rFonts w:asciiTheme="majorHAnsi" w:hAnsiTheme="majorHAnsi"/>
          <w:color w:val="4F81BD"/>
          <w:lang w:val="en-GB"/>
        </w:rPr>
        <w:fldChar w:fldCharType="end"/>
      </w:r>
      <w:r w:rsidRPr="00E80090">
        <w:rPr>
          <w:rFonts w:asciiTheme="majorHAnsi" w:hAnsiTheme="majorHAnsi"/>
          <w:color w:val="4F81BD"/>
          <w:lang w:val="en-GB"/>
        </w:rPr>
        <w:t>: Slovakia pricing benchmark</w:t>
      </w:r>
    </w:p>
    <w:p w14:paraId="6E584308" w14:textId="77777777" w:rsidR="00B55E8D" w:rsidRPr="00E80090" w:rsidRDefault="00B55E8D">
      <w:pPr>
        <w:rPr>
          <w:rFonts w:asciiTheme="majorHAnsi" w:hAnsiTheme="majorHAnsi"/>
          <w:lang w:val="en-GB"/>
        </w:rPr>
      </w:pPr>
    </w:p>
    <w:p w14:paraId="6E584309" w14:textId="77777777" w:rsidR="00774072" w:rsidRPr="00E80090" w:rsidRDefault="00774072" w:rsidP="00774072">
      <w:pPr>
        <w:spacing w:after="200" w:line="360" w:lineRule="auto"/>
        <w:jc w:val="both"/>
        <w:rPr>
          <w:rFonts w:asciiTheme="majorHAnsi" w:hAnsiTheme="majorHAnsi"/>
          <w:lang w:val="en-GB"/>
        </w:rPr>
      </w:pPr>
      <w:r w:rsidRPr="00E80090">
        <w:rPr>
          <w:rFonts w:asciiTheme="majorHAnsi" w:hAnsiTheme="majorHAnsi"/>
          <w:lang w:val="en-GB"/>
        </w:rPr>
        <w:t>Looking at the volume-based components of the cash management fees, Volksbank has a better offer for incoming payments, while UniCredit leads on outgoing transactions. However, Volksbank still holds the more competitive pricing when volumes are considered (See Appendix 2).</w:t>
      </w:r>
    </w:p>
    <w:p w14:paraId="6E58430A" w14:textId="77777777" w:rsidR="006049E8" w:rsidRPr="00E80090" w:rsidRDefault="006049E8" w:rsidP="007E7665">
      <w:pPr>
        <w:spacing w:after="200" w:line="360" w:lineRule="auto"/>
        <w:jc w:val="both"/>
        <w:rPr>
          <w:rFonts w:asciiTheme="majorHAnsi" w:hAnsiTheme="majorHAnsi"/>
          <w:lang w:val="en-GB"/>
        </w:rPr>
      </w:pPr>
      <w:r w:rsidRPr="00E80090">
        <w:rPr>
          <w:rFonts w:asciiTheme="majorHAnsi" w:hAnsiTheme="majorHAnsi"/>
          <w:lang w:val="en-GB"/>
        </w:rPr>
        <w:t>Finally, regarding the withdrawal fees, Volksbank shows a better offer. Nevertheless, the difference is not significant for the company</w:t>
      </w:r>
      <w:r w:rsidR="00A22076" w:rsidRPr="00E80090">
        <w:rPr>
          <w:rFonts w:asciiTheme="majorHAnsi" w:hAnsiTheme="majorHAnsi"/>
          <w:lang w:val="en-GB"/>
        </w:rPr>
        <w:t xml:space="preserve"> as cash usage </w:t>
      </w:r>
      <w:r w:rsidR="008D3B44" w:rsidRPr="00E80090">
        <w:rPr>
          <w:rFonts w:asciiTheme="majorHAnsi" w:hAnsiTheme="majorHAnsi"/>
          <w:lang w:val="en-GB"/>
        </w:rPr>
        <w:t>is likely to</w:t>
      </w:r>
      <w:r w:rsidR="00A22076" w:rsidRPr="00E80090">
        <w:rPr>
          <w:rFonts w:asciiTheme="majorHAnsi" w:hAnsiTheme="majorHAnsi"/>
          <w:lang w:val="en-GB"/>
        </w:rPr>
        <w:t xml:space="preserve"> </w:t>
      </w:r>
      <w:r w:rsidR="00090DA6" w:rsidRPr="00E80090">
        <w:rPr>
          <w:rFonts w:asciiTheme="majorHAnsi" w:hAnsiTheme="majorHAnsi"/>
          <w:lang w:val="en-GB"/>
        </w:rPr>
        <w:t>removed</w:t>
      </w:r>
      <w:r w:rsidR="00A22076" w:rsidRPr="00E80090">
        <w:rPr>
          <w:rFonts w:asciiTheme="majorHAnsi" w:hAnsiTheme="majorHAnsi"/>
          <w:lang w:val="en-GB"/>
        </w:rPr>
        <w:t xml:space="preserve">. </w:t>
      </w:r>
    </w:p>
    <w:p w14:paraId="6E58430B" w14:textId="77777777" w:rsidR="00B87440" w:rsidRPr="00E80090" w:rsidRDefault="00B87440" w:rsidP="00B87440">
      <w:pPr>
        <w:pStyle w:val="Kop2"/>
        <w:numPr>
          <w:ilvl w:val="2"/>
          <w:numId w:val="12"/>
        </w:numPr>
        <w:spacing w:line="360" w:lineRule="auto"/>
        <w:rPr>
          <w:rFonts w:asciiTheme="majorHAnsi" w:hAnsiTheme="majorHAnsi"/>
          <w:sz w:val="24"/>
          <w:szCs w:val="24"/>
          <w:lang w:val="en-GB"/>
        </w:rPr>
      </w:pPr>
      <w:bookmarkStart w:id="112" w:name="_Toc360633029"/>
      <w:bookmarkStart w:id="113" w:name="_Toc368290359"/>
      <w:r w:rsidRPr="00E80090">
        <w:rPr>
          <w:rFonts w:asciiTheme="majorHAnsi" w:hAnsiTheme="majorHAnsi"/>
          <w:sz w:val="24"/>
          <w:szCs w:val="24"/>
          <w:lang w:val="en-GB"/>
        </w:rPr>
        <w:t>Slovenia</w:t>
      </w:r>
      <w:bookmarkEnd w:id="112"/>
      <w:bookmarkEnd w:id="113"/>
    </w:p>
    <w:p w14:paraId="6E58430C" w14:textId="77777777" w:rsidR="00700AD0" w:rsidRPr="00E80090" w:rsidRDefault="00CE0807" w:rsidP="002A2B0C">
      <w:pPr>
        <w:spacing w:after="200" w:line="360" w:lineRule="auto"/>
        <w:jc w:val="both"/>
        <w:rPr>
          <w:rFonts w:asciiTheme="majorHAnsi" w:hAnsiTheme="majorHAnsi"/>
          <w:lang w:val="en-GB"/>
        </w:rPr>
      </w:pPr>
      <w:r w:rsidRPr="00E80090">
        <w:rPr>
          <w:rFonts w:asciiTheme="majorHAnsi" w:hAnsiTheme="majorHAnsi"/>
          <w:lang w:val="en-GB"/>
        </w:rPr>
        <w:t xml:space="preserve">Table 5 below shows the benchmark of </w:t>
      </w:r>
      <w:r w:rsidR="00E566E8" w:rsidRPr="00E80090">
        <w:rPr>
          <w:rFonts w:asciiTheme="majorHAnsi" w:hAnsiTheme="majorHAnsi"/>
          <w:lang w:val="en-GB"/>
        </w:rPr>
        <w:t xml:space="preserve">the offer from </w:t>
      </w:r>
      <w:r w:rsidRPr="00E80090">
        <w:rPr>
          <w:rFonts w:asciiTheme="majorHAnsi" w:hAnsiTheme="majorHAnsi"/>
          <w:lang w:val="en-GB"/>
        </w:rPr>
        <w:t xml:space="preserve">UniCredit with the </w:t>
      </w:r>
      <w:r w:rsidR="00B11303" w:rsidRPr="00E80090">
        <w:rPr>
          <w:rFonts w:asciiTheme="majorHAnsi" w:hAnsiTheme="majorHAnsi"/>
          <w:lang w:val="en-GB"/>
        </w:rPr>
        <w:t>fees</w:t>
      </w:r>
      <w:r w:rsidRPr="00E80090">
        <w:rPr>
          <w:rFonts w:asciiTheme="majorHAnsi" w:hAnsiTheme="majorHAnsi"/>
          <w:lang w:val="en-GB"/>
        </w:rPr>
        <w:t xml:space="preserve"> the entity </w:t>
      </w:r>
      <w:r w:rsidR="007F5BD3" w:rsidRPr="00E80090">
        <w:rPr>
          <w:rFonts w:asciiTheme="majorHAnsi" w:hAnsiTheme="majorHAnsi"/>
          <w:lang w:val="en-GB"/>
        </w:rPr>
        <w:t xml:space="preserve">currently </w:t>
      </w:r>
      <w:r w:rsidR="00147397" w:rsidRPr="00E80090">
        <w:rPr>
          <w:rFonts w:asciiTheme="majorHAnsi" w:hAnsiTheme="majorHAnsi"/>
          <w:lang w:val="en-GB"/>
        </w:rPr>
        <w:t>pays</w:t>
      </w:r>
      <w:r w:rsidRPr="00E80090">
        <w:rPr>
          <w:rFonts w:asciiTheme="majorHAnsi" w:hAnsiTheme="majorHAnsi"/>
          <w:lang w:val="en-GB"/>
        </w:rPr>
        <w:t xml:space="preserve"> </w:t>
      </w:r>
      <w:r w:rsidR="007F5BD3" w:rsidRPr="00E80090">
        <w:rPr>
          <w:rFonts w:asciiTheme="majorHAnsi" w:hAnsiTheme="majorHAnsi"/>
          <w:lang w:val="en-GB"/>
        </w:rPr>
        <w:t>to</w:t>
      </w:r>
      <w:r w:rsidRPr="00E80090">
        <w:rPr>
          <w:rFonts w:asciiTheme="majorHAnsi" w:hAnsiTheme="majorHAnsi"/>
          <w:lang w:val="en-GB"/>
        </w:rPr>
        <w:t xml:space="preserve"> Volksbank. </w:t>
      </w:r>
      <w:r w:rsidR="00B11303" w:rsidRPr="00E80090">
        <w:rPr>
          <w:rFonts w:asciiTheme="majorHAnsi" w:hAnsiTheme="majorHAnsi"/>
          <w:lang w:val="en-GB"/>
        </w:rPr>
        <w:t xml:space="preserve">Looking at the comparison, it is noticeable that </w:t>
      </w:r>
      <w:r w:rsidR="00F57517" w:rsidRPr="00E80090">
        <w:rPr>
          <w:rFonts w:asciiTheme="majorHAnsi" w:hAnsiTheme="majorHAnsi"/>
          <w:lang w:val="en-GB"/>
        </w:rPr>
        <w:t>UniCredit</w:t>
      </w:r>
      <w:r w:rsidR="00320CCB" w:rsidRPr="00E80090">
        <w:rPr>
          <w:rFonts w:asciiTheme="majorHAnsi" w:hAnsiTheme="majorHAnsi"/>
          <w:lang w:val="en-GB"/>
        </w:rPr>
        <w:t xml:space="preserve"> </w:t>
      </w:r>
      <w:r w:rsidR="00F753A8" w:rsidRPr="00E80090">
        <w:rPr>
          <w:rFonts w:asciiTheme="majorHAnsi" w:hAnsiTheme="majorHAnsi"/>
          <w:lang w:val="en-GB"/>
        </w:rPr>
        <w:t>has the</w:t>
      </w:r>
      <w:r w:rsidR="00B11303" w:rsidRPr="00E80090">
        <w:rPr>
          <w:rFonts w:asciiTheme="majorHAnsi" w:hAnsiTheme="majorHAnsi"/>
          <w:lang w:val="en-GB"/>
        </w:rPr>
        <w:t xml:space="preserve"> more competitive pricing</w:t>
      </w:r>
      <w:r w:rsidR="00320CCB" w:rsidRPr="00E80090">
        <w:rPr>
          <w:rFonts w:asciiTheme="majorHAnsi" w:hAnsiTheme="majorHAnsi"/>
          <w:lang w:val="en-GB"/>
        </w:rPr>
        <w:t xml:space="preserve">. However, the difference is </w:t>
      </w:r>
      <w:r w:rsidR="00150606" w:rsidRPr="00E80090">
        <w:rPr>
          <w:rFonts w:asciiTheme="majorHAnsi" w:hAnsiTheme="majorHAnsi"/>
          <w:lang w:val="en-GB"/>
        </w:rPr>
        <w:t>not very significant</w:t>
      </w:r>
      <w:r w:rsidR="00320CCB" w:rsidRPr="00E80090">
        <w:rPr>
          <w:rFonts w:asciiTheme="majorHAnsi" w:hAnsiTheme="majorHAnsi"/>
          <w:lang w:val="en-GB"/>
        </w:rPr>
        <w:t xml:space="preserve">. </w:t>
      </w:r>
      <w:r w:rsidR="003211CB" w:rsidRPr="00E80090">
        <w:rPr>
          <w:rFonts w:asciiTheme="majorHAnsi" w:hAnsiTheme="majorHAnsi"/>
          <w:lang w:val="en-GB"/>
        </w:rPr>
        <w:t xml:space="preserve"> </w:t>
      </w:r>
    </w:p>
    <w:tbl>
      <w:tblPr>
        <w:tblW w:w="8977"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4459"/>
        <w:gridCol w:w="2275"/>
        <w:gridCol w:w="2243"/>
      </w:tblGrid>
      <w:tr w:rsidR="00A87B0A" w:rsidRPr="00E80090" w14:paraId="6E584310" w14:textId="77777777" w:rsidTr="002B793A">
        <w:trPr>
          <w:trHeight w:val="286"/>
        </w:trPr>
        <w:tc>
          <w:tcPr>
            <w:tcW w:w="4459" w:type="dxa"/>
            <w:tcBorders>
              <w:right w:val="single" w:sz="4" w:space="0" w:color="4F81BD"/>
            </w:tcBorders>
            <w:shd w:val="clear" w:color="auto" w:fill="4BACC6"/>
            <w:noWrap/>
            <w:hideMark/>
          </w:tcPr>
          <w:p w14:paraId="6E58430D" w14:textId="77777777" w:rsidR="00700AD0" w:rsidRPr="00E80090" w:rsidRDefault="00700AD0" w:rsidP="00700AD0">
            <w:pPr>
              <w:rPr>
                <w:rFonts w:asciiTheme="majorHAnsi" w:eastAsia="Times New Roman" w:hAnsiTheme="majorHAnsi" w:cs="Arial"/>
                <w:b/>
                <w:bCs/>
                <w:color w:val="FFFFFF"/>
                <w:szCs w:val="20"/>
                <w:lang w:val="en-GB" w:eastAsia="en-US"/>
              </w:rPr>
            </w:pPr>
            <w:r w:rsidRPr="00E80090">
              <w:rPr>
                <w:rFonts w:asciiTheme="majorHAnsi" w:eastAsia="Times New Roman" w:hAnsiTheme="majorHAnsi" w:cs="Arial"/>
                <w:b/>
                <w:bCs/>
                <w:color w:val="FFFFFF"/>
                <w:szCs w:val="20"/>
                <w:lang w:val="en-GB" w:eastAsia="en-US"/>
              </w:rPr>
              <w:t>Product:</w:t>
            </w:r>
          </w:p>
        </w:tc>
        <w:tc>
          <w:tcPr>
            <w:tcW w:w="2275" w:type="dxa"/>
            <w:tcBorders>
              <w:left w:val="single" w:sz="4" w:space="0" w:color="4F81BD"/>
              <w:right w:val="single" w:sz="4" w:space="0" w:color="4F81BD"/>
            </w:tcBorders>
            <w:shd w:val="clear" w:color="auto" w:fill="4BACC6"/>
            <w:noWrap/>
            <w:hideMark/>
          </w:tcPr>
          <w:p w14:paraId="6E58430E" w14:textId="77777777" w:rsidR="00700AD0" w:rsidRPr="00E80090" w:rsidRDefault="00700AD0" w:rsidP="000758B8">
            <w:pPr>
              <w:jc w:val="center"/>
              <w:rPr>
                <w:rFonts w:asciiTheme="majorHAnsi" w:eastAsia="Times New Roman" w:hAnsiTheme="majorHAnsi" w:cs="Arial"/>
                <w:b/>
                <w:bCs/>
                <w:color w:val="FFFFFF"/>
                <w:szCs w:val="20"/>
                <w:lang w:val="en-GB" w:eastAsia="en-US"/>
              </w:rPr>
            </w:pPr>
            <w:r w:rsidRPr="00E80090">
              <w:rPr>
                <w:rFonts w:asciiTheme="majorHAnsi" w:eastAsia="Times New Roman" w:hAnsiTheme="majorHAnsi" w:cs="Arial"/>
                <w:b/>
                <w:bCs/>
                <w:color w:val="FFFFFF"/>
                <w:szCs w:val="20"/>
                <w:lang w:val="en-GB" w:eastAsia="en-US"/>
              </w:rPr>
              <w:t>Volksbank</w:t>
            </w:r>
          </w:p>
        </w:tc>
        <w:tc>
          <w:tcPr>
            <w:tcW w:w="2243" w:type="dxa"/>
            <w:tcBorders>
              <w:left w:val="single" w:sz="4" w:space="0" w:color="4F81BD"/>
            </w:tcBorders>
            <w:shd w:val="clear" w:color="auto" w:fill="4BACC6"/>
            <w:noWrap/>
            <w:hideMark/>
          </w:tcPr>
          <w:p w14:paraId="6E58430F" w14:textId="77777777" w:rsidR="00700AD0" w:rsidRPr="00E80090" w:rsidRDefault="00700AD0" w:rsidP="000758B8">
            <w:pPr>
              <w:jc w:val="center"/>
              <w:rPr>
                <w:rFonts w:asciiTheme="majorHAnsi" w:eastAsia="Times New Roman" w:hAnsiTheme="majorHAnsi" w:cs="Arial"/>
                <w:b/>
                <w:bCs/>
                <w:color w:val="FFFFFF"/>
                <w:szCs w:val="20"/>
                <w:lang w:val="en-GB" w:eastAsia="en-US"/>
              </w:rPr>
            </w:pPr>
            <w:r w:rsidRPr="00E80090">
              <w:rPr>
                <w:rFonts w:asciiTheme="majorHAnsi" w:eastAsia="Times New Roman" w:hAnsiTheme="majorHAnsi" w:cs="Arial"/>
                <w:b/>
                <w:bCs/>
                <w:color w:val="FFFFFF"/>
                <w:szCs w:val="20"/>
                <w:lang w:val="en-GB" w:eastAsia="en-US"/>
              </w:rPr>
              <w:t>UniCredit</w:t>
            </w:r>
          </w:p>
        </w:tc>
      </w:tr>
      <w:tr w:rsidR="00A87B0A" w:rsidRPr="00E80090" w14:paraId="6E584314" w14:textId="77777777" w:rsidTr="002B793A">
        <w:trPr>
          <w:trHeight w:val="300"/>
        </w:trPr>
        <w:tc>
          <w:tcPr>
            <w:tcW w:w="4459" w:type="dxa"/>
            <w:tcBorders>
              <w:top w:val="single" w:sz="8" w:space="0" w:color="4BACC6"/>
              <w:bottom w:val="single" w:sz="8" w:space="0" w:color="4BACC6"/>
              <w:right w:val="single" w:sz="4" w:space="0" w:color="4F81BD"/>
            </w:tcBorders>
            <w:shd w:val="clear" w:color="auto" w:fill="auto"/>
            <w:vAlign w:val="center"/>
            <w:hideMark/>
          </w:tcPr>
          <w:p w14:paraId="6E584311" w14:textId="77777777" w:rsidR="00700AD0" w:rsidRPr="00E80090" w:rsidRDefault="00975D0A" w:rsidP="00700AD0">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Account maintenance (monthly)</w:t>
            </w:r>
          </w:p>
        </w:tc>
        <w:tc>
          <w:tcPr>
            <w:tcW w:w="2275" w:type="dxa"/>
            <w:tcBorders>
              <w:top w:val="single" w:sz="8" w:space="0" w:color="4BACC6"/>
              <w:left w:val="single" w:sz="4" w:space="0" w:color="4F81BD"/>
              <w:bottom w:val="single" w:sz="8" w:space="0" w:color="4BACC6"/>
              <w:right w:val="single" w:sz="4" w:space="0" w:color="4F81BD"/>
            </w:tcBorders>
            <w:shd w:val="clear" w:color="auto" w:fill="auto"/>
            <w:vAlign w:val="center"/>
            <w:hideMark/>
          </w:tcPr>
          <w:p w14:paraId="6E584312"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hAnsiTheme="majorHAnsi" w:cs="Cambria"/>
                <w:sz w:val="22"/>
                <w:szCs w:val="22"/>
                <w:lang w:val="en-GB" w:eastAsia="en-US"/>
              </w:rPr>
              <w:t xml:space="preserve"> </w:t>
            </w:r>
            <w:r w:rsidRPr="00E80090">
              <w:rPr>
                <w:rFonts w:asciiTheme="majorHAnsi" w:eastAsia="Times New Roman" w:hAnsiTheme="majorHAnsi" w:cs="Arial"/>
                <w:sz w:val="22"/>
                <w:szCs w:val="22"/>
                <w:lang w:val="en-GB" w:eastAsia="en-US"/>
              </w:rPr>
              <w:t xml:space="preserve">€ </w:t>
            </w:r>
            <w:r w:rsidRPr="00E80090">
              <w:rPr>
                <w:rFonts w:asciiTheme="majorHAnsi" w:hAnsiTheme="majorHAnsi" w:cs="Cambria"/>
                <w:sz w:val="22"/>
                <w:szCs w:val="22"/>
                <w:lang w:val="en-GB" w:eastAsia="en-US"/>
              </w:rPr>
              <w:t>5</w:t>
            </w:r>
          </w:p>
        </w:tc>
        <w:tc>
          <w:tcPr>
            <w:tcW w:w="2243" w:type="dxa"/>
            <w:tcBorders>
              <w:top w:val="single" w:sz="8" w:space="0" w:color="4BACC6"/>
              <w:left w:val="single" w:sz="4" w:space="0" w:color="4F81BD"/>
              <w:bottom w:val="single" w:sz="8" w:space="0" w:color="4BACC6"/>
            </w:tcBorders>
            <w:shd w:val="clear" w:color="auto" w:fill="auto"/>
            <w:vAlign w:val="center"/>
            <w:hideMark/>
          </w:tcPr>
          <w:p w14:paraId="6E584313"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 xml:space="preserve">€ </w:t>
            </w:r>
            <w:r w:rsidR="00700AD0" w:rsidRPr="00E80090">
              <w:rPr>
                <w:rFonts w:asciiTheme="majorHAnsi" w:hAnsiTheme="majorHAnsi" w:cs="Cambria"/>
                <w:sz w:val="22"/>
                <w:szCs w:val="22"/>
                <w:lang w:val="en-GB" w:eastAsia="en-US"/>
              </w:rPr>
              <w:t xml:space="preserve">12 </w:t>
            </w:r>
          </w:p>
        </w:tc>
      </w:tr>
      <w:tr w:rsidR="00A87B0A" w:rsidRPr="00E80090" w14:paraId="6E584318" w14:textId="77777777" w:rsidTr="002B793A">
        <w:trPr>
          <w:trHeight w:val="300"/>
        </w:trPr>
        <w:tc>
          <w:tcPr>
            <w:tcW w:w="4459" w:type="dxa"/>
            <w:tcBorders>
              <w:right w:val="single" w:sz="4" w:space="0" w:color="4F81BD"/>
            </w:tcBorders>
            <w:shd w:val="clear" w:color="auto" w:fill="auto"/>
            <w:vAlign w:val="center"/>
            <w:hideMark/>
          </w:tcPr>
          <w:p w14:paraId="6E584315" w14:textId="77777777" w:rsidR="00700AD0" w:rsidRPr="00E80090" w:rsidRDefault="00700AD0" w:rsidP="00700AD0">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Electronic banking (monthly)</w:t>
            </w:r>
          </w:p>
        </w:tc>
        <w:tc>
          <w:tcPr>
            <w:tcW w:w="2275" w:type="dxa"/>
            <w:tcBorders>
              <w:left w:val="single" w:sz="4" w:space="0" w:color="4F81BD"/>
              <w:right w:val="single" w:sz="4" w:space="0" w:color="4F81BD"/>
            </w:tcBorders>
            <w:shd w:val="clear" w:color="auto" w:fill="auto"/>
            <w:vAlign w:val="center"/>
            <w:hideMark/>
          </w:tcPr>
          <w:p w14:paraId="6E584316"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 xml:space="preserve">€ </w:t>
            </w:r>
            <w:r w:rsidRPr="00E80090">
              <w:rPr>
                <w:rFonts w:asciiTheme="majorHAnsi" w:hAnsiTheme="majorHAnsi" w:cs="Cambria"/>
                <w:sz w:val="22"/>
                <w:szCs w:val="22"/>
                <w:lang w:val="en-GB" w:eastAsia="en-US"/>
              </w:rPr>
              <w:t xml:space="preserve">8 </w:t>
            </w:r>
          </w:p>
        </w:tc>
        <w:tc>
          <w:tcPr>
            <w:tcW w:w="2243" w:type="dxa"/>
            <w:tcBorders>
              <w:left w:val="single" w:sz="4" w:space="0" w:color="4F81BD"/>
            </w:tcBorders>
            <w:shd w:val="clear" w:color="auto" w:fill="auto"/>
            <w:vAlign w:val="center"/>
            <w:hideMark/>
          </w:tcPr>
          <w:p w14:paraId="6E584317"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 xml:space="preserve">€ </w:t>
            </w:r>
            <w:r w:rsidRPr="00E80090">
              <w:rPr>
                <w:rFonts w:asciiTheme="majorHAnsi" w:hAnsiTheme="majorHAnsi" w:cs="Cambria"/>
                <w:sz w:val="22"/>
                <w:szCs w:val="22"/>
                <w:lang w:val="en-GB" w:eastAsia="en-US"/>
              </w:rPr>
              <w:t>9</w:t>
            </w:r>
          </w:p>
        </w:tc>
      </w:tr>
      <w:tr w:rsidR="00A87B0A" w:rsidRPr="00E80090" w14:paraId="6E58431C" w14:textId="77777777" w:rsidTr="002B793A">
        <w:trPr>
          <w:trHeight w:val="300"/>
        </w:trPr>
        <w:tc>
          <w:tcPr>
            <w:tcW w:w="4459" w:type="dxa"/>
            <w:tcBorders>
              <w:top w:val="single" w:sz="8" w:space="0" w:color="4BACC6"/>
              <w:bottom w:val="single" w:sz="8" w:space="0" w:color="4BACC6"/>
              <w:right w:val="single" w:sz="4" w:space="0" w:color="4F81BD"/>
            </w:tcBorders>
            <w:shd w:val="clear" w:color="auto" w:fill="auto"/>
            <w:vAlign w:val="center"/>
            <w:hideMark/>
          </w:tcPr>
          <w:p w14:paraId="6E584319" w14:textId="77777777" w:rsidR="00700AD0" w:rsidRPr="00E80090" w:rsidRDefault="00700AD0" w:rsidP="00700AD0">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Incoming domestic payments</w:t>
            </w:r>
          </w:p>
        </w:tc>
        <w:tc>
          <w:tcPr>
            <w:tcW w:w="2275" w:type="dxa"/>
            <w:tcBorders>
              <w:top w:val="single" w:sz="8" w:space="0" w:color="4BACC6"/>
              <w:left w:val="single" w:sz="4" w:space="0" w:color="4F81BD"/>
              <w:bottom w:val="single" w:sz="8" w:space="0" w:color="4BACC6"/>
              <w:right w:val="single" w:sz="4" w:space="0" w:color="4F81BD"/>
            </w:tcBorders>
            <w:shd w:val="clear" w:color="auto" w:fill="auto"/>
            <w:vAlign w:val="center"/>
            <w:hideMark/>
          </w:tcPr>
          <w:p w14:paraId="6E58431A"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 xml:space="preserve">€ </w:t>
            </w:r>
            <w:r w:rsidRPr="00E80090">
              <w:rPr>
                <w:rFonts w:asciiTheme="majorHAnsi" w:hAnsiTheme="majorHAnsi" w:cs="Cambria"/>
                <w:sz w:val="22"/>
                <w:szCs w:val="22"/>
                <w:lang w:val="en-GB" w:eastAsia="en-US"/>
              </w:rPr>
              <w:t>0.10</w:t>
            </w:r>
          </w:p>
        </w:tc>
        <w:tc>
          <w:tcPr>
            <w:tcW w:w="2243" w:type="dxa"/>
            <w:tcBorders>
              <w:top w:val="single" w:sz="8" w:space="0" w:color="4BACC6"/>
              <w:left w:val="single" w:sz="4" w:space="0" w:color="4F81BD"/>
              <w:bottom w:val="single" w:sz="8" w:space="0" w:color="4BACC6"/>
            </w:tcBorders>
            <w:shd w:val="clear" w:color="auto" w:fill="auto"/>
            <w:vAlign w:val="center"/>
            <w:hideMark/>
          </w:tcPr>
          <w:p w14:paraId="6E58431B"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w:t>
            </w:r>
            <w:r w:rsidR="00700AD0" w:rsidRPr="00E80090">
              <w:rPr>
                <w:rFonts w:asciiTheme="majorHAnsi" w:hAnsiTheme="majorHAnsi" w:cs="Cambria"/>
                <w:sz w:val="22"/>
                <w:szCs w:val="22"/>
                <w:lang w:val="en-GB" w:eastAsia="en-US"/>
              </w:rPr>
              <w:t>0.13</w:t>
            </w:r>
          </w:p>
        </w:tc>
      </w:tr>
      <w:tr w:rsidR="00A87B0A" w:rsidRPr="00E80090" w14:paraId="6E584320" w14:textId="77777777" w:rsidTr="002B793A">
        <w:trPr>
          <w:trHeight w:val="188"/>
        </w:trPr>
        <w:tc>
          <w:tcPr>
            <w:tcW w:w="4459" w:type="dxa"/>
            <w:tcBorders>
              <w:right w:val="single" w:sz="4" w:space="0" w:color="4F81BD"/>
            </w:tcBorders>
            <w:shd w:val="clear" w:color="auto" w:fill="auto"/>
            <w:vAlign w:val="center"/>
            <w:hideMark/>
          </w:tcPr>
          <w:p w14:paraId="6E58431D" w14:textId="77777777" w:rsidR="00700AD0" w:rsidRPr="00E80090" w:rsidRDefault="00B11303" w:rsidP="00B11303">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Outgoing domestic payments</w:t>
            </w:r>
          </w:p>
        </w:tc>
        <w:tc>
          <w:tcPr>
            <w:tcW w:w="2275" w:type="dxa"/>
            <w:tcBorders>
              <w:left w:val="single" w:sz="4" w:space="0" w:color="4F81BD"/>
              <w:right w:val="single" w:sz="4" w:space="0" w:color="4F81BD"/>
            </w:tcBorders>
            <w:shd w:val="clear" w:color="auto" w:fill="auto"/>
            <w:vAlign w:val="center"/>
            <w:hideMark/>
          </w:tcPr>
          <w:p w14:paraId="6E58431E"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w:t>
            </w:r>
            <w:r w:rsidR="00700AD0" w:rsidRPr="00E80090">
              <w:rPr>
                <w:rFonts w:asciiTheme="majorHAnsi" w:hAnsiTheme="majorHAnsi" w:cs="Cambria"/>
                <w:sz w:val="22"/>
                <w:szCs w:val="22"/>
                <w:lang w:val="en-GB" w:eastAsia="en-US"/>
              </w:rPr>
              <w:t>0.80</w:t>
            </w:r>
          </w:p>
        </w:tc>
        <w:tc>
          <w:tcPr>
            <w:tcW w:w="2243" w:type="dxa"/>
            <w:tcBorders>
              <w:left w:val="single" w:sz="4" w:space="0" w:color="4F81BD"/>
            </w:tcBorders>
            <w:shd w:val="clear" w:color="auto" w:fill="auto"/>
            <w:vAlign w:val="center"/>
            <w:hideMark/>
          </w:tcPr>
          <w:p w14:paraId="6E58431F"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w:t>
            </w:r>
            <w:r w:rsidRPr="00E80090">
              <w:rPr>
                <w:rFonts w:asciiTheme="majorHAnsi" w:hAnsiTheme="majorHAnsi" w:cs="Cambria"/>
                <w:sz w:val="22"/>
                <w:szCs w:val="22"/>
                <w:lang w:val="en-GB" w:eastAsia="en-US"/>
              </w:rPr>
              <w:t>0.80</w:t>
            </w:r>
          </w:p>
        </w:tc>
      </w:tr>
      <w:tr w:rsidR="00A87B0A" w:rsidRPr="00E80090" w14:paraId="6E584324" w14:textId="77777777" w:rsidTr="002B793A">
        <w:trPr>
          <w:trHeight w:val="300"/>
        </w:trPr>
        <w:tc>
          <w:tcPr>
            <w:tcW w:w="4459" w:type="dxa"/>
            <w:tcBorders>
              <w:top w:val="single" w:sz="8" w:space="0" w:color="4BACC6"/>
              <w:bottom w:val="single" w:sz="8" w:space="0" w:color="4BACC6"/>
              <w:right w:val="single" w:sz="4" w:space="0" w:color="4F81BD"/>
            </w:tcBorders>
            <w:shd w:val="clear" w:color="auto" w:fill="auto"/>
            <w:vAlign w:val="center"/>
            <w:hideMark/>
          </w:tcPr>
          <w:p w14:paraId="6E584321" w14:textId="77777777" w:rsidR="00700AD0" w:rsidRPr="00E80090" w:rsidRDefault="00B11303" w:rsidP="00F93C3D">
            <w:pPr>
              <w:rPr>
                <w:rFonts w:asciiTheme="majorHAnsi" w:eastAsia="Times New Roman" w:hAnsiTheme="majorHAnsi" w:cs="Arial"/>
                <w:b/>
                <w:bCs/>
                <w:sz w:val="22"/>
                <w:szCs w:val="20"/>
                <w:lang w:val="en-GB" w:eastAsia="en-US"/>
              </w:rPr>
            </w:pPr>
            <w:r w:rsidRPr="00E80090">
              <w:rPr>
                <w:rFonts w:asciiTheme="majorHAnsi" w:hAnsiTheme="majorHAnsi" w:cs="Cambria"/>
                <w:b/>
                <w:bCs/>
                <w:sz w:val="22"/>
                <w:szCs w:val="22"/>
                <w:lang w:val="en-GB" w:eastAsia="en-US"/>
              </w:rPr>
              <w:t>Incoming cross-border payments</w:t>
            </w:r>
          </w:p>
        </w:tc>
        <w:tc>
          <w:tcPr>
            <w:tcW w:w="2275" w:type="dxa"/>
            <w:tcBorders>
              <w:top w:val="single" w:sz="8" w:space="0" w:color="4BACC6"/>
              <w:left w:val="single" w:sz="4" w:space="0" w:color="4F81BD"/>
              <w:bottom w:val="single" w:sz="8" w:space="0" w:color="4BACC6"/>
              <w:right w:val="single" w:sz="4" w:space="0" w:color="4F81BD"/>
            </w:tcBorders>
            <w:shd w:val="clear" w:color="auto" w:fill="auto"/>
            <w:vAlign w:val="center"/>
            <w:hideMark/>
          </w:tcPr>
          <w:p w14:paraId="6E584322"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 xml:space="preserve">€ </w:t>
            </w:r>
            <w:r w:rsidRPr="00E80090">
              <w:rPr>
                <w:rFonts w:asciiTheme="majorHAnsi" w:hAnsiTheme="majorHAnsi" w:cs="Cambria"/>
                <w:sz w:val="22"/>
                <w:szCs w:val="22"/>
                <w:lang w:val="en-GB" w:eastAsia="en-US"/>
              </w:rPr>
              <w:t>0.10</w:t>
            </w:r>
          </w:p>
        </w:tc>
        <w:tc>
          <w:tcPr>
            <w:tcW w:w="2243" w:type="dxa"/>
            <w:tcBorders>
              <w:top w:val="single" w:sz="8" w:space="0" w:color="4BACC6"/>
              <w:left w:val="single" w:sz="4" w:space="0" w:color="4F81BD"/>
              <w:bottom w:val="single" w:sz="8" w:space="0" w:color="4BACC6"/>
            </w:tcBorders>
            <w:shd w:val="clear" w:color="auto" w:fill="auto"/>
            <w:vAlign w:val="center"/>
            <w:hideMark/>
          </w:tcPr>
          <w:p w14:paraId="6E584323"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w:t>
            </w:r>
            <w:r w:rsidRPr="00E80090">
              <w:rPr>
                <w:rFonts w:asciiTheme="majorHAnsi" w:hAnsiTheme="majorHAnsi" w:cs="Cambria"/>
                <w:sz w:val="22"/>
                <w:szCs w:val="22"/>
                <w:lang w:val="en-GB" w:eastAsia="en-US"/>
              </w:rPr>
              <w:t>0.13</w:t>
            </w:r>
          </w:p>
        </w:tc>
      </w:tr>
      <w:tr w:rsidR="00A87B0A" w:rsidRPr="00E80090" w14:paraId="6E584328" w14:textId="77777777" w:rsidTr="002B793A">
        <w:trPr>
          <w:trHeight w:val="300"/>
        </w:trPr>
        <w:tc>
          <w:tcPr>
            <w:tcW w:w="4459" w:type="dxa"/>
            <w:tcBorders>
              <w:right w:val="single" w:sz="4" w:space="0" w:color="4F81BD"/>
            </w:tcBorders>
            <w:shd w:val="clear" w:color="auto" w:fill="auto"/>
            <w:vAlign w:val="center"/>
            <w:hideMark/>
          </w:tcPr>
          <w:p w14:paraId="6E584325" w14:textId="77777777" w:rsidR="00700AD0" w:rsidRPr="00E80090" w:rsidRDefault="00A87B0A" w:rsidP="00F93C3D">
            <w:pPr>
              <w:rPr>
                <w:rFonts w:asciiTheme="majorHAnsi" w:eastAsia="Times New Roman" w:hAnsiTheme="majorHAnsi" w:cs="Arial"/>
                <w:b/>
                <w:bCs/>
                <w:sz w:val="22"/>
                <w:szCs w:val="20"/>
                <w:lang w:val="en-GB" w:eastAsia="en-US"/>
              </w:rPr>
            </w:pPr>
            <w:r w:rsidRPr="00E80090">
              <w:rPr>
                <w:rFonts w:asciiTheme="majorHAnsi" w:hAnsiTheme="majorHAnsi" w:cs="Cambria"/>
                <w:b/>
                <w:bCs/>
                <w:sz w:val="22"/>
                <w:szCs w:val="22"/>
                <w:lang w:val="en-GB" w:eastAsia="en-US"/>
              </w:rPr>
              <w:t>Outgoing c</w:t>
            </w:r>
            <w:r w:rsidR="00B11303" w:rsidRPr="00E80090">
              <w:rPr>
                <w:rFonts w:asciiTheme="majorHAnsi" w:hAnsiTheme="majorHAnsi" w:cs="Cambria"/>
                <w:b/>
                <w:bCs/>
                <w:sz w:val="22"/>
                <w:szCs w:val="22"/>
                <w:lang w:val="en-GB" w:eastAsia="en-US"/>
              </w:rPr>
              <w:t xml:space="preserve">ross-border </w:t>
            </w:r>
            <w:r w:rsidRPr="00E80090">
              <w:rPr>
                <w:rFonts w:asciiTheme="majorHAnsi" w:hAnsiTheme="majorHAnsi" w:cs="Cambria"/>
                <w:b/>
                <w:bCs/>
                <w:sz w:val="22"/>
                <w:szCs w:val="22"/>
                <w:lang w:val="en-GB" w:eastAsia="en-US"/>
              </w:rPr>
              <w:t>payments</w:t>
            </w:r>
          </w:p>
        </w:tc>
        <w:tc>
          <w:tcPr>
            <w:tcW w:w="2275" w:type="dxa"/>
            <w:tcBorders>
              <w:left w:val="single" w:sz="4" w:space="0" w:color="4F81BD"/>
              <w:right w:val="single" w:sz="4" w:space="0" w:color="4F81BD"/>
            </w:tcBorders>
            <w:shd w:val="clear" w:color="auto" w:fill="auto"/>
            <w:vAlign w:val="center"/>
            <w:hideMark/>
          </w:tcPr>
          <w:p w14:paraId="6E584326"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w:t>
            </w:r>
            <w:r w:rsidR="004B7EF9" w:rsidRPr="00E80090">
              <w:rPr>
                <w:rFonts w:asciiTheme="majorHAnsi" w:eastAsia="Times New Roman" w:hAnsiTheme="majorHAnsi" w:cs="Arial"/>
                <w:sz w:val="22"/>
                <w:szCs w:val="22"/>
                <w:lang w:val="en-GB" w:eastAsia="en-US"/>
              </w:rPr>
              <w:t xml:space="preserve"> </w:t>
            </w:r>
            <w:r w:rsidRPr="00E80090">
              <w:rPr>
                <w:rFonts w:asciiTheme="majorHAnsi" w:hAnsiTheme="majorHAnsi" w:cs="Cambria"/>
                <w:sz w:val="22"/>
                <w:szCs w:val="22"/>
                <w:lang w:val="en-GB" w:eastAsia="en-US"/>
              </w:rPr>
              <w:t>0.80</w:t>
            </w:r>
          </w:p>
        </w:tc>
        <w:tc>
          <w:tcPr>
            <w:tcW w:w="2243" w:type="dxa"/>
            <w:tcBorders>
              <w:left w:val="single" w:sz="4" w:space="0" w:color="4F81BD"/>
            </w:tcBorders>
            <w:shd w:val="clear" w:color="auto" w:fill="auto"/>
            <w:vAlign w:val="center"/>
            <w:hideMark/>
          </w:tcPr>
          <w:p w14:paraId="6E584327" w14:textId="77777777" w:rsidR="00700AD0" w:rsidRPr="00E80090" w:rsidRDefault="00595773" w:rsidP="000758B8">
            <w:pPr>
              <w:jc w:val="center"/>
              <w:rPr>
                <w:rFonts w:asciiTheme="majorHAnsi" w:hAnsiTheme="majorHAnsi" w:cs="Cambria"/>
                <w:sz w:val="22"/>
                <w:szCs w:val="22"/>
                <w:lang w:val="en-GB" w:eastAsia="en-US"/>
              </w:rPr>
            </w:pPr>
            <w:r w:rsidRPr="00E80090">
              <w:rPr>
                <w:rFonts w:asciiTheme="majorHAnsi" w:eastAsia="Times New Roman" w:hAnsiTheme="majorHAnsi" w:cs="Arial"/>
                <w:sz w:val="22"/>
                <w:szCs w:val="22"/>
                <w:lang w:val="en-GB" w:eastAsia="en-US"/>
              </w:rPr>
              <w:t xml:space="preserve">€ </w:t>
            </w:r>
            <w:r w:rsidRPr="00E80090">
              <w:rPr>
                <w:rFonts w:asciiTheme="majorHAnsi" w:hAnsiTheme="majorHAnsi" w:cs="Cambria"/>
                <w:sz w:val="22"/>
                <w:szCs w:val="22"/>
                <w:lang w:val="en-GB" w:eastAsia="en-US"/>
              </w:rPr>
              <w:t>0.50</w:t>
            </w:r>
          </w:p>
        </w:tc>
      </w:tr>
      <w:tr w:rsidR="00A87B0A" w:rsidRPr="00E80090" w14:paraId="6E58432C" w14:textId="77777777" w:rsidTr="002B793A">
        <w:trPr>
          <w:trHeight w:val="300"/>
        </w:trPr>
        <w:tc>
          <w:tcPr>
            <w:tcW w:w="4459" w:type="dxa"/>
            <w:tcBorders>
              <w:top w:val="single" w:sz="8" w:space="0" w:color="4BACC6"/>
              <w:bottom w:val="single" w:sz="8" w:space="0" w:color="4BACC6"/>
              <w:right w:val="single" w:sz="4" w:space="0" w:color="4F81BD"/>
            </w:tcBorders>
            <w:shd w:val="clear" w:color="auto" w:fill="auto"/>
            <w:noWrap/>
            <w:vAlign w:val="center"/>
            <w:hideMark/>
          </w:tcPr>
          <w:p w14:paraId="6E584329" w14:textId="77777777" w:rsidR="00700AD0" w:rsidRPr="00E80090" w:rsidRDefault="0026387B" w:rsidP="00700AD0">
            <w:pPr>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E</w:t>
            </w:r>
            <w:r w:rsidR="00700AD0" w:rsidRPr="00E80090">
              <w:rPr>
                <w:rFonts w:asciiTheme="majorHAnsi" w:eastAsia="Times New Roman" w:hAnsiTheme="majorHAnsi" w:cs="Arial"/>
                <w:b/>
                <w:bCs/>
                <w:sz w:val="22"/>
                <w:szCs w:val="20"/>
                <w:lang w:val="en-GB" w:eastAsia="en-US"/>
              </w:rPr>
              <w:t>lectronic statements</w:t>
            </w:r>
            <w:r w:rsidRPr="00E80090">
              <w:rPr>
                <w:rFonts w:asciiTheme="majorHAnsi" w:eastAsia="Times New Roman" w:hAnsiTheme="majorHAnsi" w:cs="Arial"/>
                <w:b/>
                <w:bCs/>
                <w:sz w:val="22"/>
                <w:szCs w:val="20"/>
                <w:lang w:val="en-GB" w:eastAsia="en-US"/>
              </w:rPr>
              <w:t xml:space="preserve"> (monthly)</w:t>
            </w:r>
          </w:p>
        </w:tc>
        <w:tc>
          <w:tcPr>
            <w:tcW w:w="2275" w:type="dxa"/>
            <w:tcBorders>
              <w:top w:val="single" w:sz="8" w:space="0" w:color="4BACC6"/>
              <w:left w:val="single" w:sz="4" w:space="0" w:color="4F81BD"/>
              <w:bottom w:val="single" w:sz="8" w:space="0" w:color="4BACC6"/>
              <w:right w:val="single" w:sz="4" w:space="0" w:color="4F81BD"/>
            </w:tcBorders>
            <w:shd w:val="clear" w:color="auto" w:fill="auto"/>
            <w:vAlign w:val="center"/>
            <w:hideMark/>
          </w:tcPr>
          <w:p w14:paraId="6E58432A" w14:textId="77777777" w:rsidR="00700AD0" w:rsidRPr="00E80090" w:rsidRDefault="00700AD0" w:rsidP="000758B8">
            <w:pPr>
              <w:jc w:val="center"/>
              <w:rPr>
                <w:rFonts w:asciiTheme="majorHAnsi" w:hAnsiTheme="majorHAnsi" w:cs="Cambria"/>
                <w:sz w:val="22"/>
                <w:szCs w:val="22"/>
                <w:lang w:val="en-GB" w:eastAsia="en-US"/>
              </w:rPr>
            </w:pPr>
            <w:r w:rsidRPr="00E80090">
              <w:rPr>
                <w:rFonts w:asciiTheme="majorHAnsi" w:hAnsiTheme="majorHAnsi" w:cs="Cambria"/>
                <w:sz w:val="22"/>
                <w:szCs w:val="22"/>
                <w:lang w:val="en-GB" w:eastAsia="en-US"/>
              </w:rPr>
              <w:t>Free of charge</w:t>
            </w:r>
          </w:p>
        </w:tc>
        <w:tc>
          <w:tcPr>
            <w:tcW w:w="2243" w:type="dxa"/>
            <w:tcBorders>
              <w:top w:val="single" w:sz="8" w:space="0" w:color="4BACC6"/>
              <w:left w:val="single" w:sz="4" w:space="0" w:color="4F81BD"/>
              <w:bottom w:val="single" w:sz="8" w:space="0" w:color="4BACC6"/>
            </w:tcBorders>
            <w:shd w:val="clear" w:color="auto" w:fill="auto"/>
            <w:vAlign w:val="center"/>
            <w:hideMark/>
          </w:tcPr>
          <w:p w14:paraId="6E58432B" w14:textId="77777777" w:rsidR="00700AD0" w:rsidRPr="00E80090" w:rsidRDefault="00700AD0" w:rsidP="000758B8">
            <w:pPr>
              <w:jc w:val="center"/>
              <w:rPr>
                <w:rFonts w:asciiTheme="majorHAnsi" w:hAnsiTheme="majorHAnsi" w:cs="Cambria"/>
                <w:sz w:val="22"/>
                <w:szCs w:val="22"/>
                <w:lang w:val="en-GB" w:eastAsia="en-US"/>
              </w:rPr>
            </w:pPr>
            <w:r w:rsidRPr="00E80090">
              <w:rPr>
                <w:rFonts w:asciiTheme="majorHAnsi" w:hAnsiTheme="majorHAnsi" w:cs="Cambria"/>
                <w:sz w:val="22"/>
                <w:szCs w:val="22"/>
                <w:lang w:val="en-GB" w:eastAsia="en-US"/>
              </w:rPr>
              <w:t>Free of charge</w:t>
            </w:r>
          </w:p>
        </w:tc>
      </w:tr>
      <w:tr w:rsidR="00700AD0" w:rsidRPr="00E80090" w14:paraId="6E584330" w14:textId="77777777" w:rsidTr="002B793A">
        <w:trPr>
          <w:trHeight w:val="300"/>
        </w:trPr>
        <w:tc>
          <w:tcPr>
            <w:tcW w:w="4459" w:type="dxa"/>
            <w:tcBorders>
              <w:right w:val="single" w:sz="4" w:space="0" w:color="4F81BD"/>
            </w:tcBorders>
            <w:shd w:val="clear" w:color="auto" w:fill="auto"/>
            <w:noWrap/>
            <w:vAlign w:val="center"/>
            <w:hideMark/>
          </w:tcPr>
          <w:p w14:paraId="6E58432D" w14:textId="77777777" w:rsidR="00700AD0" w:rsidRPr="00E80090" w:rsidRDefault="00700AD0" w:rsidP="000758B8">
            <w:pPr>
              <w:jc w:val="right"/>
              <w:rPr>
                <w:rFonts w:asciiTheme="majorHAnsi" w:eastAsia="Times New Roman" w:hAnsiTheme="majorHAnsi" w:cs="Arial"/>
                <w:b/>
                <w:bCs/>
                <w:sz w:val="22"/>
                <w:szCs w:val="20"/>
                <w:lang w:val="en-GB" w:eastAsia="en-US"/>
              </w:rPr>
            </w:pPr>
            <w:r w:rsidRPr="00E80090">
              <w:rPr>
                <w:rFonts w:asciiTheme="majorHAnsi" w:eastAsia="Times New Roman" w:hAnsiTheme="majorHAnsi" w:cs="Arial"/>
                <w:b/>
                <w:bCs/>
                <w:sz w:val="22"/>
                <w:szCs w:val="20"/>
                <w:lang w:val="en-GB" w:eastAsia="en-US"/>
              </w:rPr>
              <w:t>Total Fees</w:t>
            </w:r>
          </w:p>
        </w:tc>
        <w:tc>
          <w:tcPr>
            <w:tcW w:w="2275" w:type="dxa"/>
            <w:tcBorders>
              <w:left w:val="single" w:sz="4" w:space="0" w:color="4F81BD"/>
              <w:right w:val="single" w:sz="4" w:space="0" w:color="4F81BD"/>
            </w:tcBorders>
            <w:shd w:val="clear" w:color="auto" w:fill="auto"/>
            <w:noWrap/>
            <w:vAlign w:val="center"/>
            <w:hideMark/>
          </w:tcPr>
          <w:p w14:paraId="6E58432E" w14:textId="77777777" w:rsidR="00700AD0" w:rsidRPr="00E80090" w:rsidRDefault="00CD0588" w:rsidP="00CF0C86">
            <w:pPr>
              <w:jc w:val="center"/>
              <w:rPr>
                <w:rFonts w:asciiTheme="majorHAnsi" w:hAnsiTheme="majorHAnsi" w:cs="Cambria"/>
                <w:b/>
                <w:sz w:val="22"/>
                <w:szCs w:val="22"/>
                <w:lang w:val="en-GB" w:eastAsia="en-US"/>
              </w:rPr>
            </w:pPr>
            <w:r w:rsidRPr="00E80090">
              <w:rPr>
                <w:rFonts w:asciiTheme="majorHAnsi" w:eastAsia="Times New Roman" w:hAnsiTheme="majorHAnsi" w:cs="Arial"/>
                <w:b/>
                <w:sz w:val="22"/>
                <w:szCs w:val="22"/>
                <w:lang w:val="en-GB" w:eastAsia="en-US"/>
              </w:rPr>
              <w:t xml:space="preserve">€ </w:t>
            </w:r>
            <w:r w:rsidR="00A475DD" w:rsidRPr="00E80090">
              <w:rPr>
                <w:rFonts w:asciiTheme="majorHAnsi" w:eastAsia="Times New Roman" w:hAnsiTheme="majorHAnsi" w:cs="Arial"/>
                <w:b/>
                <w:sz w:val="22"/>
                <w:szCs w:val="22"/>
                <w:lang w:val="en-GB" w:eastAsia="en-US"/>
              </w:rPr>
              <w:t>3,120</w:t>
            </w:r>
          </w:p>
        </w:tc>
        <w:tc>
          <w:tcPr>
            <w:tcW w:w="2243" w:type="dxa"/>
            <w:tcBorders>
              <w:left w:val="single" w:sz="4" w:space="0" w:color="4F81BD"/>
            </w:tcBorders>
            <w:shd w:val="clear" w:color="auto" w:fill="auto"/>
            <w:noWrap/>
            <w:vAlign w:val="center"/>
            <w:hideMark/>
          </w:tcPr>
          <w:p w14:paraId="6E58432F" w14:textId="77777777" w:rsidR="00700AD0" w:rsidRPr="00E80090" w:rsidRDefault="00CD0588" w:rsidP="000758B8">
            <w:pPr>
              <w:keepNext/>
              <w:jc w:val="center"/>
              <w:rPr>
                <w:rFonts w:asciiTheme="majorHAnsi" w:hAnsiTheme="majorHAnsi" w:cs="Cambria"/>
                <w:b/>
                <w:sz w:val="22"/>
                <w:szCs w:val="22"/>
                <w:lang w:val="en-GB" w:eastAsia="en-US"/>
              </w:rPr>
            </w:pPr>
            <w:r w:rsidRPr="00E80090">
              <w:rPr>
                <w:rFonts w:asciiTheme="majorHAnsi" w:eastAsia="Times New Roman" w:hAnsiTheme="majorHAnsi" w:cs="Arial"/>
                <w:b/>
                <w:sz w:val="22"/>
                <w:szCs w:val="22"/>
                <w:lang w:val="en-GB" w:eastAsia="en-US"/>
              </w:rPr>
              <w:t xml:space="preserve">€ </w:t>
            </w:r>
            <w:r w:rsidR="00A475DD" w:rsidRPr="00E80090">
              <w:rPr>
                <w:rFonts w:asciiTheme="majorHAnsi" w:eastAsia="Times New Roman" w:hAnsiTheme="majorHAnsi" w:cs="Arial"/>
                <w:b/>
                <w:sz w:val="22"/>
                <w:szCs w:val="22"/>
                <w:lang w:val="en-GB" w:eastAsia="en-US"/>
              </w:rPr>
              <w:t>3,037.20</w:t>
            </w:r>
          </w:p>
        </w:tc>
      </w:tr>
    </w:tbl>
    <w:p w14:paraId="6E584331" w14:textId="77777777" w:rsidR="00700AD0" w:rsidRPr="00E80090" w:rsidRDefault="00700AD0" w:rsidP="00700AD0">
      <w:pPr>
        <w:pStyle w:val="Bijschrift"/>
        <w:jc w:val="center"/>
        <w:rPr>
          <w:rFonts w:asciiTheme="majorHAnsi" w:hAnsiTheme="majorHAnsi"/>
          <w:color w:val="4F81BD"/>
          <w:sz w:val="10"/>
          <w:lang w:val="en-GB"/>
        </w:rPr>
      </w:pPr>
    </w:p>
    <w:p w14:paraId="6E584332" w14:textId="77777777" w:rsidR="00700AD0" w:rsidRPr="00E80090" w:rsidRDefault="00700AD0" w:rsidP="00700AD0">
      <w:pPr>
        <w:pStyle w:val="Bijschrift"/>
        <w:jc w:val="center"/>
        <w:rPr>
          <w:rFonts w:asciiTheme="majorHAnsi" w:hAnsiTheme="majorHAnsi"/>
          <w:color w:val="4F81BD"/>
          <w:lang w:val="en-GB"/>
        </w:rPr>
      </w:pPr>
      <w:r w:rsidRPr="00E80090">
        <w:rPr>
          <w:rFonts w:asciiTheme="majorHAnsi" w:hAnsiTheme="majorHAnsi"/>
          <w:color w:val="4F81BD"/>
          <w:lang w:val="en-GB"/>
        </w:rPr>
        <w:t xml:space="preserve">Table </w:t>
      </w:r>
      <w:r w:rsidRPr="00E80090">
        <w:rPr>
          <w:rFonts w:asciiTheme="majorHAnsi" w:hAnsiTheme="majorHAnsi"/>
          <w:color w:val="4F81BD"/>
          <w:lang w:val="en-GB"/>
        </w:rPr>
        <w:fldChar w:fldCharType="begin"/>
      </w:r>
      <w:r w:rsidRPr="00E80090">
        <w:rPr>
          <w:rFonts w:asciiTheme="majorHAnsi" w:hAnsiTheme="majorHAnsi"/>
          <w:color w:val="4F81BD"/>
          <w:lang w:val="en-GB"/>
        </w:rPr>
        <w:instrText xml:space="preserve"> SEQ Table \* ARABIC </w:instrText>
      </w:r>
      <w:r w:rsidRPr="00E80090">
        <w:rPr>
          <w:rFonts w:asciiTheme="majorHAnsi" w:hAnsiTheme="majorHAnsi"/>
          <w:color w:val="4F81BD"/>
          <w:lang w:val="en-GB"/>
        </w:rPr>
        <w:fldChar w:fldCharType="separate"/>
      </w:r>
      <w:r w:rsidR="00E80090">
        <w:rPr>
          <w:rFonts w:asciiTheme="majorHAnsi" w:hAnsiTheme="majorHAnsi"/>
          <w:noProof/>
          <w:color w:val="4F81BD"/>
          <w:lang w:val="en-GB"/>
        </w:rPr>
        <w:t>5</w:t>
      </w:r>
      <w:r w:rsidRPr="00E80090">
        <w:rPr>
          <w:rFonts w:asciiTheme="majorHAnsi" w:hAnsiTheme="majorHAnsi"/>
          <w:color w:val="4F81BD"/>
          <w:lang w:val="en-GB"/>
        </w:rPr>
        <w:fldChar w:fldCharType="end"/>
      </w:r>
      <w:r w:rsidRPr="00E80090">
        <w:rPr>
          <w:rFonts w:asciiTheme="majorHAnsi" w:hAnsiTheme="majorHAnsi"/>
          <w:color w:val="4F81BD"/>
          <w:lang w:val="en-GB"/>
        </w:rPr>
        <w:t>: Slovenia pricing benchmark</w:t>
      </w:r>
    </w:p>
    <w:p w14:paraId="6E584333" w14:textId="77777777" w:rsidR="0034202F" w:rsidRPr="00E80090" w:rsidRDefault="0034202F" w:rsidP="0034202F">
      <w:pPr>
        <w:rPr>
          <w:sz w:val="16"/>
          <w:lang w:val="en-GB"/>
        </w:rPr>
      </w:pPr>
    </w:p>
    <w:p w14:paraId="6E584334" w14:textId="77777777" w:rsidR="00275E9A" w:rsidRPr="00E80090" w:rsidRDefault="00601E1F" w:rsidP="007F0186">
      <w:pPr>
        <w:spacing w:after="200" w:line="360" w:lineRule="auto"/>
        <w:jc w:val="both"/>
        <w:rPr>
          <w:rFonts w:asciiTheme="majorHAnsi" w:hAnsiTheme="majorHAnsi"/>
          <w:lang w:val="en-GB"/>
        </w:rPr>
      </w:pPr>
      <w:r w:rsidRPr="00E80090">
        <w:rPr>
          <w:rFonts w:asciiTheme="majorHAnsi" w:hAnsiTheme="majorHAnsi"/>
          <w:lang w:val="en-GB"/>
        </w:rPr>
        <w:t>Looking at the monthly fees, Volksbank has the better pricing on all components. It also has made a better offer for the incoming domestic and cross-border payments. On the other hand</w:t>
      </w:r>
      <w:r w:rsidR="00AD3759" w:rsidRPr="00E80090">
        <w:rPr>
          <w:rFonts w:asciiTheme="majorHAnsi" w:hAnsiTheme="majorHAnsi"/>
          <w:lang w:val="en-GB"/>
        </w:rPr>
        <w:t>,</w:t>
      </w:r>
      <w:r w:rsidRPr="00E80090">
        <w:rPr>
          <w:rFonts w:asciiTheme="majorHAnsi" w:hAnsiTheme="majorHAnsi"/>
          <w:lang w:val="en-GB"/>
        </w:rPr>
        <w:t xml:space="preserve"> UniCredit matches the current pricing for outgoing domestic payments and has preferential offer for </w:t>
      </w:r>
      <w:r w:rsidR="00150606" w:rsidRPr="00E80090">
        <w:rPr>
          <w:rFonts w:asciiTheme="majorHAnsi" w:hAnsiTheme="majorHAnsi"/>
          <w:lang w:val="en-GB"/>
        </w:rPr>
        <w:t>outgoing cross-border payments.</w:t>
      </w:r>
      <w:r w:rsidR="00275E9A" w:rsidRPr="00E80090">
        <w:rPr>
          <w:rFonts w:asciiTheme="majorHAnsi" w:hAnsiTheme="majorHAnsi"/>
          <w:lang w:val="en-GB"/>
        </w:rPr>
        <w:t xml:space="preserve"> </w:t>
      </w:r>
      <w:r w:rsidRPr="00E80090">
        <w:rPr>
          <w:rFonts w:asciiTheme="majorHAnsi" w:hAnsiTheme="majorHAnsi"/>
          <w:lang w:val="en-GB"/>
        </w:rPr>
        <w:t>The electronic account statements are delivered free of charge by both banks. As a result,</w:t>
      </w:r>
      <w:r w:rsidR="00275E9A" w:rsidRPr="00E80090">
        <w:rPr>
          <w:rFonts w:asciiTheme="majorHAnsi" w:hAnsiTheme="majorHAnsi"/>
          <w:lang w:val="en-GB"/>
        </w:rPr>
        <w:t xml:space="preserve"> because of the </w:t>
      </w:r>
      <w:r w:rsidR="00AD5848" w:rsidRPr="00E80090">
        <w:rPr>
          <w:rFonts w:asciiTheme="majorHAnsi" w:hAnsiTheme="majorHAnsi"/>
          <w:lang w:val="en-GB"/>
        </w:rPr>
        <w:t xml:space="preserve">high </w:t>
      </w:r>
      <w:r w:rsidR="00AD5848" w:rsidRPr="00E80090">
        <w:rPr>
          <w:rFonts w:asciiTheme="majorHAnsi" w:hAnsiTheme="majorHAnsi"/>
          <w:lang w:val="en-GB"/>
        </w:rPr>
        <w:lastRenderedPageBreak/>
        <w:t xml:space="preserve">volume of </w:t>
      </w:r>
      <w:r w:rsidR="000C2143" w:rsidRPr="00E80090">
        <w:rPr>
          <w:rFonts w:asciiTheme="majorHAnsi" w:hAnsiTheme="majorHAnsi"/>
          <w:lang w:val="en-GB"/>
        </w:rPr>
        <w:t xml:space="preserve">outgoing cross-border </w:t>
      </w:r>
      <w:r w:rsidR="00275E9A" w:rsidRPr="00E80090">
        <w:rPr>
          <w:rFonts w:asciiTheme="majorHAnsi" w:hAnsiTheme="majorHAnsi"/>
          <w:lang w:val="en-GB"/>
        </w:rPr>
        <w:t>transactions,</w:t>
      </w:r>
      <w:r w:rsidRPr="00E80090">
        <w:rPr>
          <w:rFonts w:asciiTheme="majorHAnsi" w:hAnsiTheme="majorHAnsi"/>
          <w:lang w:val="en-GB"/>
        </w:rPr>
        <w:t xml:space="preserve"> UniCredit’s proposition is more competi</w:t>
      </w:r>
      <w:r w:rsidR="00275E9A" w:rsidRPr="00E80090">
        <w:rPr>
          <w:rFonts w:asciiTheme="majorHAnsi" w:hAnsiTheme="majorHAnsi"/>
          <w:lang w:val="en-GB"/>
        </w:rPr>
        <w:t>tive than the one of Volksbank.</w:t>
      </w:r>
    </w:p>
    <w:p w14:paraId="6E584335" w14:textId="77777777" w:rsidR="007F0186" w:rsidRPr="00E80090" w:rsidRDefault="007F0186" w:rsidP="007F0186">
      <w:pPr>
        <w:spacing w:after="200" w:line="360" w:lineRule="auto"/>
        <w:jc w:val="both"/>
        <w:rPr>
          <w:rFonts w:asciiTheme="majorHAnsi" w:hAnsiTheme="majorHAnsi"/>
          <w:lang w:val="en-GB"/>
        </w:rPr>
      </w:pPr>
      <w:r w:rsidRPr="00E80090">
        <w:rPr>
          <w:rFonts w:asciiTheme="majorHAnsi" w:hAnsiTheme="majorHAnsi"/>
          <w:lang w:val="en-GB"/>
        </w:rPr>
        <w:t>To conclude,</w:t>
      </w:r>
      <w:r w:rsidR="005453AF" w:rsidRPr="00E80090">
        <w:rPr>
          <w:rFonts w:asciiTheme="majorHAnsi" w:hAnsiTheme="majorHAnsi"/>
          <w:lang w:val="en-GB"/>
        </w:rPr>
        <w:t xml:space="preserve"> neither </w:t>
      </w:r>
      <w:r w:rsidR="00F57517" w:rsidRPr="00E80090">
        <w:rPr>
          <w:rFonts w:asciiTheme="majorHAnsi" w:hAnsiTheme="majorHAnsi"/>
          <w:lang w:val="en-GB"/>
        </w:rPr>
        <w:t>UniCredit</w:t>
      </w:r>
      <w:r w:rsidR="005453AF" w:rsidRPr="00E80090">
        <w:rPr>
          <w:rFonts w:asciiTheme="majorHAnsi" w:hAnsiTheme="majorHAnsi"/>
          <w:lang w:val="en-GB"/>
        </w:rPr>
        <w:t>, nor Citibank can beat the local banks on all components. However, in Romania and Slovenia the proposed banks have a better offer when looking at the total fees. On the other hand</w:t>
      </w:r>
      <w:r w:rsidR="00150606" w:rsidRPr="00E80090">
        <w:rPr>
          <w:rFonts w:asciiTheme="majorHAnsi" w:hAnsiTheme="majorHAnsi"/>
          <w:lang w:val="en-GB"/>
        </w:rPr>
        <w:t>,</w:t>
      </w:r>
      <w:r w:rsidR="005453AF" w:rsidRPr="00E80090">
        <w:rPr>
          <w:rFonts w:asciiTheme="majorHAnsi" w:hAnsiTheme="majorHAnsi"/>
          <w:lang w:val="en-GB"/>
        </w:rPr>
        <w:t xml:space="preserve"> in Bulgaria and Slovakia Sun Chemical would need to use its global leverage to negotiate better terms. </w:t>
      </w:r>
    </w:p>
    <w:p w14:paraId="6E584336" w14:textId="77777777" w:rsidR="00CC7610" w:rsidRPr="00E80090" w:rsidRDefault="00DE5291" w:rsidP="00CC7610">
      <w:pPr>
        <w:pStyle w:val="Kop2"/>
        <w:numPr>
          <w:ilvl w:val="2"/>
          <w:numId w:val="12"/>
        </w:numPr>
        <w:spacing w:line="360" w:lineRule="auto"/>
        <w:rPr>
          <w:rFonts w:asciiTheme="majorHAnsi" w:hAnsiTheme="majorHAnsi"/>
          <w:sz w:val="24"/>
          <w:szCs w:val="24"/>
          <w:lang w:val="en-GB"/>
        </w:rPr>
      </w:pPr>
      <w:bookmarkStart w:id="114" w:name="_Toc368290360"/>
      <w:r w:rsidRPr="00E80090">
        <w:rPr>
          <w:rFonts w:asciiTheme="majorHAnsi" w:hAnsiTheme="majorHAnsi"/>
          <w:sz w:val="24"/>
          <w:szCs w:val="24"/>
          <w:lang w:val="en-GB"/>
        </w:rPr>
        <w:t>Other costs</w:t>
      </w:r>
      <w:bookmarkEnd w:id="114"/>
    </w:p>
    <w:p w14:paraId="6E584337" w14:textId="77777777" w:rsidR="003B2AB9" w:rsidRPr="00E80090" w:rsidRDefault="00F41C97" w:rsidP="007F0186">
      <w:pPr>
        <w:spacing w:after="200" w:line="360" w:lineRule="auto"/>
        <w:jc w:val="both"/>
        <w:rPr>
          <w:rFonts w:asciiTheme="majorHAnsi" w:hAnsiTheme="majorHAnsi"/>
          <w:color w:val="FF0000"/>
          <w:lang w:val="en-GB"/>
        </w:rPr>
      </w:pPr>
      <w:r w:rsidRPr="00E80090">
        <w:rPr>
          <w:rFonts w:asciiTheme="majorHAnsi" w:hAnsiTheme="majorHAnsi"/>
          <w:lang w:val="en-GB"/>
        </w:rPr>
        <w:t>In addition</w:t>
      </w:r>
      <w:r w:rsidR="00DE5291" w:rsidRPr="00E80090">
        <w:rPr>
          <w:rFonts w:asciiTheme="majorHAnsi" w:hAnsiTheme="majorHAnsi"/>
          <w:lang w:val="en-GB"/>
        </w:rPr>
        <w:t xml:space="preserve"> to the</w:t>
      </w:r>
      <w:r w:rsidR="001F37A7" w:rsidRPr="00E80090">
        <w:rPr>
          <w:rFonts w:asciiTheme="majorHAnsi" w:hAnsiTheme="majorHAnsi"/>
          <w:lang w:val="en-GB"/>
        </w:rPr>
        <w:t xml:space="preserve"> direct </w:t>
      </w:r>
      <w:r w:rsidR="00DE5291" w:rsidRPr="00E80090">
        <w:rPr>
          <w:rFonts w:asciiTheme="majorHAnsi" w:hAnsiTheme="majorHAnsi"/>
          <w:lang w:val="en-GB"/>
        </w:rPr>
        <w:t>fee</w:t>
      </w:r>
      <w:r w:rsidR="00D54B1A" w:rsidRPr="00E80090">
        <w:rPr>
          <w:rFonts w:asciiTheme="majorHAnsi" w:hAnsiTheme="majorHAnsi"/>
          <w:lang w:val="en-GB"/>
        </w:rPr>
        <w:t>s</w:t>
      </w:r>
      <w:r w:rsidR="00DE5291" w:rsidRPr="00E80090">
        <w:rPr>
          <w:rFonts w:asciiTheme="majorHAnsi" w:hAnsiTheme="majorHAnsi"/>
          <w:lang w:val="en-GB"/>
        </w:rPr>
        <w:t xml:space="preserve"> charge</w:t>
      </w:r>
      <w:r w:rsidR="00D54B1A" w:rsidRPr="00E80090">
        <w:rPr>
          <w:rFonts w:asciiTheme="majorHAnsi" w:hAnsiTheme="majorHAnsi"/>
          <w:lang w:val="en-GB"/>
        </w:rPr>
        <w:t>d</w:t>
      </w:r>
      <w:r w:rsidR="00DE5291" w:rsidRPr="00E80090">
        <w:rPr>
          <w:rFonts w:asciiTheme="majorHAnsi" w:hAnsiTheme="majorHAnsi"/>
          <w:lang w:val="en-GB"/>
        </w:rPr>
        <w:t xml:space="preserve"> </w:t>
      </w:r>
      <w:r w:rsidR="00D54B1A" w:rsidRPr="00E80090">
        <w:rPr>
          <w:rFonts w:asciiTheme="majorHAnsi" w:hAnsiTheme="majorHAnsi"/>
          <w:lang w:val="en-GB"/>
        </w:rPr>
        <w:t>by</w:t>
      </w:r>
      <w:r w:rsidR="00DE5291" w:rsidRPr="00E80090">
        <w:rPr>
          <w:rFonts w:asciiTheme="majorHAnsi" w:hAnsiTheme="majorHAnsi"/>
          <w:lang w:val="en-GB"/>
        </w:rPr>
        <w:t xml:space="preserve"> the new banks, the project also involves </w:t>
      </w:r>
      <w:r w:rsidR="001F37A7" w:rsidRPr="00E80090">
        <w:rPr>
          <w:rFonts w:asciiTheme="majorHAnsi" w:hAnsiTheme="majorHAnsi"/>
          <w:lang w:val="en-GB"/>
        </w:rPr>
        <w:t xml:space="preserve">some indirect </w:t>
      </w:r>
      <w:r w:rsidR="00DE5291" w:rsidRPr="00E80090">
        <w:rPr>
          <w:rFonts w:asciiTheme="majorHAnsi" w:hAnsiTheme="majorHAnsi"/>
          <w:lang w:val="en-GB"/>
        </w:rPr>
        <w:t>costs</w:t>
      </w:r>
      <w:r w:rsidR="00532735" w:rsidRPr="00E80090">
        <w:rPr>
          <w:rFonts w:asciiTheme="majorHAnsi" w:hAnsiTheme="majorHAnsi"/>
          <w:lang w:val="en-GB"/>
        </w:rPr>
        <w:t xml:space="preserve"> for both the central and local level of the company</w:t>
      </w:r>
      <w:r w:rsidR="003B2AB9" w:rsidRPr="00E80090">
        <w:rPr>
          <w:rFonts w:asciiTheme="majorHAnsi" w:hAnsiTheme="majorHAnsi"/>
          <w:lang w:val="en-GB"/>
        </w:rPr>
        <w:t xml:space="preserve">. </w:t>
      </w:r>
      <w:r w:rsidR="00066339" w:rsidRPr="00E80090">
        <w:rPr>
          <w:rFonts w:asciiTheme="majorHAnsi" w:hAnsiTheme="majorHAnsi"/>
          <w:lang w:val="en-GB"/>
        </w:rPr>
        <w:t xml:space="preserve">The literature distinguishes four categories of costs: </w:t>
      </w:r>
      <w:r w:rsidR="00066339" w:rsidRPr="00E80090">
        <w:rPr>
          <w:rFonts w:asciiTheme="majorHAnsi" w:hAnsiTheme="majorHAnsi" w:cs="Cambria"/>
          <w:lang w:val="en-GB" w:eastAsia="en-US"/>
        </w:rPr>
        <w:t xml:space="preserve">technology, facilities, implementation support, and severance </w:t>
      </w:r>
      <w:sdt>
        <w:sdtPr>
          <w:rPr>
            <w:rFonts w:asciiTheme="majorHAnsi" w:hAnsiTheme="majorHAnsi" w:cs="Cambria"/>
            <w:lang w:val="en-GB" w:eastAsia="en-US"/>
          </w:rPr>
          <w:id w:val="-1441833543"/>
          <w:citation/>
        </w:sdtPr>
        <w:sdtEndPr/>
        <w:sdtContent>
          <w:r w:rsidR="00066339" w:rsidRPr="00E80090">
            <w:rPr>
              <w:rFonts w:asciiTheme="majorHAnsi" w:hAnsiTheme="majorHAnsi" w:cs="Cambria"/>
              <w:lang w:val="en-GB" w:eastAsia="en-US"/>
            </w:rPr>
            <w:fldChar w:fldCharType="begin"/>
          </w:r>
          <w:r w:rsidR="00066339" w:rsidRPr="00E80090">
            <w:rPr>
              <w:rFonts w:asciiTheme="majorHAnsi" w:hAnsiTheme="majorHAnsi" w:cs="Cambria"/>
              <w:lang w:eastAsia="en-US"/>
            </w:rPr>
            <w:instrText xml:space="preserve"> CITATION Dan12 \l 1033 </w:instrText>
          </w:r>
          <w:r w:rsidR="00066339" w:rsidRPr="00E80090">
            <w:rPr>
              <w:rFonts w:asciiTheme="majorHAnsi" w:hAnsiTheme="majorHAnsi" w:cs="Cambria"/>
              <w:lang w:val="en-GB" w:eastAsia="en-US"/>
            </w:rPr>
            <w:fldChar w:fldCharType="separate"/>
          </w:r>
          <w:r w:rsidR="004D1237" w:rsidRPr="00E80090">
            <w:rPr>
              <w:rFonts w:asciiTheme="majorHAnsi" w:hAnsiTheme="majorHAnsi" w:cs="Cambria"/>
              <w:noProof/>
              <w:lang w:eastAsia="en-US"/>
            </w:rPr>
            <w:t>(Berthiaume, 2012)</w:t>
          </w:r>
          <w:r w:rsidR="00066339" w:rsidRPr="00E80090">
            <w:rPr>
              <w:rFonts w:asciiTheme="majorHAnsi" w:hAnsiTheme="majorHAnsi" w:cs="Cambria"/>
              <w:lang w:val="en-GB" w:eastAsia="en-US"/>
            </w:rPr>
            <w:fldChar w:fldCharType="end"/>
          </w:r>
        </w:sdtContent>
      </w:sdt>
      <w:r w:rsidR="00066339" w:rsidRPr="00E80090">
        <w:rPr>
          <w:rFonts w:asciiTheme="majorHAnsi" w:hAnsiTheme="majorHAnsi" w:cs="Cambria"/>
          <w:lang w:val="en-GB" w:eastAsia="en-US"/>
        </w:rPr>
        <w:t>.</w:t>
      </w:r>
      <w:r w:rsidR="00704872" w:rsidRPr="00E80090">
        <w:rPr>
          <w:rFonts w:asciiTheme="majorHAnsi" w:hAnsiTheme="majorHAnsi" w:cs="Cambria"/>
          <w:lang w:val="en-GB" w:eastAsia="en-US"/>
        </w:rPr>
        <w:t xml:space="preserve"> T</w:t>
      </w:r>
      <w:r w:rsidRPr="00E80090">
        <w:rPr>
          <w:rFonts w:asciiTheme="majorHAnsi" w:hAnsiTheme="majorHAnsi" w:cs="Cambria"/>
          <w:lang w:val="en-GB" w:eastAsia="en-US"/>
        </w:rPr>
        <w:t xml:space="preserve">he CEE migration project does not involve the building of new facilities or the development </w:t>
      </w:r>
      <w:r w:rsidR="008A1C73" w:rsidRPr="00E80090">
        <w:rPr>
          <w:rFonts w:asciiTheme="majorHAnsi" w:hAnsiTheme="majorHAnsi" w:cs="Cambria"/>
          <w:lang w:val="en-GB" w:eastAsia="en-US"/>
        </w:rPr>
        <w:t xml:space="preserve">or </w:t>
      </w:r>
      <w:r w:rsidRPr="00E80090">
        <w:rPr>
          <w:rFonts w:asciiTheme="majorHAnsi" w:hAnsiTheme="majorHAnsi" w:cs="Cambria"/>
          <w:lang w:val="en-GB" w:eastAsia="en-US"/>
        </w:rPr>
        <w:t xml:space="preserve">application of new technology. </w:t>
      </w:r>
      <w:r w:rsidR="008A1C73" w:rsidRPr="00E80090">
        <w:rPr>
          <w:rFonts w:asciiTheme="majorHAnsi" w:hAnsiTheme="majorHAnsi" w:cs="Cambria"/>
          <w:lang w:val="en-GB" w:eastAsia="en-US"/>
        </w:rPr>
        <w:t xml:space="preserve">Moreover, because of the small number of local staff in the selected </w:t>
      </w:r>
      <w:r w:rsidR="00551D17" w:rsidRPr="00E80090">
        <w:rPr>
          <w:rFonts w:asciiTheme="majorHAnsi" w:hAnsiTheme="majorHAnsi" w:cs="Cambria"/>
          <w:lang w:val="en-GB" w:eastAsia="en-US"/>
        </w:rPr>
        <w:t>branches</w:t>
      </w:r>
      <w:r w:rsidR="008A1C73" w:rsidRPr="00E80090">
        <w:rPr>
          <w:rFonts w:asciiTheme="majorHAnsi" w:hAnsiTheme="majorHAnsi" w:cs="Cambria"/>
          <w:lang w:val="en-GB" w:eastAsia="en-US"/>
        </w:rPr>
        <w:t xml:space="preserve">, the employees are usually responsible for several functions </w:t>
      </w:r>
      <w:r w:rsidR="00E30D3A" w:rsidRPr="00E80090">
        <w:rPr>
          <w:rFonts w:asciiTheme="majorHAnsi" w:hAnsiTheme="majorHAnsi" w:cs="Cambria"/>
          <w:lang w:val="en-GB" w:eastAsia="en-US"/>
        </w:rPr>
        <w:t xml:space="preserve">and thus </w:t>
      </w:r>
      <w:r w:rsidR="008A1C73" w:rsidRPr="00E80090">
        <w:rPr>
          <w:rFonts w:asciiTheme="majorHAnsi" w:hAnsiTheme="majorHAnsi" w:cs="Cambria"/>
          <w:lang w:val="en-GB" w:eastAsia="en-US"/>
        </w:rPr>
        <w:t xml:space="preserve">are essential to the business. </w:t>
      </w:r>
      <w:r w:rsidR="00D54B1A" w:rsidRPr="00E80090">
        <w:rPr>
          <w:rFonts w:asciiTheme="majorHAnsi" w:hAnsiTheme="majorHAnsi" w:cs="Cambria"/>
          <w:lang w:val="en-GB" w:eastAsia="en-US"/>
        </w:rPr>
        <w:t>Because of that n</w:t>
      </w:r>
      <w:r w:rsidR="00111174" w:rsidRPr="00E80090">
        <w:rPr>
          <w:rFonts w:asciiTheme="majorHAnsi" w:hAnsiTheme="majorHAnsi" w:cs="Cambria"/>
          <w:lang w:val="en-GB" w:eastAsia="en-US"/>
        </w:rPr>
        <w:t>one of the employees would be laid off</w:t>
      </w:r>
      <w:r w:rsidR="00D54B1A" w:rsidRPr="00E80090">
        <w:rPr>
          <w:rFonts w:asciiTheme="majorHAnsi" w:hAnsiTheme="majorHAnsi" w:cs="Cambria"/>
          <w:lang w:val="en-GB" w:eastAsia="en-US"/>
        </w:rPr>
        <w:t xml:space="preserve"> after completing the project and there would be no severance payments. </w:t>
      </w:r>
      <w:r w:rsidR="003E2B34" w:rsidRPr="00E80090">
        <w:rPr>
          <w:rFonts w:asciiTheme="majorHAnsi" w:hAnsiTheme="majorHAnsi" w:cs="Cambria"/>
          <w:lang w:val="en-GB" w:eastAsia="en-US"/>
        </w:rPr>
        <w:t xml:space="preserve">Therefore, the costs related to the project </w:t>
      </w:r>
      <w:r w:rsidR="00AD5A1E" w:rsidRPr="00E80090">
        <w:rPr>
          <w:rFonts w:asciiTheme="majorHAnsi" w:hAnsiTheme="majorHAnsi" w:cs="Cambria"/>
          <w:lang w:val="en-GB" w:eastAsia="en-US"/>
        </w:rPr>
        <w:t>fall in the implementation support category.</w:t>
      </w:r>
      <w:r w:rsidR="003E2B34" w:rsidRPr="00E80090">
        <w:rPr>
          <w:rFonts w:asciiTheme="majorHAnsi" w:hAnsiTheme="majorHAnsi" w:cs="Cambria"/>
          <w:lang w:val="en-GB" w:eastAsia="en-US"/>
        </w:rPr>
        <w:t xml:space="preserve"> </w:t>
      </w:r>
    </w:p>
    <w:p w14:paraId="6E584338" w14:textId="77777777" w:rsidR="003B2AB9" w:rsidRPr="00E80090" w:rsidRDefault="003B2AB9" w:rsidP="00A07763">
      <w:pPr>
        <w:spacing w:after="200" w:line="360" w:lineRule="auto"/>
        <w:jc w:val="both"/>
        <w:rPr>
          <w:rFonts w:asciiTheme="majorHAnsi" w:hAnsiTheme="majorHAnsi"/>
          <w:lang w:val="en-GB"/>
        </w:rPr>
      </w:pPr>
      <w:r w:rsidRPr="00E80090">
        <w:rPr>
          <w:rFonts w:asciiTheme="majorHAnsi" w:hAnsiTheme="majorHAnsi"/>
          <w:lang w:val="en-GB"/>
        </w:rPr>
        <w:t xml:space="preserve">These are overhead costs from </w:t>
      </w:r>
      <w:r w:rsidR="00DE5291" w:rsidRPr="00E80090">
        <w:rPr>
          <w:rFonts w:asciiTheme="majorHAnsi" w:hAnsiTheme="majorHAnsi"/>
          <w:lang w:val="en-GB"/>
        </w:rPr>
        <w:t xml:space="preserve">the time </w:t>
      </w:r>
      <w:r w:rsidR="00111174" w:rsidRPr="00E80090">
        <w:rPr>
          <w:rFonts w:asciiTheme="majorHAnsi" w:hAnsiTheme="majorHAnsi"/>
          <w:lang w:val="en-GB"/>
        </w:rPr>
        <w:t xml:space="preserve">employees </w:t>
      </w:r>
      <w:r w:rsidR="00DE5291" w:rsidRPr="00E80090">
        <w:rPr>
          <w:rFonts w:asciiTheme="majorHAnsi" w:hAnsiTheme="majorHAnsi"/>
          <w:lang w:val="en-GB"/>
        </w:rPr>
        <w:t xml:space="preserve">spent on </w:t>
      </w:r>
      <w:r w:rsidR="001E51C3" w:rsidRPr="00E80090">
        <w:rPr>
          <w:rFonts w:asciiTheme="majorHAnsi" w:hAnsiTheme="majorHAnsi"/>
          <w:lang w:val="en-GB"/>
        </w:rPr>
        <w:t>project</w:t>
      </w:r>
      <w:r w:rsidR="00DE5291" w:rsidRPr="00E80090">
        <w:rPr>
          <w:rFonts w:asciiTheme="majorHAnsi" w:hAnsiTheme="majorHAnsi"/>
          <w:lang w:val="en-GB"/>
        </w:rPr>
        <w:t xml:space="preserve"> implementation and opportunity costs from not working on other projects. </w:t>
      </w:r>
      <w:r w:rsidR="00BB11CA" w:rsidRPr="00E80090">
        <w:rPr>
          <w:rFonts w:asciiTheme="majorHAnsi" w:hAnsiTheme="majorHAnsi"/>
          <w:lang w:val="en-GB"/>
        </w:rPr>
        <w:t xml:space="preserve">The former </w:t>
      </w:r>
      <w:r w:rsidR="00503407" w:rsidRPr="00E80090">
        <w:rPr>
          <w:rFonts w:asciiTheme="majorHAnsi" w:hAnsiTheme="majorHAnsi"/>
          <w:lang w:val="en-GB"/>
        </w:rPr>
        <w:t>include portions of</w:t>
      </w:r>
      <w:r w:rsidR="00BB11CA" w:rsidRPr="00E80090">
        <w:rPr>
          <w:rFonts w:asciiTheme="majorHAnsi" w:hAnsiTheme="majorHAnsi"/>
          <w:lang w:val="en-GB"/>
        </w:rPr>
        <w:t xml:space="preserve"> the salaries of the employees working on the project, office space rent, general supplies, and the costs of furniture, fixtures, and equipment.</w:t>
      </w:r>
      <w:r w:rsidR="00503407" w:rsidRPr="00E80090">
        <w:rPr>
          <w:rFonts w:asciiTheme="majorHAnsi" w:hAnsiTheme="majorHAnsi"/>
          <w:lang w:val="en-GB"/>
        </w:rPr>
        <w:t xml:space="preserve"> </w:t>
      </w:r>
      <w:r w:rsidR="00BB11CA" w:rsidRPr="00E80090">
        <w:rPr>
          <w:rFonts w:asciiTheme="majorHAnsi" w:hAnsiTheme="majorHAnsi"/>
          <w:lang w:val="en-GB"/>
        </w:rPr>
        <w:t>On the other hand,</w:t>
      </w:r>
      <w:r w:rsidR="00503407" w:rsidRPr="00E80090">
        <w:rPr>
          <w:rFonts w:asciiTheme="majorHAnsi" w:hAnsiTheme="majorHAnsi"/>
          <w:lang w:val="en-GB"/>
        </w:rPr>
        <w:t xml:space="preserve"> t</w:t>
      </w:r>
      <w:r w:rsidR="00BB11CA" w:rsidRPr="00E80090">
        <w:rPr>
          <w:rFonts w:asciiTheme="majorHAnsi" w:hAnsiTheme="majorHAnsi"/>
          <w:lang w:val="en-GB"/>
        </w:rPr>
        <w:t>o</w:t>
      </w:r>
      <w:r w:rsidR="00A07763" w:rsidRPr="00E80090">
        <w:rPr>
          <w:rFonts w:asciiTheme="majorHAnsi" w:hAnsiTheme="majorHAnsi"/>
          <w:lang w:val="en-GB"/>
        </w:rPr>
        <w:t xml:space="preserve"> estimate the </w:t>
      </w:r>
      <w:r w:rsidR="00503407" w:rsidRPr="00E80090">
        <w:rPr>
          <w:rFonts w:asciiTheme="majorHAnsi" w:hAnsiTheme="majorHAnsi"/>
          <w:lang w:val="en-GB"/>
        </w:rPr>
        <w:t>opportunity costs</w:t>
      </w:r>
      <w:r w:rsidR="00A07763" w:rsidRPr="00E80090">
        <w:rPr>
          <w:rFonts w:asciiTheme="majorHAnsi" w:hAnsiTheme="majorHAnsi"/>
          <w:lang w:val="en-GB"/>
        </w:rPr>
        <w:t xml:space="preserve"> it is required to compare the costs of the current project with the costs of </w:t>
      </w:r>
      <w:r w:rsidR="001E51C3" w:rsidRPr="00E80090">
        <w:rPr>
          <w:rFonts w:asciiTheme="majorHAnsi" w:hAnsiTheme="majorHAnsi"/>
          <w:lang w:val="en-GB"/>
        </w:rPr>
        <w:t>projects that potentially could have been exe</w:t>
      </w:r>
      <w:r w:rsidR="00A07FD9" w:rsidRPr="00E80090">
        <w:rPr>
          <w:rFonts w:asciiTheme="majorHAnsi" w:hAnsiTheme="majorHAnsi"/>
          <w:lang w:val="en-GB"/>
        </w:rPr>
        <w:t>cuted instead</w:t>
      </w:r>
      <w:r w:rsidR="0077258C" w:rsidRPr="00E80090">
        <w:rPr>
          <w:rFonts w:asciiTheme="majorHAnsi" w:hAnsiTheme="majorHAnsi"/>
          <w:lang w:val="en-GB"/>
        </w:rPr>
        <w:t xml:space="preserve"> </w:t>
      </w:r>
      <w:sdt>
        <w:sdtPr>
          <w:rPr>
            <w:rFonts w:asciiTheme="majorHAnsi" w:hAnsiTheme="majorHAnsi"/>
            <w:lang w:val="en-GB"/>
          </w:rPr>
          <w:id w:val="-1808312801"/>
          <w:citation/>
        </w:sdtPr>
        <w:sdtEndPr/>
        <w:sdtContent>
          <w:r w:rsidR="0077258C" w:rsidRPr="00E80090">
            <w:rPr>
              <w:rFonts w:asciiTheme="majorHAnsi" w:hAnsiTheme="majorHAnsi"/>
              <w:lang w:val="en-GB"/>
            </w:rPr>
            <w:fldChar w:fldCharType="begin"/>
          </w:r>
          <w:r w:rsidR="0077258C" w:rsidRPr="00E80090">
            <w:rPr>
              <w:rFonts w:asciiTheme="majorHAnsi" w:hAnsiTheme="majorHAnsi"/>
            </w:rPr>
            <w:instrText xml:space="preserve"> CITATION Lor05 \l 1033 </w:instrText>
          </w:r>
          <w:r w:rsidR="0077258C" w:rsidRPr="00E80090">
            <w:rPr>
              <w:rFonts w:asciiTheme="majorHAnsi" w:hAnsiTheme="majorHAnsi"/>
              <w:lang w:val="en-GB"/>
            </w:rPr>
            <w:fldChar w:fldCharType="separate"/>
          </w:r>
          <w:r w:rsidR="004D1237" w:rsidRPr="00E80090">
            <w:rPr>
              <w:rFonts w:asciiTheme="majorHAnsi" w:hAnsiTheme="majorHAnsi"/>
              <w:noProof/>
            </w:rPr>
            <w:t>(Alden, 2005)</w:t>
          </w:r>
          <w:r w:rsidR="0077258C" w:rsidRPr="00E80090">
            <w:rPr>
              <w:rFonts w:asciiTheme="majorHAnsi" w:hAnsiTheme="majorHAnsi"/>
              <w:lang w:val="en-GB"/>
            </w:rPr>
            <w:fldChar w:fldCharType="end"/>
          </w:r>
        </w:sdtContent>
      </w:sdt>
      <w:r w:rsidR="0077258C" w:rsidRPr="00E80090">
        <w:rPr>
          <w:rFonts w:asciiTheme="majorHAnsi" w:hAnsiTheme="majorHAnsi"/>
          <w:lang w:val="en-GB"/>
        </w:rPr>
        <w:t>.</w:t>
      </w:r>
      <w:r w:rsidR="001E51C3" w:rsidRPr="00E80090">
        <w:rPr>
          <w:rFonts w:asciiTheme="majorHAnsi" w:hAnsiTheme="majorHAnsi"/>
          <w:lang w:val="en-GB"/>
        </w:rPr>
        <w:t xml:space="preserve"> </w:t>
      </w:r>
      <w:r w:rsidR="00503407" w:rsidRPr="00E80090">
        <w:rPr>
          <w:rFonts w:asciiTheme="majorHAnsi" w:hAnsiTheme="majorHAnsi"/>
          <w:lang w:val="en-GB"/>
        </w:rPr>
        <w:t>As data on either is not available at the company, and due to the limited time and resources for the research these costs are not calculated at this stage.</w:t>
      </w:r>
    </w:p>
    <w:p w14:paraId="6E584339" w14:textId="77777777" w:rsidR="00001664" w:rsidRPr="00E80090" w:rsidRDefault="0092464C" w:rsidP="006412D2">
      <w:pPr>
        <w:pStyle w:val="Kop2"/>
        <w:numPr>
          <w:ilvl w:val="1"/>
          <w:numId w:val="12"/>
        </w:numPr>
        <w:spacing w:line="360" w:lineRule="auto"/>
        <w:rPr>
          <w:rFonts w:asciiTheme="majorHAnsi" w:hAnsiTheme="majorHAnsi"/>
          <w:lang w:val="en-GB"/>
        </w:rPr>
      </w:pPr>
      <w:bookmarkStart w:id="115" w:name="_Toc360633030"/>
      <w:bookmarkStart w:id="116" w:name="_Toc368290361"/>
      <w:bookmarkEnd w:id="109"/>
      <w:r w:rsidRPr="00E80090">
        <w:rPr>
          <w:rFonts w:asciiTheme="majorHAnsi" w:hAnsiTheme="majorHAnsi"/>
          <w:lang w:val="en-GB"/>
        </w:rPr>
        <w:t>Challenges</w:t>
      </w:r>
      <w:bookmarkEnd w:id="115"/>
      <w:bookmarkEnd w:id="116"/>
    </w:p>
    <w:p w14:paraId="6E58433A" w14:textId="77777777" w:rsidR="004D4EFE" w:rsidRPr="00E80090" w:rsidRDefault="004D4EFE" w:rsidP="004D4EFE">
      <w:pPr>
        <w:spacing w:after="200" w:line="360" w:lineRule="auto"/>
        <w:jc w:val="both"/>
        <w:rPr>
          <w:rFonts w:asciiTheme="majorHAnsi" w:hAnsiTheme="majorHAnsi"/>
          <w:lang w:val="en-GB"/>
        </w:rPr>
      </w:pPr>
      <w:r w:rsidRPr="00E80090">
        <w:rPr>
          <w:rFonts w:asciiTheme="majorHAnsi" w:hAnsiTheme="majorHAnsi"/>
          <w:lang w:val="en-GB"/>
        </w:rPr>
        <w:t xml:space="preserve">The </w:t>
      </w:r>
      <w:r w:rsidR="00190E77" w:rsidRPr="00E80090">
        <w:rPr>
          <w:rFonts w:asciiTheme="majorHAnsi" w:hAnsiTheme="majorHAnsi"/>
          <w:lang w:val="en-GB"/>
        </w:rPr>
        <w:t xml:space="preserve">potential </w:t>
      </w:r>
      <w:r w:rsidRPr="00E80090">
        <w:rPr>
          <w:rFonts w:asciiTheme="majorHAnsi" w:hAnsiTheme="majorHAnsi"/>
          <w:lang w:val="en-GB"/>
        </w:rPr>
        <w:t>obstacles that Sun Chemical may</w:t>
      </w:r>
      <w:r w:rsidR="00190E77" w:rsidRPr="00E80090">
        <w:rPr>
          <w:rFonts w:asciiTheme="majorHAnsi" w:hAnsiTheme="majorHAnsi"/>
          <w:lang w:val="en-GB"/>
        </w:rPr>
        <w:t xml:space="preserve"> face, while executing the migration project,</w:t>
      </w:r>
      <w:r w:rsidRPr="00E80090">
        <w:rPr>
          <w:rFonts w:asciiTheme="majorHAnsi" w:hAnsiTheme="majorHAnsi"/>
          <w:lang w:val="en-GB"/>
        </w:rPr>
        <w:t xml:space="preserve"> differ for the two</w:t>
      </w:r>
      <w:r w:rsidR="007A4F89" w:rsidRPr="00E80090">
        <w:rPr>
          <w:rFonts w:asciiTheme="majorHAnsi" w:hAnsiTheme="majorHAnsi"/>
          <w:lang w:val="en-GB"/>
        </w:rPr>
        <w:t xml:space="preserve"> proposed</w:t>
      </w:r>
      <w:r w:rsidRPr="00E80090">
        <w:rPr>
          <w:rFonts w:asciiTheme="majorHAnsi" w:hAnsiTheme="majorHAnsi"/>
          <w:lang w:val="en-GB"/>
        </w:rPr>
        <w:t xml:space="preserve"> banks. Because of that they are described in separate sections. </w:t>
      </w:r>
    </w:p>
    <w:p w14:paraId="6E58433B" w14:textId="77777777" w:rsidR="008E1C85" w:rsidRPr="00E80090" w:rsidRDefault="008E1C85" w:rsidP="008E1C85">
      <w:pPr>
        <w:pStyle w:val="Kop2"/>
        <w:numPr>
          <w:ilvl w:val="2"/>
          <w:numId w:val="12"/>
        </w:numPr>
        <w:spacing w:line="360" w:lineRule="auto"/>
        <w:rPr>
          <w:rFonts w:asciiTheme="majorHAnsi" w:hAnsiTheme="majorHAnsi"/>
          <w:sz w:val="24"/>
          <w:szCs w:val="24"/>
          <w:lang w:val="en-GB"/>
        </w:rPr>
      </w:pPr>
      <w:bookmarkStart w:id="117" w:name="_Toc360633031"/>
      <w:bookmarkStart w:id="118" w:name="_Toc368290362"/>
      <w:r w:rsidRPr="00E80090">
        <w:rPr>
          <w:rFonts w:asciiTheme="majorHAnsi" w:hAnsiTheme="majorHAnsi"/>
          <w:sz w:val="24"/>
          <w:szCs w:val="24"/>
          <w:lang w:val="en-GB"/>
        </w:rPr>
        <w:t>Citibank</w:t>
      </w:r>
      <w:bookmarkEnd w:id="117"/>
      <w:bookmarkEnd w:id="118"/>
    </w:p>
    <w:p w14:paraId="6E58433C" w14:textId="77777777" w:rsidR="00001664" w:rsidRPr="00E80090" w:rsidRDefault="0015541D" w:rsidP="00261CC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controllers in Bulgaria and Romania have pointed out that they foresee issues with the migration of their customers. </w:t>
      </w:r>
      <w:r w:rsidR="00001664" w:rsidRPr="00E80090">
        <w:rPr>
          <w:rFonts w:asciiTheme="majorHAnsi" w:hAnsiTheme="majorHAnsi" w:cs="Cambria"/>
          <w:lang w:val="en-GB" w:eastAsia="en-US"/>
        </w:rPr>
        <w:t xml:space="preserve"> The</w:t>
      </w:r>
      <w:r w:rsidR="004D4EFE" w:rsidRPr="00E80090">
        <w:rPr>
          <w:rFonts w:asciiTheme="majorHAnsi" w:hAnsiTheme="majorHAnsi" w:cs="Cambria"/>
          <w:lang w:val="en-GB" w:eastAsia="en-US"/>
        </w:rPr>
        <w:t xml:space="preserve"> process is expected to take more than three </w:t>
      </w:r>
      <w:r w:rsidR="004D4EFE" w:rsidRPr="00E80090">
        <w:rPr>
          <w:rFonts w:asciiTheme="majorHAnsi" w:hAnsiTheme="majorHAnsi" w:cs="Cambria"/>
          <w:lang w:val="en-GB" w:eastAsia="en-US"/>
        </w:rPr>
        <w:lastRenderedPageBreak/>
        <w:t>months</w:t>
      </w:r>
      <w:r w:rsidR="00001664" w:rsidRPr="00E80090">
        <w:rPr>
          <w:rFonts w:asciiTheme="majorHAnsi" w:hAnsiTheme="majorHAnsi" w:cs="Cambria"/>
          <w:lang w:val="en-GB" w:eastAsia="en-US"/>
        </w:rPr>
        <w:t xml:space="preserve"> because of the payment terms </w:t>
      </w:r>
      <w:r w:rsidR="004D4EFE" w:rsidRPr="00E80090">
        <w:rPr>
          <w:rFonts w:asciiTheme="majorHAnsi" w:hAnsiTheme="majorHAnsi" w:cs="Cambria"/>
          <w:lang w:val="en-GB" w:eastAsia="en-US"/>
        </w:rPr>
        <w:t xml:space="preserve">of 60 to 90 days </w:t>
      </w:r>
      <w:r w:rsidR="00001664" w:rsidRPr="00E80090">
        <w:rPr>
          <w:rFonts w:asciiTheme="majorHAnsi" w:hAnsiTheme="majorHAnsi" w:cs="Cambria"/>
          <w:lang w:val="en-GB" w:eastAsia="en-US"/>
        </w:rPr>
        <w:t xml:space="preserve">offered to their customers. </w:t>
      </w:r>
      <w:r w:rsidRPr="00E80090">
        <w:rPr>
          <w:rFonts w:asciiTheme="majorHAnsi" w:hAnsiTheme="majorHAnsi" w:cs="Cambria"/>
          <w:lang w:val="en-GB" w:eastAsia="en-US"/>
        </w:rPr>
        <w:t xml:space="preserve">Additionally, both entities </w:t>
      </w:r>
      <w:r w:rsidR="00001664" w:rsidRPr="00E80090">
        <w:rPr>
          <w:rFonts w:asciiTheme="majorHAnsi" w:hAnsiTheme="majorHAnsi" w:cs="Cambria"/>
          <w:lang w:val="en-GB" w:eastAsia="en-US"/>
        </w:rPr>
        <w:t xml:space="preserve">experience problems with customers paying late or not paying at all. They </w:t>
      </w:r>
      <w:r w:rsidRPr="00E80090">
        <w:rPr>
          <w:rFonts w:asciiTheme="majorHAnsi" w:hAnsiTheme="majorHAnsi" w:cs="Cambria"/>
          <w:lang w:val="en-GB" w:eastAsia="en-US"/>
        </w:rPr>
        <w:t xml:space="preserve">fear </w:t>
      </w:r>
      <w:r w:rsidR="00001664" w:rsidRPr="00E80090">
        <w:rPr>
          <w:rFonts w:asciiTheme="majorHAnsi" w:hAnsiTheme="majorHAnsi" w:cs="Cambria"/>
          <w:lang w:val="en-GB" w:eastAsia="en-US"/>
        </w:rPr>
        <w:t xml:space="preserve">that their </w:t>
      </w:r>
      <w:r w:rsidR="004D4EFE" w:rsidRPr="00E80090">
        <w:rPr>
          <w:rFonts w:asciiTheme="majorHAnsi" w:hAnsiTheme="majorHAnsi" w:cs="Cambria"/>
          <w:lang w:val="en-GB" w:eastAsia="en-US"/>
        </w:rPr>
        <w:t>clients</w:t>
      </w:r>
      <w:r w:rsidR="00001664" w:rsidRPr="00E80090">
        <w:rPr>
          <w:rFonts w:asciiTheme="majorHAnsi" w:hAnsiTheme="majorHAnsi" w:cs="Cambria"/>
          <w:lang w:val="en-GB" w:eastAsia="en-US"/>
        </w:rPr>
        <w:t xml:space="preserve"> may use the bank migration of the </w:t>
      </w:r>
      <w:r w:rsidR="000D1D9D" w:rsidRPr="00E80090">
        <w:rPr>
          <w:rFonts w:asciiTheme="majorHAnsi" w:hAnsiTheme="majorHAnsi" w:cs="Cambria"/>
          <w:lang w:val="en-GB" w:eastAsia="en-US"/>
        </w:rPr>
        <w:t>branch</w:t>
      </w:r>
      <w:r w:rsidR="00001664" w:rsidRPr="00E80090">
        <w:rPr>
          <w:rFonts w:asciiTheme="majorHAnsi" w:hAnsiTheme="majorHAnsi" w:cs="Cambria"/>
          <w:lang w:val="en-GB" w:eastAsia="en-US"/>
        </w:rPr>
        <w:t xml:space="preserve"> as an excuse for not paying. </w:t>
      </w:r>
    </w:p>
    <w:p w14:paraId="6E58433D" w14:textId="77777777" w:rsidR="00001664" w:rsidRPr="00E80090" w:rsidRDefault="00001664" w:rsidP="00261CC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Furthermore, </w:t>
      </w:r>
      <w:r w:rsidR="0015541D" w:rsidRPr="00E80090">
        <w:rPr>
          <w:rFonts w:asciiTheme="majorHAnsi" w:hAnsiTheme="majorHAnsi" w:cs="Cambria"/>
          <w:lang w:val="en-GB" w:eastAsia="en-US"/>
        </w:rPr>
        <w:t>both</w:t>
      </w:r>
      <w:r w:rsidRPr="00E80090">
        <w:rPr>
          <w:rFonts w:asciiTheme="majorHAnsi" w:hAnsiTheme="majorHAnsi" w:cs="Cambria"/>
          <w:lang w:val="en-GB" w:eastAsia="en-US"/>
        </w:rPr>
        <w:t xml:space="preserve"> controllers express co</w:t>
      </w:r>
      <w:r w:rsidR="002E3F41" w:rsidRPr="00E80090">
        <w:rPr>
          <w:rFonts w:asciiTheme="majorHAnsi" w:hAnsiTheme="majorHAnsi" w:cs="Cambria"/>
          <w:lang w:val="en-GB" w:eastAsia="en-US"/>
        </w:rPr>
        <w:t>ncerns about the removal of petty cash</w:t>
      </w:r>
      <w:r w:rsidRPr="00E80090">
        <w:rPr>
          <w:rFonts w:asciiTheme="majorHAnsi" w:hAnsiTheme="majorHAnsi" w:cs="Cambria"/>
          <w:lang w:val="en-GB" w:eastAsia="en-US"/>
        </w:rPr>
        <w:t xml:space="preserve">. The method is still </w:t>
      </w:r>
      <w:r w:rsidR="00F30EEE" w:rsidRPr="00E80090">
        <w:rPr>
          <w:rFonts w:asciiTheme="majorHAnsi" w:hAnsiTheme="majorHAnsi" w:cs="Cambria"/>
          <w:lang w:val="en-GB" w:eastAsia="en-US"/>
        </w:rPr>
        <w:t xml:space="preserve">widely </w:t>
      </w:r>
      <w:r w:rsidRPr="00E80090">
        <w:rPr>
          <w:rFonts w:asciiTheme="majorHAnsi" w:hAnsiTheme="majorHAnsi" w:cs="Cambria"/>
          <w:lang w:val="en-GB" w:eastAsia="en-US"/>
        </w:rPr>
        <w:t>used</w:t>
      </w:r>
      <w:r w:rsidR="00F30EEE" w:rsidRPr="00E80090">
        <w:rPr>
          <w:rFonts w:asciiTheme="majorHAnsi" w:hAnsiTheme="majorHAnsi" w:cs="Cambria"/>
          <w:lang w:val="en-GB" w:eastAsia="en-US"/>
        </w:rPr>
        <w:t xml:space="preserve"> in the</w:t>
      </w:r>
      <w:r w:rsidRPr="00E80090">
        <w:rPr>
          <w:rFonts w:asciiTheme="majorHAnsi" w:hAnsiTheme="majorHAnsi" w:cs="Cambria"/>
          <w:lang w:val="en-GB" w:eastAsia="en-US"/>
        </w:rPr>
        <w:t>se countries for small local expenses</w:t>
      </w:r>
      <w:r w:rsidR="007B6A5E" w:rsidRPr="00E80090">
        <w:rPr>
          <w:rFonts w:asciiTheme="majorHAnsi" w:hAnsiTheme="majorHAnsi" w:cs="Cambria"/>
          <w:lang w:val="en-GB" w:eastAsia="en-US"/>
        </w:rPr>
        <w:t xml:space="preserve"> such as office supplies, </w:t>
      </w:r>
      <w:r w:rsidRPr="00E80090">
        <w:rPr>
          <w:rFonts w:asciiTheme="majorHAnsi" w:hAnsiTheme="majorHAnsi" w:cs="Cambria"/>
          <w:lang w:val="en-GB" w:eastAsia="en-US"/>
        </w:rPr>
        <w:t xml:space="preserve">travelling and representative </w:t>
      </w:r>
      <w:r w:rsidR="0015541D" w:rsidRPr="00E80090">
        <w:rPr>
          <w:rFonts w:asciiTheme="majorHAnsi" w:hAnsiTheme="majorHAnsi" w:cs="Cambria"/>
          <w:lang w:val="en-GB" w:eastAsia="en-US"/>
        </w:rPr>
        <w:t>costs</w:t>
      </w:r>
      <w:r w:rsidRPr="00E80090">
        <w:rPr>
          <w:rFonts w:asciiTheme="majorHAnsi" w:hAnsiTheme="majorHAnsi" w:cs="Cambria"/>
          <w:lang w:val="en-GB" w:eastAsia="en-US"/>
        </w:rPr>
        <w:t xml:space="preserve">. The controllers point out that </w:t>
      </w:r>
      <w:r w:rsidR="003A6782" w:rsidRPr="00E80090">
        <w:rPr>
          <w:rFonts w:asciiTheme="majorHAnsi" w:hAnsiTheme="majorHAnsi" w:cs="Cambria"/>
          <w:lang w:val="en-GB" w:eastAsia="en-US"/>
        </w:rPr>
        <w:t>some</w:t>
      </w:r>
      <w:r w:rsidRPr="00E80090">
        <w:rPr>
          <w:rFonts w:asciiTheme="majorHAnsi" w:hAnsiTheme="majorHAnsi" w:cs="Cambria"/>
          <w:lang w:val="en-GB" w:eastAsia="en-US"/>
        </w:rPr>
        <w:t xml:space="preserve"> local vendors would not accept credit or debit cards as a payment instrument. As a result</w:t>
      </w:r>
      <w:r w:rsidR="006F37C6" w:rsidRPr="00E80090">
        <w:rPr>
          <w:rFonts w:asciiTheme="majorHAnsi" w:hAnsiTheme="majorHAnsi" w:cs="Cambria"/>
          <w:lang w:val="en-GB" w:eastAsia="en-US"/>
        </w:rPr>
        <w:t>,</w:t>
      </w:r>
      <w:r w:rsidRPr="00E80090">
        <w:rPr>
          <w:rFonts w:asciiTheme="majorHAnsi" w:hAnsiTheme="majorHAnsi" w:cs="Cambria"/>
          <w:lang w:val="en-GB" w:eastAsia="en-US"/>
        </w:rPr>
        <w:t xml:space="preserve"> they advise that the complete removal of </w:t>
      </w:r>
      <w:r w:rsidR="00F30EEE" w:rsidRPr="00E80090">
        <w:rPr>
          <w:rFonts w:asciiTheme="majorHAnsi" w:hAnsiTheme="majorHAnsi" w:cs="Cambria"/>
          <w:lang w:val="en-GB" w:eastAsia="en-US"/>
        </w:rPr>
        <w:t xml:space="preserve">petty </w:t>
      </w:r>
      <w:r w:rsidR="0011381C" w:rsidRPr="00E80090">
        <w:rPr>
          <w:rFonts w:asciiTheme="majorHAnsi" w:hAnsiTheme="majorHAnsi" w:cs="Cambria"/>
          <w:lang w:val="en-GB" w:eastAsia="en-US"/>
        </w:rPr>
        <w:t>cash would not be possible, which poses a security concern for the company.</w:t>
      </w:r>
    </w:p>
    <w:p w14:paraId="6E58433E" w14:textId="77777777" w:rsidR="009C0AF4" w:rsidRPr="00E80090" w:rsidRDefault="0011381C" w:rsidP="009C0AF4">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Additionally, </w:t>
      </w:r>
      <w:r w:rsidR="00291F2B" w:rsidRPr="00E80090">
        <w:rPr>
          <w:rFonts w:asciiTheme="majorHAnsi" w:hAnsiTheme="majorHAnsi" w:cs="Cambria"/>
          <w:lang w:val="en-GB" w:eastAsia="en-US"/>
        </w:rPr>
        <w:t xml:space="preserve">when payroll is concerned </w:t>
      </w:r>
      <w:r w:rsidRPr="00E80090">
        <w:rPr>
          <w:rFonts w:asciiTheme="majorHAnsi" w:hAnsiTheme="majorHAnsi" w:cs="Cambria"/>
          <w:lang w:val="en-GB" w:eastAsia="en-US"/>
        </w:rPr>
        <w:t>t</w:t>
      </w:r>
      <w:r w:rsidR="009C0AF4" w:rsidRPr="00E80090">
        <w:rPr>
          <w:rFonts w:asciiTheme="majorHAnsi" w:hAnsiTheme="majorHAnsi" w:cs="Cambria"/>
          <w:lang w:val="en-GB" w:eastAsia="en-US"/>
        </w:rPr>
        <w:t xml:space="preserve">here </w:t>
      </w:r>
      <w:r w:rsidR="00291F2B" w:rsidRPr="00E80090">
        <w:rPr>
          <w:rFonts w:asciiTheme="majorHAnsi" w:hAnsiTheme="majorHAnsi" w:cs="Cambria"/>
          <w:lang w:val="en-GB" w:eastAsia="en-US"/>
        </w:rPr>
        <w:t>may be</w:t>
      </w:r>
      <w:r w:rsidR="009C0AF4" w:rsidRPr="00E80090">
        <w:rPr>
          <w:rFonts w:asciiTheme="majorHAnsi" w:hAnsiTheme="majorHAnsi" w:cs="Cambria"/>
          <w:lang w:val="en-GB" w:eastAsia="en-US"/>
        </w:rPr>
        <w:t xml:space="preserve"> an issue regarding the privacy of</w:t>
      </w:r>
      <w:r w:rsidR="0017311E" w:rsidRPr="00E80090">
        <w:rPr>
          <w:rFonts w:asciiTheme="majorHAnsi" w:hAnsiTheme="majorHAnsi" w:cs="Cambria"/>
          <w:lang w:val="en-GB" w:eastAsia="en-US"/>
        </w:rPr>
        <w:t xml:space="preserve"> the employees. As the centralis</w:t>
      </w:r>
      <w:r w:rsidR="009C0AF4" w:rsidRPr="00E80090">
        <w:rPr>
          <w:rFonts w:asciiTheme="majorHAnsi" w:hAnsiTheme="majorHAnsi" w:cs="Cambria"/>
          <w:lang w:val="en-GB" w:eastAsia="en-US"/>
        </w:rPr>
        <w:t xml:space="preserve">ation of banking services would </w:t>
      </w:r>
      <w:r w:rsidR="00FD0D4B" w:rsidRPr="00E80090">
        <w:rPr>
          <w:rFonts w:asciiTheme="majorHAnsi" w:hAnsiTheme="majorHAnsi" w:cs="Cambria"/>
          <w:lang w:val="en-GB" w:eastAsia="en-US"/>
        </w:rPr>
        <w:t>allow for greater visibility</w:t>
      </w:r>
      <w:r w:rsidR="009C0AF4" w:rsidRPr="00E80090">
        <w:rPr>
          <w:rFonts w:asciiTheme="majorHAnsi" w:hAnsiTheme="majorHAnsi" w:cs="Cambria"/>
          <w:lang w:val="en-GB" w:eastAsia="en-US"/>
        </w:rPr>
        <w:t xml:space="preserve">, the payroll details of the CEE workers would be available to more people within the corporation. This may </w:t>
      </w:r>
      <w:r w:rsidR="00FD0D4B" w:rsidRPr="00E80090">
        <w:rPr>
          <w:rFonts w:asciiTheme="majorHAnsi" w:hAnsiTheme="majorHAnsi" w:cs="Cambria"/>
          <w:lang w:val="en-GB" w:eastAsia="en-US"/>
        </w:rPr>
        <w:t>assist in increasing the transparency in</w:t>
      </w:r>
      <w:r w:rsidR="009C0AF4" w:rsidRPr="00E80090">
        <w:rPr>
          <w:rFonts w:asciiTheme="majorHAnsi" w:hAnsiTheme="majorHAnsi" w:cs="Cambria"/>
          <w:lang w:val="en-GB" w:eastAsia="en-US"/>
        </w:rPr>
        <w:t xml:space="preserve"> the firm but poses threats to the local level. </w:t>
      </w:r>
    </w:p>
    <w:p w14:paraId="6E58433F" w14:textId="77777777" w:rsidR="008E1C85" w:rsidRPr="00E80090" w:rsidRDefault="00F57517" w:rsidP="008E1C85">
      <w:pPr>
        <w:pStyle w:val="Kop2"/>
        <w:numPr>
          <w:ilvl w:val="2"/>
          <w:numId w:val="12"/>
        </w:numPr>
        <w:spacing w:line="360" w:lineRule="auto"/>
        <w:rPr>
          <w:rFonts w:asciiTheme="majorHAnsi" w:hAnsiTheme="majorHAnsi"/>
          <w:sz w:val="24"/>
          <w:szCs w:val="24"/>
          <w:lang w:val="en-GB"/>
        </w:rPr>
      </w:pPr>
      <w:bookmarkStart w:id="119" w:name="_Toc368290363"/>
      <w:r w:rsidRPr="00E80090">
        <w:rPr>
          <w:rFonts w:asciiTheme="majorHAnsi" w:hAnsiTheme="majorHAnsi"/>
          <w:lang w:val="en-GB"/>
        </w:rPr>
        <w:t>UniCredit</w:t>
      </w:r>
      <w:bookmarkEnd w:id="119"/>
    </w:p>
    <w:p w14:paraId="6E584340" w14:textId="77777777" w:rsidR="00F30EEE" w:rsidRPr="00E80090" w:rsidRDefault="00F30EEE" w:rsidP="00F30EEE">
      <w:pPr>
        <w:spacing w:after="200" w:line="360" w:lineRule="auto"/>
        <w:jc w:val="both"/>
        <w:rPr>
          <w:rFonts w:asciiTheme="majorHAnsi" w:hAnsiTheme="majorHAnsi"/>
          <w:lang w:val="en-GB"/>
        </w:rPr>
      </w:pPr>
      <w:r w:rsidRPr="00E80090">
        <w:rPr>
          <w:rFonts w:asciiTheme="majorHAnsi" w:hAnsiTheme="majorHAnsi"/>
          <w:lang w:val="en-GB"/>
        </w:rPr>
        <w:t xml:space="preserve">From a security perspective </w:t>
      </w:r>
      <w:r w:rsidR="003A6782" w:rsidRPr="00E80090">
        <w:rPr>
          <w:rFonts w:asciiTheme="majorHAnsi" w:hAnsiTheme="majorHAnsi"/>
          <w:lang w:val="en-GB"/>
        </w:rPr>
        <w:t xml:space="preserve">it would be beneficial for </w:t>
      </w:r>
      <w:r w:rsidRPr="00E80090">
        <w:rPr>
          <w:rFonts w:asciiTheme="majorHAnsi" w:hAnsiTheme="majorHAnsi"/>
          <w:lang w:val="en-GB"/>
        </w:rPr>
        <w:t>Sun Chemical to have all local payments executed through preformats. T</w:t>
      </w:r>
      <w:r w:rsidR="00E83372" w:rsidRPr="00E80090">
        <w:rPr>
          <w:rFonts w:asciiTheme="majorHAnsi" w:hAnsiTheme="majorHAnsi"/>
          <w:lang w:val="en-GB"/>
        </w:rPr>
        <w:t>he latter</w:t>
      </w:r>
      <w:r w:rsidRPr="00E80090">
        <w:rPr>
          <w:rFonts w:asciiTheme="majorHAnsi" w:hAnsiTheme="majorHAnsi"/>
          <w:lang w:val="en-GB"/>
        </w:rPr>
        <w:t xml:space="preserve"> are payment templates, created prior to the transaction for each particular beneficiary. </w:t>
      </w:r>
      <w:r w:rsidR="0011381C" w:rsidRPr="00E80090">
        <w:rPr>
          <w:rFonts w:asciiTheme="majorHAnsi" w:hAnsiTheme="majorHAnsi"/>
          <w:lang w:val="en-GB"/>
        </w:rPr>
        <w:t>Such instruments would restrict the possibilities of mistakes and fraud</w:t>
      </w:r>
      <w:r w:rsidR="00F84FA7" w:rsidRPr="00E80090">
        <w:rPr>
          <w:rFonts w:asciiTheme="majorHAnsi" w:hAnsiTheme="majorHAnsi"/>
          <w:lang w:val="en-GB"/>
        </w:rPr>
        <w:t xml:space="preserve"> as they </w:t>
      </w:r>
      <w:r w:rsidR="00F00F40" w:rsidRPr="00E80090">
        <w:rPr>
          <w:rFonts w:asciiTheme="majorHAnsi" w:hAnsiTheme="majorHAnsi"/>
          <w:lang w:val="en-GB"/>
        </w:rPr>
        <w:t xml:space="preserve">usually </w:t>
      </w:r>
      <w:r w:rsidR="00F84FA7" w:rsidRPr="00E80090">
        <w:rPr>
          <w:rFonts w:asciiTheme="majorHAnsi" w:hAnsiTheme="majorHAnsi"/>
          <w:lang w:val="en-GB"/>
        </w:rPr>
        <w:t>do not allow for amendments on the local level</w:t>
      </w:r>
      <w:r w:rsidR="002E4EA9" w:rsidRPr="00E80090">
        <w:rPr>
          <w:rFonts w:asciiTheme="majorHAnsi" w:hAnsiTheme="majorHAnsi"/>
          <w:lang w:val="en-GB"/>
        </w:rPr>
        <w:t xml:space="preserve"> without central approval</w:t>
      </w:r>
      <w:r w:rsidR="0011381C" w:rsidRPr="00E80090">
        <w:rPr>
          <w:rFonts w:asciiTheme="majorHAnsi" w:hAnsiTheme="majorHAnsi"/>
          <w:lang w:val="en-GB"/>
        </w:rPr>
        <w:t xml:space="preserve">. </w:t>
      </w:r>
      <w:r w:rsidR="00E83372" w:rsidRPr="00E80090">
        <w:rPr>
          <w:rFonts w:asciiTheme="majorHAnsi" w:hAnsiTheme="majorHAnsi"/>
          <w:lang w:val="en-GB"/>
        </w:rPr>
        <w:t xml:space="preserve">Even though </w:t>
      </w:r>
      <w:r w:rsidR="00F57517" w:rsidRPr="00E80090">
        <w:rPr>
          <w:rFonts w:asciiTheme="majorHAnsi" w:hAnsiTheme="majorHAnsi"/>
          <w:lang w:val="en-GB"/>
        </w:rPr>
        <w:t xml:space="preserve">UniCredit </w:t>
      </w:r>
      <w:r w:rsidR="00E83372" w:rsidRPr="00E80090">
        <w:rPr>
          <w:rFonts w:asciiTheme="majorHAnsi" w:hAnsiTheme="majorHAnsi"/>
          <w:lang w:val="en-GB"/>
        </w:rPr>
        <w:t xml:space="preserve">can deliver such service, </w:t>
      </w:r>
      <w:r w:rsidR="00687C08" w:rsidRPr="00E80090">
        <w:rPr>
          <w:rFonts w:asciiTheme="majorHAnsi" w:hAnsiTheme="majorHAnsi"/>
          <w:lang w:val="en-GB"/>
        </w:rPr>
        <w:t xml:space="preserve">it cannot block the use of free format </w:t>
      </w:r>
      <w:r w:rsidR="009F7F47" w:rsidRPr="00E80090">
        <w:rPr>
          <w:rFonts w:asciiTheme="majorHAnsi" w:hAnsiTheme="majorHAnsi"/>
          <w:lang w:val="en-GB"/>
        </w:rPr>
        <w:t>transfers</w:t>
      </w:r>
      <w:r w:rsidR="00687C08" w:rsidRPr="00E80090">
        <w:rPr>
          <w:rFonts w:asciiTheme="majorHAnsi" w:hAnsiTheme="majorHAnsi"/>
          <w:lang w:val="en-GB"/>
        </w:rPr>
        <w:t>. Moreover,</w:t>
      </w:r>
      <w:r w:rsidR="00E83372" w:rsidRPr="00E80090">
        <w:rPr>
          <w:rFonts w:asciiTheme="majorHAnsi" w:hAnsiTheme="majorHAnsi"/>
          <w:lang w:val="en-GB"/>
        </w:rPr>
        <w:t xml:space="preserve"> </w:t>
      </w:r>
      <w:r w:rsidR="00CC067A" w:rsidRPr="00E80090">
        <w:rPr>
          <w:rFonts w:asciiTheme="majorHAnsi" w:hAnsiTheme="majorHAnsi"/>
          <w:lang w:val="en-GB"/>
        </w:rPr>
        <w:t xml:space="preserve">in its reporting </w:t>
      </w:r>
      <w:r w:rsidR="00EA4A91" w:rsidRPr="00E80090">
        <w:rPr>
          <w:rFonts w:asciiTheme="majorHAnsi" w:hAnsiTheme="majorHAnsi"/>
          <w:lang w:val="en-GB"/>
        </w:rPr>
        <w:t>there is no separation between</w:t>
      </w:r>
      <w:r w:rsidR="00E83372" w:rsidRPr="00E80090">
        <w:rPr>
          <w:rFonts w:asciiTheme="majorHAnsi" w:hAnsiTheme="majorHAnsi"/>
          <w:lang w:val="en-GB"/>
        </w:rPr>
        <w:t xml:space="preserve"> payments made on </w:t>
      </w:r>
      <w:r w:rsidR="00EA4A91" w:rsidRPr="00E80090">
        <w:rPr>
          <w:rFonts w:asciiTheme="majorHAnsi" w:hAnsiTheme="majorHAnsi"/>
          <w:lang w:val="en-GB"/>
        </w:rPr>
        <w:t xml:space="preserve">a </w:t>
      </w:r>
      <w:r w:rsidR="00E83372" w:rsidRPr="00E80090">
        <w:rPr>
          <w:rFonts w:asciiTheme="majorHAnsi" w:hAnsiTheme="majorHAnsi"/>
          <w:lang w:val="en-GB"/>
        </w:rPr>
        <w:t xml:space="preserve">preformat basis and </w:t>
      </w:r>
      <w:r w:rsidR="00EA4A91" w:rsidRPr="00E80090">
        <w:rPr>
          <w:rFonts w:asciiTheme="majorHAnsi" w:hAnsiTheme="majorHAnsi"/>
          <w:lang w:val="en-GB"/>
        </w:rPr>
        <w:t>those executed through</w:t>
      </w:r>
      <w:r w:rsidR="00E83372" w:rsidRPr="00E80090">
        <w:rPr>
          <w:rFonts w:asciiTheme="majorHAnsi" w:hAnsiTheme="majorHAnsi"/>
          <w:lang w:val="en-GB"/>
        </w:rPr>
        <w:t xml:space="preserve"> a free format wire. This creates compliance issues for the corporation as it needs to meet such standards for it reporting. </w:t>
      </w:r>
      <w:r w:rsidRPr="00E80090">
        <w:rPr>
          <w:rFonts w:asciiTheme="majorHAnsi" w:hAnsiTheme="majorHAnsi"/>
          <w:lang w:val="en-GB"/>
        </w:rPr>
        <w:t xml:space="preserve"> </w:t>
      </w:r>
    </w:p>
    <w:p w14:paraId="6E584341" w14:textId="77777777" w:rsidR="00A76B2A" w:rsidRPr="00E80090" w:rsidRDefault="0015541D" w:rsidP="002D6C27">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Additional complications may arise due to the structure of the bank. UniCredit </w:t>
      </w:r>
      <w:r w:rsidR="005D4960" w:rsidRPr="00E80090">
        <w:rPr>
          <w:rFonts w:asciiTheme="majorHAnsi" w:hAnsiTheme="majorHAnsi" w:cs="Cambria"/>
          <w:lang w:val="en-GB" w:eastAsia="en-US"/>
        </w:rPr>
        <w:t xml:space="preserve">has a central overlay structure that oversees </w:t>
      </w:r>
      <w:r w:rsidR="00774072" w:rsidRPr="00E80090">
        <w:rPr>
          <w:rFonts w:asciiTheme="majorHAnsi" w:hAnsiTheme="majorHAnsi" w:cs="Cambria"/>
          <w:lang w:val="en-GB" w:eastAsia="en-US"/>
        </w:rPr>
        <w:t>the local branches. However, the</w:t>
      </w:r>
      <w:r w:rsidR="005D4960" w:rsidRPr="00E80090">
        <w:rPr>
          <w:rFonts w:asciiTheme="majorHAnsi" w:hAnsiTheme="majorHAnsi" w:cs="Cambria"/>
          <w:lang w:val="en-GB" w:eastAsia="en-US"/>
        </w:rPr>
        <w:t>se branches are fairly independent and vary in the services th</w:t>
      </w:r>
      <w:r w:rsidR="00706E92" w:rsidRPr="00E80090">
        <w:rPr>
          <w:rFonts w:asciiTheme="majorHAnsi" w:hAnsiTheme="majorHAnsi" w:cs="Cambria"/>
          <w:lang w:val="en-GB" w:eastAsia="en-US"/>
        </w:rPr>
        <w:t xml:space="preserve">ey deliver.  The </w:t>
      </w:r>
      <w:r w:rsidR="00FE4F2D" w:rsidRPr="00E80090">
        <w:rPr>
          <w:rFonts w:asciiTheme="majorHAnsi" w:hAnsiTheme="majorHAnsi" w:cs="Cambria"/>
          <w:lang w:val="en-GB" w:eastAsia="en-US"/>
        </w:rPr>
        <w:t>bank</w:t>
      </w:r>
      <w:r w:rsidR="00706E92" w:rsidRPr="00E80090">
        <w:rPr>
          <w:rFonts w:asciiTheme="majorHAnsi" w:hAnsiTheme="majorHAnsi" w:cs="Cambria"/>
          <w:lang w:val="en-GB" w:eastAsia="en-US"/>
        </w:rPr>
        <w:t xml:space="preserve"> structure requires the company to first discuss the migration with the central office of </w:t>
      </w:r>
      <w:r w:rsidR="00F57517" w:rsidRPr="00E80090">
        <w:rPr>
          <w:rFonts w:asciiTheme="majorHAnsi" w:hAnsiTheme="majorHAnsi"/>
          <w:lang w:val="en-GB"/>
        </w:rPr>
        <w:t xml:space="preserve">UniCredit </w:t>
      </w:r>
      <w:r w:rsidR="00706E92" w:rsidRPr="00E80090">
        <w:rPr>
          <w:rFonts w:asciiTheme="majorHAnsi" w:hAnsiTheme="majorHAnsi" w:cs="Cambria"/>
          <w:lang w:val="en-GB" w:eastAsia="en-US"/>
        </w:rPr>
        <w:t xml:space="preserve">and then with the local subsidiary. This may result in confusion, delays or </w:t>
      </w:r>
      <w:r w:rsidR="00CB4376" w:rsidRPr="00E80090">
        <w:rPr>
          <w:rFonts w:asciiTheme="majorHAnsi" w:hAnsiTheme="majorHAnsi" w:cs="Cambria"/>
          <w:lang w:val="en-GB" w:eastAsia="en-US"/>
        </w:rPr>
        <w:t>miscommunication</w:t>
      </w:r>
      <w:r w:rsidR="00706E92" w:rsidRPr="00E80090">
        <w:rPr>
          <w:rFonts w:asciiTheme="majorHAnsi" w:hAnsiTheme="majorHAnsi" w:cs="Cambria"/>
          <w:lang w:val="en-GB" w:eastAsia="en-US"/>
        </w:rPr>
        <w:t xml:space="preserve">. </w:t>
      </w:r>
      <w:r w:rsidR="00EA4A91" w:rsidRPr="00E80090">
        <w:rPr>
          <w:rFonts w:asciiTheme="majorHAnsi" w:hAnsiTheme="majorHAnsi" w:cs="Cambria"/>
          <w:lang w:val="en-GB" w:eastAsia="en-US"/>
        </w:rPr>
        <w:t xml:space="preserve">Additionally, </w:t>
      </w:r>
      <w:r w:rsidR="00AD5848" w:rsidRPr="00E80090">
        <w:rPr>
          <w:rFonts w:asciiTheme="majorHAnsi" w:hAnsiTheme="majorHAnsi" w:cs="Cambria"/>
          <w:lang w:val="en-GB" w:eastAsia="en-US"/>
        </w:rPr>
        <w:t xml:space="preserve">the local online banking platforms cannot be linked to </w:t>
      </w:r>
      <w:r w:rsidR="00D676BF" w:rsidRPr="00E80090">
        <w:rPr>
          <w:rFonts w:asciiTheme="majorHAnsi" w:hAnsiTheme="majorHAnsi" w:cs="Cambria"/>
          <w:lang w:val="en-GB" w:eastAsia="en-US"/>
        </w:rPr>
        <w:t>the central system</w:t>
      </w:r>
      <w:r w:rsidR="00AD5848" w:rsidRPr="00E80090">
        <w:rPr>
          <w:rFonts w:asciiTheme="majorHAnsi" w:hAnsiTheme="majorHAnsi" w:cs="Cambria"/>
          <w:lang w:val="en-GB" w:eastAsia="en-US"/>
        </w:rPr>
        <w:t xml:space="preserve"> or to each other. This will prevent</w:t>
      </w:r>
      <w:r w:rsidR="00EA4A91" w:rsidRPr="00E80090">
        <w:rPr>
          <w:rFonts w:asciiTheme="majorHAnsi" w:hAnsiTheme="majorHAnsi" w:cs="Cambria"/>
          <w:lang w:val="en-GB" w:eastAsia="en-US"/>
        </w:rPr>
        <w:t xml:space="preserve"> the SBU controller </w:t>
      </w:r>
      <w:r w:rsidR="00F026EA" w:rsidRPr="00E80090">
        <w:rPr>
          <w:rFonts w:asciiTheme="majorHAnsi" w:hAnsiTheme="majorHAnsi" w:cs="Cambria"/>
          <w:lang w:val="en-GB" w:eastAsia="en-US"/>
        </w:rPr>
        <w:t>in Austria and</w:t>
      </w:r>
      <w:r w:rsidR="00EA4A91" w:rsidRPr="00E80090">
        <w:rPr>
          <w:rFonts w:asciiTheme="majorHAnsi" w:hAnsiTheme="majorHAnsi" w:cs="Cambria"/>
          <w:lang w:val="en-GB" w:eastAsia="en-US"/>
        </w:rPr>
        <w:t xml:space="preserve"> Treasury employees </w:t>
      </w:r>
      <w:r w:rsidR="00AD5848" w:rsidRPr="00E80090">
        <w:rPr>
          <w:rFonts w:asciiTheme="majorHAnsi" w:hAnsiTheme="majorHAnsi" w:cs="Cambria"/>
          <w:lang w:val="en-GB" w:eastAsia="en-US"/>
        </w:rPr>
        <w:lastRenderedPageBreak/>
        <w:t>from</w:t>
      </w:r>
      <w:r w:rsidR="00EA4A91" w:rsidRPr="00E80090">
        <w:rPr>
          <w:rFonts w:asciiTheme="majorHAnsi" w:hAnsiTheme="majorHAnsi" w:cs="Cambria"/>
          <w:lang w:val="en-GB" w:eastAsia="en-US"/>
        </w:rPr>
        <w:t xml:space="preserve"> access</w:t>
      </w:r>
      <w:r w:rsidR="00AD5848" w:rsidRPr="00E80090">
        <w:rPr>
          <w:rFonts w:asciiTheme="majorHAnsi" w:hAnsiTheme="majorHAnsi" w:cs="Cambria"/>
          <w:lang w:val="en-GB" w:eastAsia="en-US"/>
        </w:rPr>
        <w:t>ing</w:t>
      </w:r>
      <w:r w:rsidR="002D6C27" w:rsidRPr="00E80090">
        <w:rPr>
          <w:rFonts w:asciiTheme="majorHAnsi" w:hAnsiTheme="majorHAnsi" w:cs="Cambria"/>
          <w:lang w:val="en-GB" w:eastAsia="en-US"/>
        </w:rPr>
        <w:t xml:space="preserve"> the local account statements. In this sense migrating entities to UniCredit bank would not change the current situation and would not improve t</w:t>
      </w:r>
      <w:bookmarkStart w:id="120" w:name="_Toc357969735"/>
      <w:bookmarkStart w:id="121" w:name="_Toc359145838"/>
      <w:bookmarkStart w:id="122" w:name="_Toc359408862"/>
      <w:bookmarkStart w:id="123" w:name="_Toc360633033"/>
      <w:r w:rsidR="002D6C27" w:rsidRPr="00E80090">
        <w:rPr>
          <w:rFonts w:asciiTheme="majorHAnsi" w:hAnsiTheme="majorHAnsi" w:cs="Cambria"/>
          <w:lang w:val="en-GB" w:eastAsia="en-US"/>
        </w:rPr>
        <w:t xml:space="preserve">he security of local operations. </w:t>
      </w:r>
    </w:p>
    <w:p w14:paraId="6E584342" w14:textId="77777777" w:rsidR="00001664" w:rsidRPr="00E80090" w:rsidRDefault="00001664" w:rsidP="00261CC3">
      <w:pPr>
        <w:pStyle w:val="Kop1"/>
        <w:numPr>
          <w:ilvl w:val="0"/>
          <w:numId w:val="10"/>
        </w:numPr>
        <w:rPr>
          <w:rFonts w:asciiTheme="majorHAnsi" w:hAnsiTheme="majorHAnsi"/>
          <w:lang w:val="en-GB" w:eastAsia="en-US"/>
        </w:rPr>
      </w:pPr>
      <w:bookmarkStart w:id="124" w:name="_Toc368290364"/>
      <w:r w:rsidRPr="00E80090">
        <w:rPr>
          <w:rFonts w:asciiTheme="majorHAnsi" w:hAnsiTheme="majorHAnsi"/>
          <w:lang w:val="en-GB" w:eastAsia="en-US"/>
        </w:rPr>
        <w:t>Discussion</w:t>
      </w:r>
      <w:bookmarkEnd w:id="120"/>
      <w:bookmarkEnd w:id="121"/>
      <w:bookmarkEnd w:id="122"/>
      <w:bookmarkEnd w:id="123"/>
      <w:bookmarkEnd w:id="124"/>
    </w:p>
    <w:p w14:paraId="6E584343" w14:textId="77777777" w:rsidR="008B587E" w:rsidRPr="00E80090" w:rsidRDefault="008B587E" w:rsidP="008B587E">
      <w:pPr>
        <w:pStyle w:val="Lijstalinea"/>
        <w:keepNext/>
        <w:keepLines/>
        <w:numPr>
          <w:ilvl w:val="0"/>
          <w:numId w:val="11"/>
        </w:numPr>
        <w:spacing w:before="200" w:after="0" w:line="360" w:lineRule="auto"/>
        <w:outlineLvl w:val="1"/>
        <w:rPr>
          <w:rFonts w:asciiTheme="majorHAnsi" w:hAnsiTheme="majorHAnsi" w:cs="Cambria"/>
          <w:b/>
          <w:bCs/>
          <w:vanish/>
          <w:color w:val="4F81BD"/>
          <w:sz w:val="26"/>
          <w:szCs w:val="26"/>
          <w:lang w:val="en-GB" w:eastAsia="ja-JP"/>
        </w:rPr>
      </w:pPr>
      <w:bookmarkStart w:id="125" w:name="_Toc359942504"/>
      <w:bookmarkStart w:id="126" w:name="_Toc360187987"/>
      <w:bookmarkStart w:id="127" w:name="_Toc360357637"/>
      <w:bookmarkStart w:id="128" w:name="_Toc360439144"/>
      <w:bookmarkStart w:id="129" w:name="_Toc360464966"/>
      <w:bookmarkStart w:id="130" w:name="_Toc360466162"/>
      <w:bookmarkStart w:id="131" w:name="_Toc360540703"/>
      <w:bookmarkStart w:id="132" w:name="_Toc360633034"/>
      <w:bookmarkStart w:id="133" w:name="_Toc361047767"/>
      <w:bookmarkStart w:id="134" w:name="_Toc361057512"/>
      <w:bookmarkStart w:id="135" w:name="_Toc364352216"/>
      <w:bookmarkStart w:id="136" w:name="_Toc365392272"/>
      <w:bookmarkStart w:id="137" w:name="_Toc365634560"/>
      <w:bookmarkStart w:id="138" w:name="_Toc365644367"/>
      <w:bookmarkStart w:id="139" w:name="_Toc365908917"/>
      <w:bookmarkStart w:id="140" w:name="_Toc366759534"/>
      <w:bookmarkStart w:id="141" w:name="_Toc366946094"/>
      <w:bookmarkStart w:id="142" w:name="_Toc367018847"/>
      <w:bookmarkStart w:id="143" w:name="_Toc367047238"/>
      <w:bookmarkStart w:id="144" w:name="_Toc368162094"/>
      <w:bookmarkStart w:id="145" w:name="_Toc368290365"/>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6E584344" w14:textId="77777777" w:rsidR="00001664" w:rsidRPr="00E80090" w:rsidRDefault="00001664" w:rsidP="008B587E">
      <w:pPr>
        <w:pStyle w:val="Kop2"/>
        <w:numPr>
          <w:ilvl w:val="1"/>
          <w:numId w:val="11"/>
        </w:numPr>
        <w:spacing w:line="360" w:lineRule="auto"/>
        <w:rPr>
          <w:rFonts w:asciiTheme="majorHAnsi" w:hAnsiTheme="majorHAnsi"/>
          <w:lang w:val="en-GB"/>
        </w:rPr>
      </w:pPr>
      <w:bookmarkStart w:id="146" w:name="_Toc360633035"/>
      <w:bookmarkStart w:id="147" w:name="_Toc368290366"/>
      <w:r w:rsidRPr="00E80090">
        <w:rPr>
          <w:rFonts w:asciiTheme="majorHAnsi" w:hAnsiTheme="majorHAnsi"/>
          <w:lang w:val="en-GB"/>
        </w:rPr>
        <w:t>Theoretical implications</w:t>
      </w:r>
      <w:bookmarkEnd w:id="146"/>
      <w:bookmarkEnd w:id="147"/>
    </w:p>
    <w:p w14:paraId="6E584345" w14:textId="77777777" w:rsidR="007C6F31" w:rsidRPr="00E80090" w:rsidRDefault="0048272A" w:rsidP="00A625AC">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Having t</w:t>
      </w:r>
      <w:r w:rsidR="008F72BB" w:rsidRPr="00E80090">
        <w:rPr>
          <w:rFonts w:asciiTheme="majorHAnsi" w:hAnsiTheme="majorHAnsi" w:cs="Cambria"/>
          <w:lang w:val="en-GB" w:eastAsia="en-US"/>
        </w:rPr>
        <w:t xml:space="preserve">oo many relations is one of the issues Shapiro (1989) </w:t>
      </w:r>
      <w:r w:rsidR="0068032F" w:rsidRPr="00E80090">
        <w:rPr>
          <w:rFonts w:asciiTheme="majorHAnsi" w:hAnsiTheme="majorHAnsi" w:cs="Cambria"/>
          <w:lang w:val="en-GB" w:eastAsia="en-US"/>
        </w:rPr>
        <w:t>singles out</w:t>
      </w:r>
      <w:r w:rsidR="008F72BB" w:rsidRPr="00E80090">
        <w:rPr>
          <w:rFonts w:asciiTheme="majorHAnsi" w:hAnsiTheme="majorHAnsi" w:cs="Cambria"/>
          <w:lang w:val="en-GB" w:eastAsia="en-US"/>
        </w:rPr>
        <w:t xml:space="preserve"> as a</w:t>
      </w:r>
      <w:r w:rsidR="001B4301" w:rsidRPr="00E80090">
        <w:rPr>
          <w:rFonts w:asciiTheme="majorHAnsi" w:hAnsiTheme="majorHAnsi" w:cs="Cambria"/>
          <w:lang w:val="en-GB" w:eastAsia="en-US"/>
        </w:rPr>
        <w:t xml:space="preserve"> potential</w:t>
      </w:r>
      <w:r w:rsidR="008F72BB" w:rsidRPr="00E80090">
        <w:rPr>
          <w:rFonts w:asciiTheme="majorHAnsi" w:hAnsiTheme="majorHAnsi" w:cs="Cambria"/>
          <w:lang w:val="en-GB" w:eastAsia="en-US"/>
        </w:rPr>
        <w:t xml:space="preserve"> problem when it comes to banking relationships. </w:t>
      </w:r>
      <w:r w:rsidR="00A62BEE" w:rsidRPr="00E80090">
        <w:rPr>
          <w:rFonts w:asciiTheme="majorHAnsi" w:hAnsiTheme="majorHAnsi" w:cs="Cambria"/>
          <w:lang w:val="en-GB" w:eastAsia="en-US"/>
        </w:rPr>
        <w:t>His</w:t>
      </w:r>
      <w:r w:rsidRPr="00E80090">
        <w:rPr>
          <w:rFonts w:asciiTheme="majorHAnsi" w:hAnsiTheme="majorHAnsi" w:cs="Cambria"/>
          <w:lang w:val="en-GB" w:eastAsia="en-US"/>
        </w:rPr>
        <w:t xml:space="preserve"> research show</w:t>
      </w:r>
      <w:r w:rsidR="00A62BEE" w:rsidRPr="00E80090">
        <w:rPr>
          <w:rFonts w:asciiTheme="majorHAnsi" w:hAnsiTheme="majorHAnsi" w:cs="Cambria"/>
          <w:lang w:val="en-GB" w:eastAsia="en-US"/>
        </w:rPr>
        <w:t>s</w:t>
      </w:r>
      <w:r w:rsidRPr="00E80090">
        <w:rPr>
          <w:rFonts w:asciiTheme="majorHAnsi" w:hAnsiTheme="majorHAnsi" w:cs="Cambria"/>
          <w:lang w:val="en-GB" w:eastAsia="en-US"/>
        </w:rPr>
        <w:t xml:space="preserve"> that using the </w:t>
      </w:r>
      <w:r w:rsidR="00A33743" w:rsidRPr="00E80090">
        <w:rPr>
          <w:rFonts w:asciiTheme="majorHAnsi" w:hAnsiTheme="majorHAnsi" w:cs="Cambria"/>
          <w:lang w:val="en-GB" w:eastAsia="en-US"/>
        </w:rPr>
        <w:t>services of many banks prevents</w:t>
      </w:r>
      <w:r w:rsidRPr="00E80090">
        <w:rPr>
          <w:rFonts w:asciiTheme="majorHAnsi" w:hAnsiTheme="majorHAnsi" w:cs="Cambria"/>
          <w:lang w:val="en-GB" w:eastAsia="en-US"/>
        </w:rPr>
        <w:t xml:space="preserve"> the </w:t>
      </w:r>
      <w:r w:rsidR="001B4301" w:rsidRPr="00E80090">
        <w:rPr>
          <w:rFonts w:asciiTheme="majorHAnsi" w:hAnsiTheme="majorHAnsi" w:cs="Cambria"/>
          <w:lang w:val="en-GB" w:eastAsia="en-US"/>
        </w:rPr>
        <w:t>development</w:t>
      </w:r>
      <w:r w:rsidRPr="00E80090">
        <w:rPr>
          <w:rFonts w:asciiTheme="majorHAnsi" w:hAnsiTheme="majorHAnsi" w:cs="Cambria"/>
          <w:lang w:val="en-GB" w:eastAsia="en-US"/>
        </w:rPr>
        <w:t xml:space="preserve"> of strong relations with any </w:t>
      </w:r>
      <w:r w:rsidR="00AC4E18" w:rsidRPr="00E80090">
        <w:rPr>
          <w:rFonts w:asciiTheme="majorHAnsi" w:hAnsiTheme="majorHAnsi" w:cs="Cambria"/>
          <w:lang w:val="en-GB" w:eastAsia="en-US"/>
        </w:rPr>
        <w:t>of them</w:t>
      </w:r>
      <w:r w:rsidR="00312D5F" w:rsidRPr="00E80090">
        <w:rPr>
          <w:rFonts w:asciiTheme="majorHAnsi" w:hAnsiTheme="majorHAnsi" w:cs="Cambria"/>
          <w:lang w:val="en-GB" w:eastAsia="en-US"/>
        </w:rPr>
        <w:t xml:space="preserve"> as the </w:t>
      </w:r>
      <w:r w:rsidR="005761F1" w:rsidRPr="00E80090">
        <w:rPr>
          <w:rFonts w:asciiTheme="majorHAnsi" w:hAnsiTheme="majorHAnsi" w:cs="Cambria"/>
          <w:lang w:val="en-GB" w:eastAsia="en-US"/>
        </w:rPr>
        <w:t xml:space="preserve">value the </w:t>
      </w:r>
      <w:r w:rsidR="00D620D2" w:rsidRPr="00E80090">
        <w:rPr>
          <w:rFonts w:asciiTheme="majorHAnsi" w:hAnsiTheme="majorHAnsi" w:cs="Cambria"/>
          <w:lang w:val="en-GB" w:eastAsia="en-US"/>
        </w:rPr>
        <w:t xml:space="preserve">company </w:t>
      </w:r>
      <w:r w:rsidR="005761F1" w:rsidRPr="00E80090">
        <w:rPr>
          <w:rFonts w:asciiTheme="majorHAnsi" w:hAnsiTheme="majorHAnsi" w:cs="Cambria"/>
          <w:lang w:val="en-GB" w:eastAsia="en-US"/>
        </w:rPr>
        <w:t xml:space="preserve">brings for them </w:t>
      </w:r>
      <w:r w:rsidR="00D620D2" w:rsidRPr="00E80090">
        <w:rPr>
          <w:rFonts w:asciiTheme="majorHAnsi" w:hAnsiTheme="majorHAnsi" w:cs="Cambria"/>
          <w:lang w:val="en-GB" w:eastAsia="en-US"/>
        </w:rPr>
        <w:t>get</w:t>
      </w:r>
      <w:r w:rsidR="00DB7AE4" w:rsidRPr="00E80090">
        <w:rPr>
          <w:rFonts w:asciiTheme="majorHAnsi" w:hAnsiTheme="majorHAnsi" w:cs="Cambria"/>
          <w:lang w:val="en-GB" w:eastAsia="en-US"/>
        </w:rPr>
        <w:t>s diluted</w:t>
      </w:r>
      <w:r w:rsidR="00D620D2" w:rsidRPr="00E80090">
        <w:rPr>
          <w:rFonts w:asciiTheme="majorHAnsi" w:hAnsiTheme="majorHAnsi" w:cs="Cambria"/>
          <w:lang w:val="en-GB" w:eastAsia="en-US"/>
        </w:rPr>
        <w:t xml:space="preserve"> between many parties</w:t>
      </w:r>
      <w:r w:rsidRPr="00E80090">
        <w:rPr>
          <w:rFonts w:asciiTheme="majorHAnsi" w:hAnsiTheme="majorHAnsi" w:cs="Cambria"/>
          <w:lang w:val="en-GB" w:eastAsia="en-US"/>
        </w:rPr>
        <w:t xml:space="preserve">. </w:t>
      </w:r>
      <w:r w:rsidR="00740FFE" w:rsidRPr="00E80090">
        <w:rPr>
          <w:rFonts w:asciiTheme="majorHAnsi" w:hAnsiTheme="majorHAnsi" w:cs="Cambria"/>
          <w:lang w:val="en-GB" w:eastAsia="en-US"/>
        </w:rPr>
        <w:t xml:space="preserve">On </w:t>
      </w:r>
      <w:r w:rsidR="0097569B" w:rsidRPr="00E80090">
        <w:rPr>
          <w:rFonts w:asciiTheme="majorHAnsi" w:hAnsiTheme="majorHAnsi" w:cs="Cambria"/>
          <w:lang w:val="en-GB" w:eastAsia="en-US"/>
        </w:rPr>
        <w:t xml:space="preserve">the </w:t>
      </w:r>
      <w:r w:rsidR="00740FFE" w:rsidRPr="00E80090">
        <w:rPr>
          <w:rFonts w:asciiTheme="majorHAnsi" w:hAnsiTheme="majorHAnsi" w:cs="Cambria"/>
          <w:lang w:val="en-GB" w:eastAsia="en-US"/>
        </w:rPr>
        <w:t xml:space="preserve">other hand, the use of </w:t>
      </w:r>
      <w:r w:rsidR="0002589F" w:rsidRPr="00E80090">
        <w:rPr>
          <w:rFonts w:asciiTheme="majorHAnsi" w:hAnsiTheme="majorHAnsi" w:cs="Cambria"/>
          <w:lang w:val="en-GB" w:eastAsia="en-US"/>
        </w:rPr>
        <w:t xml:space="preserve">a </w:t>
      </w:r>
      <w:r w:rsidR="00740FFE" w:rsidRPr="00E80090">
        <w:rPr>
          <w:rFonts w:asciiTheme="majorHAnsi" w:hAnsiTheme="majorHAnsi" w:cs="Cambria"/>
          <w:lang w:val="en-GB" w:eastAsia="en-US"/>
        </w:rPr>
        <w:t xml:space="preserve">few intermediaries creates leverage for the </w:t>
      </w:r>
      <w:r w:rsidR="00580C14" w:rsidRPr="00E80090">
        <w:rPr>
          <w:rFonts w:asciiTheme="majorHAnsi" w:hAnsiTheme="majorHAnsi" w:cs="Cambria"/>
          <w:lang w:val="en-GB" w:eastAsia="en-US"/>
        </w:rPr>
        <w:t>firm</w:t>
      </w:r>
      <w:r w:rsidR="00712543" w:rsidRPr="00E80090">
        <w:rPr>
          <w:rFonts w:asciiTheme="majorHAnsi" w:hAnsiTheme="majorHAnsi" w:cs="Cambria"/>
          <w:lang w:val="en-GB" w:eastAsia="en-US"/>
        </w:rPr>
        <w:t xml:space="preserve"> by </w:t>
      </w:r>
      <w:r w:rsidR="00FA26AA" w:rsidRPr="00E80090">
        <w:rPr>
          <w:rFonts w:asciiTheme="majorHAnsi" w:hAnsiTheme="majorHAnsi" w:cs="Cambria"/>
          <w:lang w:val="en-GB" w:eastAsia="en-US"/>
        </w:rPr>
        <w:t>condensing</w:t>
      </w:r>
      <w:r w:rsidR="00312D5F" w:rsidRPr="00E80090">
        <w:rPr>
          <w:rFonts w:asciiTheme="majorHAnsi" w:hAnsiTheme="majorHAnsi" w:cs="Cambria"/>
          <w:lang w:val="en-GB" w:eastAsia="en-US"/>
        </w:rPr>
        <w:t xml:space="preserve"> its </w:t>
      </w:r>
      <w:r w:rsidR="00FA26AA" w:rsidRPr="00E80090">
        <w:rPr>
          <w:rFonts w:asciiTheme="majorHAnsi" w:hAnsiTheme="majorHAnsi" w:cs="Cambria"/>
          <w:lang w:val="en-GB" w:eastAsia="en-US"/>
        </w:rPr>
        <w:t>value</w:t>
      </w:r>
      <w:r w:rsidR="00312D5F" w:rsidRPr="00E80090">
        <w:rPr>
          <w:rFonts w:asciiTheme="majorHAnsi" w:hAnsiTheme="majorHAnsi" w:cs="Cambria"/>
          <w:lang w:val="en-GB" w:eastAsia="en-US"/>
        </w:rPr>
        <w:t xml:space="preserve">. In this way </w:t>
      </w:r>
      <w:r w:rsidR="00FC53E4" w:rsidRPr="00E80090">
        <w:rPr>
          <w:rFonts w:asciiTheme="majorHAnsi" w:hAnsiTheme="majorHAnsi" w:cs="Cambria"/>
          <w:lang w:val="en-GB" w:eastAsia="en-US"/>
        </w:rPr>
        <w:t xml:space="preserve">the firm can offer more to the banks and thus becomes </w:t>
      </w:r>
      <w:r w:rsidR="00712543" w:rsidRPr="00E80090">
        <w:rPr>
          <w:rFonts w:asciiTheme="majorHAnsi" w:hAnsiTheme="majorHAnsi" w:cs="Cambria"/>
          <w:lang w:val="en-GB" w:eastAsia="en-US"/>
        </w:rPr>
        <w:t xml:space="preserve">a more </w:t>
      </w:r>
      <w:r w:rsidR="00FC53E4" w:rsidRPr="00E80090">
        <w:rPr>
          <w:rFonts w:asciiTheme="majorHAnsi" w:hAnsiTheme="majorHAnsi" w:cs="Cambria"/>
          <w:lang w:val="en-GB" w:eastAsia="en-US"/>
        </w:rPr>
        <w:t>attractive client for them</w:t>
      </w:r>
      <w:r w:rsidR="0002589F" w:rsidRPr="00E80090">
        <w:rPr>
          <w:rFonts w:asciiTheme="majorHAnsi" w:hAnsiTheme="majorHAnsi" w:cs="Cambria"/>
          <w:lang w:val="en-GB" w:eastAsia="en-US"/>
        </w:rPr>
        <w:t xml:space="preserve">. For instance, </w:t>
      </w:r>
      <w:r w:rsidR="00E03D65" w:rsidRPr="00E80090">
        <w:rPr>
          <w:rFonts w:asciiTheme="majorHAnsi" w:hAnsiTheme="majorHAnsi" w:cs="Cambria"/>
          <w:lang w:val="en-GB" w:eastAsia="en-US"/>
        </w:rPr>
        <w:t>if</w:t>
      </w:r>
      <w:r w:rsidR="0002589F" w:rsidRPr="00E80090">
        <w:rPr>
          <w:rFonts w:asciiTheme="majorHAnsi" w:hAnsiTheme="majorHAnsi" w:cs="Cambria"/>
          <w:lang w:val="en-GB" w:eastAsia="en-US"/>
        </w:rPr>
        <w:t xml:space="preserve"> Sun Chemical brings more entities to UniCredit,</w:t>
      </w:r>
      <w:r w:rsidR="00E03D65" w:rsidRPr="00E80090">
        <w:rPr>
          <w:rFonts w:asciiTheme="majorHAnsi" w:hAnsiTheme="majorHAnsi" w:cs="Cambria"/>
          <w:lang w:val="en-GB" w:eastAsia="en-US"/>
        </w:rPr>
        <w:t xml:space="preserve"> the bank </w:t>
      </w:r>
      <w:r w:rsidR="00172351" w:rsidRPr="00E80090">
        <w:rPr>
          <w:rFonts w:asciiTheme="majorHAnsi" w:hAnsiTheme="majorHAnsi" w:cs="Cambria"/>
          <w:lang w:val="en-GB" w:eastAsia="en-US"/>
        </w:rPr>
        <w:t>is likely to</w:t>
      </w:r>
      <w:r w:rsidR="00E03D65" w:rsidRPr="00E80090">
        <w:rPr>
          <w:rFonts w:asciiTheme="majorHAnsi" w:hAnsiTheme="majorHAnsi" w:cs="Cambria"/>
          <w:lang w:val="en-GB" w:eastAsia="en-US"/>
        </w:rPr>
        <w:t xml:space="preserve"> </w:t>
      </w:r>
      <w:r w:rsidR="0092580F" w:rsidRPr="00E80090">
        <w:rPr>
          <w:rFonts w:asciiTheme="majorHAnsi" w:hAnsiTheme="majorHAnsi" w:cs="Cambria"/>
          <w:lang w:val="en-GB" w:eastAsia="en-US"/>
        </w:rPr>
        <w:t>take into account t</w:t>
      </w:r>
      <w:r w:rsidR="00E03D65" w:rsidRPr="00E80090">
        <w:rPr>
          <w:rFonts w:asciiTheme="majorHAnsi" w:hAnsiTheme="majorHAnsi" w:cs="Cambria"/>
          <w:lang w:val="en-GB" w:eastAsia="en-US"/>
        </w:rPr>
        <w:t>he global benefits o</w:t>
      </w:r>
      <w:r w:rsidR="0092580F" w:rsidRPr="00E80090">
        <w:rPr>
          <w:rFonts w:asciiTheme="majorHAnsi" w:hAnsiTheme="majorHAnsi" w:cs="Cambria"/>
          <w:lang w:val="en-GB" w:eastAsia="en-US"/>
        </w:rPr>
        <w:t>f</w:t>
      </w:r>
      <w:r w:rsidR="00E03D65" w:rsidRPr="00E80090">
        <w:rPr>
          <w:rFonts w:asciiTheme="majorHAnsi" w:hAnsiTheme="majorHAnsi" w:cs="Cambria"/>
          <w:lang w:val="en-GB" w:eastAsia="en-US"/>
        </w:rPr>
        <w:t xml:space="preserve"> the relationship, instead of focusing on the local success of its subsidiaries.</w:t>
      </w:r>
      <w:r w:rsidR="0092580F" w:rsidRPr="00E80090">
        <w:rPr>
          <w:rFonts w:asciiTheme="majorHAnsi" w:hAnsiTheme="majorHAnsi" w:cs="Cambria"/>
          <w:lang w:val="en-GB" w:eastAsia="en-US"/>
        </w:rPr>
        <w:t xml:space="preserve"> Thus</w:t>
      </w:r>
      <w:r w:rsidR="006F37C6" w:rsidRPr="00E80090">
        <w:rPr>
          <w:rFonts w:asciiTheme="majorHAnsi" w:hAnsiTheme="majorHAnsi" w:cs="Cambria"/>
          <w:lang w:val="en-GB" w:eastAsia="en-US"/>
        </w:rPr>
        <w:t>,</w:t>
      </w:r>
      <w:r w:rsidR="0092580F" w:rsidRPr="00E80090">
        <w:rPr>
          <w:rFonts w:asciiTheme="majorHAnsi" w:hAnsiTheme="majorHAnsi" w:cs="Cambria"/>
          <w:lang w:val="en-GB" w:eastAsia="en-US"/>
        </w:rPr>
        <w:t xml:space="preserve"> when pricing is concerned the bank would be more willing to compromise on the local level to ensure a good global </w:t>
      </w:r>
      <w:r w:rsidR="005761F1" w:rsidRPr="00E80090">
        <w:rPr>
          <w:rFonts w:asciiTheme="majorHAnsi" w:hAnsiTheme="majorHAnsi" w:cs="Cambria"/>
          <w:lang w:val="en-GB" w:eastAsia="en-US"/>
        </w:rPr>
        <w:t>partnership</w:t>
      </w:r>
      <w:r w:rsidR="0092580F" w:rsidRPr="00E80090">
        <w:rPr>
          <w:rFonts w:asciiTheme="majorHAnsi" w:hAnsiTheme="majorHAnsi" w:cs="Cambria"/>
          <w:lang w:val="en-GB" w:eastAsia="en-US"/>
        </w:rPr>
        <w:t>.</w:t>
      </w:r>
      <w:r w:rsidR="00D23F37" w:rsidRPr="00E80090">
        <w:rPr>
          <w:rFonts w:asciiTheme="majorHAnsi" w:hAnsiTheme="majorHAnsi" w:cs="Cambria"/>
          <w:lang w:val="en-GB" w:eastAsia="en-US"/>
        </w:rPr>
        <w:t xml:space="preserve"> </w:t>
      </w:r>
      <w:r w:rsidR="007C6F31" w:rsidRPr="00E80090">
        <w:rPr>
          <w:rFonts w:asciiTheme="majorHAnsi" w:hAnsiTheme="majorHAnsi" w:cs="Cambria"/>
          <w:lang w:val="en-GB" w:eastAsia="en-US"/>
        </w:rPr>
        <w:t>The same is also true for Citibank.</w:t>
      </w:r>
      <w:r w:rsidR="007C6F31" w:rsidRPr="00E80090">
        <w:t xml:space="preserve"> </w:t>
      </w:r>
      <w:r w:rsidR="007C6F31" w:rsidRPr="00E80090">
        <w:rPr>
          <w:rFonts w:asciiTheme="majorHAnsi" w:hAnsiTheme="majorHAnsi" w:cs="Cambria"/>
          <w:lang w:val="en-GB" w:eastAsia="en-US"/>
        </w:rPr>
        <w:t>This was noticeable from the shown involvement with the project, quick response to inquiries and openness to negotiation by the local bank representatives.</w:t>
      </w:r>
    </w:p>
    <w:p w14:paraId="6E584346" w14:textId="77777777" w:rsidR="00A26FDF" w:rsidRPr="00E80090" w:rsidRDefault="006B1E16" w:rsidP="006B1E16">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w:t>
      </w:r>
      <w:r w:rsidR="00926463" w:rsidRPr="00E80090">
        <w:rPr>
          <w:rFonts w:asciiTheme="majorHAnsi" w:hAnsiTheme="majorHAnsi" w:cs="Cambria"/>
          <w:lang w:val="en-GB" w:eastAsia="en-US"/>
        </w:rPr>
        <w:t xml:space="preserve"> findings from </w:t>
      </w:r>
      <w:r w:rsidR="001C733C" w:rsidRPr="00E80090">
        <w:rPr>
          <w:rFonts w:asciiTheme="majorHAnsi" w:hAnsiTheme="majorHAnsi" w:cs="Cambria"/>
          <w:lang w:val="en-GB" w:eastAsia="en-US"/>
        </w:rPr>
        <w:t xml:space="preserve">the </w:t>
      </w:r>
      <w:r w:rsidRPr="00E80090">
        <w:rPr>
          <w:rFonts w:asciiTheme="majorHAnsi" w:hAnsiTheme="majorHAnsi" w:cs="Cambria"/>
          <w:lang w:val="en-GB" w:eastAsia="en-US"/>
        </w:rPr>
        <w:t xml:space="preserve">investigation </w:t>
      </w:r>
      <w:r w:rsidR="00926463" w:rsidRPr="00E80090">
        <w:rPr>
          <w:rFonts w:asciiTheme="majorHAnsi" w:hAnsiTheme="majorHAnsi" w:cs="Cambria"/>
          <w:lang w:val="en-GB" w:eastAsia="en-US"/>
        </w:rPr>
        <w:t>support</w:t>
      </w:r>
      <w:r w:rsidRPr="00E80090">
        <w:rPr>
          <w:rFonts w:asciiTheme="majorHAnsi" w:hAnsiTheme="majorHAnsi" w:cs="Cambria"/>
          <w:lang w:val="en-GB" w:eastAsia="en-US"/>
        </w:rPr>
        <w:t xml:space="preserve"> </w:t>
      </w:r>
      <w:r w:rsidR="00394A62" w:rsidRPr="00E80090">
        <w:rPr>
          <w:rFonts w:asciiTheme="majorHAnsi" w:hAnsiTheme="majorHAnsi" w:cs="Cambria"/>
          <w:lang w:val="en-GB" w:eastAsia="en-US"/>
        </w:rPr>
        <w:t xml:space="preserve">Polák &amp; Klusáček’s (2010) view on centralisation </w:t>
      </w:r>
      <w:r w:rsidRPr="00E80090">
        <w:rPr>
          <w:rFonts w:asciiTheme="majorHAnsi" w:hAnsiTheme="majorHAnsi" w:cs="Cambria"/>
          <w:lang w:val="en-GB" w:eastAsia="en-US"/>
        </w:rPr>
        <w:t xml:space="preserve">that </w:t>
      </w:r>
      <w:r w:rsidR="00F56DC4" w:rsidRPr="00E80090">
        <w:rPr>
          <w:rFonts w:asciiTheme="majorHAnsi" w:hAnsiTheme="majorHAnsi" w:cs="Cambria"/>
          <w:lang w:val="en-GB" w:eastAsia="en-US"/>
        </w:rPr>
        <w:t>the concentration of s</w:t>
      </w:r>
      <w:r w:rsidRPr="00E80090">
        <w:rPr>
          <w:rFonts w:asciiTheme="majorHAnsi" w:hAnsiTheme="majorHAnsi" w:cs="Cambria"/>
          <w:lang w:val="en-GB" w:eastAsia="en-US"/>
        </w:rPr>
        <w:t>ervices can bring high transparency and access to real time information across a broad g</w:t>
      </w:r>
      <w:r w:rsidR="008979B0" w:rsidRPr="00E80090">
        <w:rPr>
          <w:rFonts w:asciiTheme="majorHAnsi" w:hAnsiTheme="majorHAnsi" w:cs="Cambria"/>
          <w:lang w:val="en-GB" w:eastAsia="en-US"/>
        </w:rPr>
        <w:t>eographic area</w:t>
      </w:r>
      <w:r w:rsidRPr="00E80090">
        <w:rPr>
          <w:rFonts w:asciiTheme="majorHAnsi" w:hAnsiTheme="majorHAnsi" w:cs="Cambria"/>
          <w:lang w:val="en-GB" w:eastAsia="en-US"/>
        </w:rPr>
        <w:t xml:space="preserve">. </w:t>
      </w:r>
      <w:r w:rsidR="00FB7EBE" w:rsidRPr="00E80090">
        <w:rPr>
          <w:rFonts w:asciiTheme="majorHAnsi" w:hAnsiTheme="majorHAnsi" w:cs="Cambria"/>
          <w:lang w:val="en-GB" w:eastAsia="en-US"/>
        </w:rPr>
        <w:t xml:space="preserve">This goes in line with the main corporate goal for the project - to improve the security and enhance the control over </w:t>
      </w:r>
      <w:r w:rsidR="00544B61" w:rsidRPr="00E80090">
        <w:rPr>
          <w:rFonts w:asciiTheme="majorHAnsi" w:hAnsiTheme="majorHAnsi" w:cs="Cambria"/>
          <w:lang w:val="en-GB" w:eastAsia="en-US"/>
        </w:rPr>
        <w:t>the</w:t>
      </w:r>
      <w:r w:rsidR="00FB7EBE" w:rsidRPr="00E80090">
        <w:rPr>
          <w:rFonts w:asciiTheme="majorHAnsi" w:hAnsiTheme="majorHAnsi" w:cs="Cambria"/>
          <w:lang w:val="en-GB" w:eastAsia="en-US"/>
        </w:rPr>
        <w:t xml:space="preserve"> CEE branches. However, </w:t>
      </w:r>
      <w:r w:rsidR="00130EF7" w:rsidRPr="00E80090">
        <w:rPr>
          <w:rFonts w:asciiTheme="majorHAnsi" w:hAnsiTheme="majorHAnsi" w:cs="Cambria"/>
          <w:lang w:val="en-GB" w:eastAsia="en-US"/>
        </w:rPr>
        <w:t>that goal</w:t>
      </w:r>
      <w:r w:rsidR="00FB7EBE" w:rsidRPr="00E80090">
        <w:rPr>
          <w:rFonts w:asciiTheme="majorHAnsi" w:hAnsiTheme="majorHAnsi" w:cs="Cambria"/>
          <w:lang w:val="en-GB" w:eastAsia="en-US"/>
        </w:rPr>
        <w:t xml:space="preserve"> can be achieved only under a Citibank structure</w:t>
      </w:r>
      <w:r w:rsidR="00F56DC4" w:rsidRPr="00E80090">
        <w:rPr>
          <w:rFonts w:asciiTheme="majorHAnsi" w:hAnsiTheme="majorHAnsi" w:cs="Cambria"/>
          <w:lang w:val="en-GB" w:eastAsia="en-US"/>
        </w:rPr>
        <w:t xml:space="preserve">. </w:t>
      </w:r>
      <w:r w:rsidR="00FB7EBE" w:rsidRPr="00E80090">
        <w:rPr>
          <w:rFonts w:asciiTheme="majorHAnsi" w:hAnsiTheme="majorHAnsi" w:cs="Cambria"/>
          <w:lang w:val="en-GB" w:eastAsia="en-US"/>
        </w:rPr>
        <w:t xml:space="preserve">Regarding UniCredit, the issue with control and security still remains unsolved. </w:t>
      </w:r>
      <w:r w:rsidR="00544B61" w:rsidRPr="00E80090">
        <w:rPr>
          <w:rFonts w:asciiTheme="majorHAnsi" w:hAnsiTheme="majorHAnsi" w:cs="Cambria"/>
          <w:lang w:val="en-GB" w:eastAsia="en-US"/>
        </w:rPr>
        <w:t xml:space="preserve">The field research showed that </w:t>
      </w:r>
      <w:r w:rsidR="00F56DC4" w:rsidRPr="00E80090">
        <w:rPr>
          <w:rFonts w:asciiTheme="majorHAnsi" w:hAnsiTheme="majorHAnsi" w:cs="Cambria"/>
          <w:lang w:val="en-GB" w:eastAsia="en-US"/>
        </w:rPr>
        <w:t xml:space="preserve">UniCredit is not able to deliver </w:t>
      </w:r>
      <w:r w:rsidR="00130EF7" w:rsidRPr="00E80090">
        <w:rPr>
          <w:rFonts w:asciiTheme="majorHAnsi" w:hAnsiTheme="majorHAnsi" w:cs="Cambria"/>
          <w:lang w:val="en-GB" w:eastAsia="en-US"/>
        </w:rPr>
        <w:t>such globally integrated</w:t>
      </w:r>
      <w:r w:rsidR="00F56DC4" w:rsidRPr="00E80090">
        <w:rPr>
          <w:rFonts w:asciiTheme="majorHAnsi" w:hAnsiTheme="majorHAnsi" w:cs="Cambria"/>
          <w:lang w:val="en-GB" w:eastAsia="en-US"/>
        </w:rPr>
        <w:t xml:space="preserve"> service</w:t>
      </w:r>
      <w:r w:rsidR="001E7063" w:rsidRPr="00E80090">
        <w:rPr>
          <w:rFonts w:asciiTheme="majorHAnsi" w:hAnsiTheme="majorHAnsi" w:cs="Cambria"/>
          <w:lang w:val="en-GB" w:eastAsia="en-US"/>
        </w:rPr>
        <w:t xml:space="preserve"> yet</w:t>
      </w:r>
      <w:r w:rsidR="00F56DC4" w:rsidRPr="00E80090">
        <w:rPr>
          <w:rFonts w:asciiTheme="majorHAnsi" w:hAnsiTheme="majorHAnsi" w:cs="Cambria"/>
          <w:lang w:val="en-GB" w:eastAsia="en-US"/>
        </w:rPr>
        <w:t xml:space="preserve">. </w:t>
      </w:r>
      <w:r w:rsidR="00544B61" w:rsidRPr="00E80090">
        <w:rPr>
          <w:rFonts w:asciiTheme="majorHAnsi" w:hAnsiTheme="majorHAnsi" w:cs="Cambria"/>
          <w:lang w:val="en-GB" w:eastAsia="en-US"/>
        </w:rPr>
        <w:t>T</w:t>
      </w:r>
      <w:r w:rsidR="00A26FDF" w:rsidRPr="00E80090">
        <w:rPr>
          <w:rFonts w:asciiTheme="majorHAnsi" w:hAnsiTheme="majorHAnsi" w:cs="Cambria"/>
          <w:lang w:val="en-GB" w:eastAsia="en-US"/>
        </w:rPr>
        <w:t>his is due to the structure of the bank and according to Slother (1993) the structure is highly dependent on the organizational culture of the entity.</w:t>
      </w:r>
      <w:r w:rsidR="00C251BF" w:rsidRPr="00E80090">
        <w:rPr>
          <w:rFonts w:asciiTheme="majorHAnsi" w:hAnsiTheme="majorHAnsi" w:cs="Cambria"/>
          <w:lang w:val="en-GB" w:eastAsia="en-US"/>
        </w:rPr>
        <w:t xml:space="preserve"> In this respect, i</w:t>
      </w:r>
      <w:r w:rsidR="007F0227" w:rsidRPr="00E80090">
        <w:rPr>
          <w:rFonts w:asciiTheme="majorHAnsi" w:hAnsiTheme="majorHAnsi" w:cs="Cambria"/>
          <w:lang w:val="en-GB" w:eastAsia="en-US"/>
        </w:rPr>
        <w:t xml:space="preserve">t is likely that </w:t>
      </w:r>
      <w:r w:rsidR="00F57517" w:rsidRPr="00E80090">
        <w:rPr>
          <w:rFonts w:asciiTheme="majorHAnsi" w:hAnsiTheme="majorHAnsi"/>
          <w:lang w:val="en-GB"/>
        </w:rPr>
        <w:t xml:space="preserve">UniCredit </w:t>
      </w:r>
      <w:r w:rsidR="007F0227" w:rsidRPr="00E80090">
        <w:rPr>
          <w:rFonts w:asciiTheme="majorHAnsi" w:hAnsiTheme="majorHAnsi" w:cs="Cambria"/>
          <w:lang w:val="en-GB" w:eastAsia="en-US"/>
        </w:rPr>
        <w:t>sees benefits in focusing its efforts locally rather than trying to integrate its operations globally.</w:t>
      </w:r>
    </w:p>
    <w:p w14:paraId="6E584347" w14:textId="77777777" w:rsidR="00131BD3" w:rsidRPr="00E80090" w:rsidRDefault="00D60300" w:rsidP="006C685E">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lastRenderedPageBreak/>
        <w:t>Walton (1995)</w:t>
      </w:r>
      <w:r w:rsidR="001E7063"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advocates that </w:t>
      </w:r>
      <w:r w:rsidR="00931428" w:rsidRPr="00E80090">
        <w:rPr>
          <w:rFonts w:asciiTheme="majorHAnsi" w:hAnsiTheme="majorHAnsi" w:cs="Cambria"/>
          <w:lang w:val="en-GB" w:eastAsia="en-US"/>
        </w:rPr>
        <w:t>centralisation is driven b</w:t>
      </w:r>
      <w:r w:rsidR="00544B61" w:rsidRPr="00E80090">
        <w:rPr>
          <w:rFonts w:asciiTheme="majorHAnsi" w:hAnsiTheme="majorHAnsi" w:cs="Cambria"/>
          <w:lang w:val="en-GB" w:eastAsia="en-US"/>
        </w:rPr>
        <w:t xml:space="preserve">y expectations of cost savings and </w:t>
      </w:r>
      <w:r w:rsidR="00931428" w:rsidRPr="00E80090">
        <w:rPr>
          <w:rFonts w:asciiTheme="majorHAnsi" w:hAnsiTheme="majorHAnsi" w:cs="Cambria"/>
          <w:lang w:val="en-GB" w:eastAsia="en-US"/>
        </w:rPr>
        <w:t xml:space="preserve">greater efficiencies. </w:t>
      </w:r>
      <w:r w:rsidR="00544B61" w:rsidRPr="00E80090">
        <w:rPr>
          <w:rFonts w:asciiTheme="majorHAnsi" w:hAnsiTheme="majorHAnsi" w:cs="Cambria"/>
          <w:lang w:val="en-GB" w:eastAsia="en-US"/>
        </w:rPr>
        <w:t>This is not the main goal of Sun Chemical but a</w:t>
      </w:r>
      <w:r w:rsidR="004D3F38" w:rsidRPr="00E80090">
        <w:rPr>
          <w:rFonts w:asciiTheme="majorHAnsi" w:hAnsiTheme="majorHAnsi" w:cs="Cambria"/>
          <w:lang w:val="en-GB" w:eastAsia="en-US"/>
        </w:rPr>
        <w:t xml:space="preserve">t the initial stages of the research it was apparent that </w:t>
      </w:r>
      <w:r w:rsidR="00544B61" w:rsidRPr="00E80090">
        <w:rPr>
          <w:rFonts w:asciiTheme="majorHAnsi" w:hAnsiTheme="majorHAnsi" w:cs="Cambria"/>
          <w:lang w:val="en-GB" w:eastAsia="en-US"/>
        </w:rPr>
        <w:t>the company believes the centralization can bring such benefits. Cost</w:t>
      </w:r>
      <w:r w:rsidR="00FB7EBE" w:rsidRPr="00E80090">
        <w:rPr>
          <w:rFonts w:asciiTheme="majorHAnsi" w:hAnsiTheme="majorHAnsi" w:cs="Cambria"/>
          <w:lang w:val="en-GB" w:eastAsia="en-US"/>
        </w:rPr>
        <w:t xml:space="preserve"> </w:t>
      </w:r>
      <w:r w:rsidR="00544B61" w:rsidRPr="00E80090">
        <w:rPr>
          <w:rFonts w:asciiTheme="majorHAnsi" w:hAnsiTheme="majorHAnsi" w:cs="Cambria"/>
          <w:lang w:val="en-GB" w:eastAsia="en-US"/>
        </w:rPr>
        <w:t>reduction</w:t>
      </w:r>
      <w:r w:rsidR="00FB7EBE" w:rsidRPr="00E80090">
        <w:rPr>
          <w:rFonts w:asciiTheme="majorHAnsi" w:hAnsiTheme="majorHAnsi" w:cs="Cambria"/>
          <w:lang w:val="en-GB" w:eastAsia="en-US"/>
        </w:rPr>
        <w:t xml:space="preserve"> and efficienc</w:t>
      </w:r>
      <w:r w:rsidR="00544B61" w:rsidRPr="00E80090">
        <w:rPr>
          <w:rFonts w:asciiTheme="majorHAnsi" w:hAnsiTheme="majorHAnsi" w:cs="Cambria"/>
          <w:lang w:val="en-GB" w:eastAsia="en-US"/>
        </w:rPr>
        <w:t>y improvement</w:t>
      </w:r>
      <w:r w:rsidR="00FB7EBE" w:rsidRPr="00E80090">
        <w:rPr>
          <w:rFonts w:asciiTheme="majorHAnsi" w:hAnsiTheme="majorHAnsi" w:cs="Cambria"/>
          <w:lang w:val="en-GB" w:eastAsia="en-US"/>
        </w:rPr>
        <w:t xml:space="preserve"> seem to be achievable with both </w:t>
      </w:r>
      <w:r w:rsidR="00544B61" w:rsidRPr="00E80090">
        <w:rPr>
          <w:rFonts w:asciiTheme="majorHAnsi" w:hAnsiTheme="majorHAnsi" w:cs="Cambria"/>
          <w:lang w:val="en-GB" w:eastAsia="en-US"/>
        </w:rPr>
        <w:t>UniCredit and Citibank.</w:t>
      </w:r>
    </w:p>
    <w:p w14:paraId="6E584348" w14:textId="77777777" w:rsidR="001C733C" w:rsidRPr="00E80090" w:rsidRDefault="008965B3" w:rsidP="006C685E">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Even though the </w:t>
      </w:r>
      <w:r w:rsidR="0017311E" w:rsidRPr="00E80090">
        <w:rPr>
          <w:rFonts w:asciiTheme="majorHAnsi" w:hAnsiTheme="majorHAnsi" w:cs="Cambria"/>
          <w:lang w:val="en-GB" w:eastAsia="en-US"/>
        </w:rPr>
        <w:t>centralis</w:t>
      </w:r>
      <w:r w:rsidR="00DC5514" w:rsidRPr="00E80090">
        <w:rPr>
          <w:rFonts w:asciiTheme="majorHAnsi" w:hAnsiTheme="majorHAnsi" w:cs="Cambria"/>
          <w:lang w:val="en-GB" w:eastAsia="en-US"/>
        </w:rPr>
        <w:t xml:space="preserve">ation </w:t>
      </w:r>
      <w:r w:rsidR="00915A95" w:rsidRPr="00E80090">
        <w:rPr>
          <w:rFonts w:asciiTheme="majorHAnsi" w:hAnsiTheme="majorHAnsi" w:cs="Cambria"/>
          <w:lang w:val="en-GB" w:eastAsia="en-US"/>
        </w:rPr>
        <w:t>appears to be</w:t>
      </w:r>
      <w:r w:rsidR="001B4301" w:rsidRPr="00E80090">
        <w:rPr>
          <w:rFonts w:asciiTheme="majorHAnsi" w:hAnsiTheme="majorHAnsi" w:cs="Cambria"/>
          <w:lang w:val="en-GB" w:eastAsia="en-US"/>
        </w:rPr>
        <w:t xml:space="preserve"> rather</w:t>
      </w:r>
      <w:r w:rsidRPr="00E80090">
        <w:rPr>
          <w:rFonts w:asciiTheme="majorHAnsi" w:hAnsiTheme="majorHAnsi" w:cs="Cambria"/>
          <w:lang w:val="en-GB" w:eastAsia="en-US"/>
        </w:rPr>
        <w:t xml:space="preserve"> beneficial for the company it </w:t>
      </w:r>
      <w:r w:rsidR="00783AD4" w:rsidRPr="00E80090">
        <w:rPr>
          <w:rFonts w:asciiTheme="majorHAnsi" w:hAnsiTheme="majorHAnsi" w:cs="Cambria"/>
          <w:lang w:val="en-GB" w:eastAsia="en-US"/>
        </w:rPr>
        <w:t>may also involve certain challenges</w:t>
      </w:r>
      <w:r w:rsidR="00097B58"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Mulligan (2001) argues that it may be difficult to </w:t>
      </w:r>
      <w:r w:rsidR="00C95514" w:rsidRPr="00E80090">
        <w:rPr>
          <w:rFonts w:asciiTheme="majorHAnsi" w:hAnsiTheme="majorHAnsi" w:cs="Cambria"/>
          <w:lang w:val="en-GB" w:eastAsia="en-US"/>
        </w:rPr>
        <w:t xml:space="preserve">find a financial intermediary that would have the </w:t>
      </w:r>
      <w:r w:rsidR="00F152AA" w:rsidRPr="00E80090">
        <w:rPr>
          <w:rFonts w:asciiTheme="majorHAnsi" w:hAnsiTheme="majorHAnsi" w:cs="Cambria"/>
          <w:lang w:val="en-GB" w:eastAsia="en-US"/>
        </w:rPr>
        <w:t>expertise</w:t>
      </w:r>
      <w:r w:rsidR="00C95514" w:rsidRPr="00E80090">
        <w:rPr>
          <w:rFonts w:asciiTheme="majorHAnsi" w:hAnsiTheme="majorHAnsi" w:cs="Cambria"/>
          <w:lang w:val="en-GB" w:eastAsia="en-US"/>
        </w:rPr>
        <w:t xml:space="preserve"> for the whole region in-house. </w:t>
      </w:r>
      <w:r w:rsidRPr="00E80090">
        <w:rPr>
          <w:rFonts w:asciiTheme="majorHAnsi" w:hAnsiTheme="majorHAnsi" w:cs="Cambria"/>
          <w:lang w:val="en-GB" w:eastAsia="en-US"/>
        </w:rPr>
        <w:t xml:space="preserve">His view has been proven </w:t>
      </w:r>
      <w:r w:rsidR="00C95514" w:rsidRPr="00E80090">
        <w:rPr>
          <w:rFonts w:asciiTheme="majorHAnsi" w:hAnsiTheme="majorHAnsi" w:cs="Cambria"/>
          <w:lang w:val="en-GB" w:eastAsia="en-US"/>
        </w:rPr>
        <w:t>b</w:t>
      </w:r>
      <w:r w:rsidRPr="00E80090">
        <w:rPr>
          <w:rFonts w:asciiTheme="majorHAnsi" w:hAnsiTheme="majorHAnsi" w:cs="Cambria"/>
          <w:lang w:val="en-GB" w:eastAsia="en-US"/>
        </w:rPr>
        <w:t xml:space="preserve">y </w:t>
      </w:r>
      <w:r w:rsidR="00C95514" w:rsidRPr="00E80090">
        <w:rPr>
          <w:rFonts w:asciiTheme="majorHAnsi" w:hAnsiTheme="majorHAnsi" w:cs="Cambria"/>
          <w:lang w:val="en-GB" w:eastAsia="en-US"/>
        </w:rPr>
        <w:t xml:space="preserve">the fact that no </w:t>
      </w:r>
      <w:r w:rsidR="001B4301" w:rsidRPr="00E80090">
        <w:rPr>
          <w:rFonts w:asciiTheme="majorHAnsi" w:hAnsiTheme="majorHAnsi" w:cs="Cambria"/>
          <w:lang w:val="en-GB" w:eastAsia="en-US"/>
        </w:rPr>
        <w:t xml:space="preserve">single </w:t>
      </w:r>
      <w:r w:rsidR="00C95514" w:rsidRPr="00E80090">
        <w:rPr>
          <w:rFonts w:asciiTheme="majorHAnsi" w:hAnsiTheme="majorHAnsi" w:cs="Cambria"/>
          <w:lang w:val="en-GB" w:eastAsia="en-US"/>
        </w:rPr>
        <w:t xml:space="preserve">bank </w:t>
      </w:r>
      <w:r w:rsidR="00B51F80" w:rsidRPr="00E80090">
        <w:rPr>
          <w:rFonts w:asciiTheme="majorHAnsi" w:hAnsiTheme="majorHAnsi" w:cs="Cambria"/>
          <w:lang w:val="en-GB" w:eastAsia="en-US"/>
        </w:rPr>
        <w:t>has coverage in</w:t>
      </w:r>
      <w:r w:rsidR="00C95514" w:rsidRPr="00E80090">
        <w:rPr>
          <w:rFonts w:asciiTheme="majorHAnsi" w:hAnsiTheme="majorHAnsi" w:cs="Cambria"/>
          <w:lang w:val="en-GB" w:eastAsia="en-US"/>
        </w:rPr>
        <w:t xml:space="preserve"> </w:t>
      </w:r>
      <w:r w:rsidR="0084711E" w:rsidRPr="00E80090">
        <w:rPr>
          <w:rFonts w:asciiTheme="majorHAnsi" w:hAnsiTheme="majorHAnsi" w:cs="Cambria"/>
          <w:lang w:val="en-GB" w:eastAsia="en-US"/>
        </w:rPr>
        <w:t>all CEE countries</w:t>
      </w:r>
      <w:r w:rsidR="00C95514" w:rsidRPr="00E80090">
        <w:rPr>
          <w:rFonts w:asciiTheme="majorHAnsi" w:hAnsiTheme="majorHAnsi" w:cs="Cambria"/>
          <w:lang w:val="en-GB" w:eastAsia="en-US"/>
        </w:rPr>
        <w:t>. The research has shown that UniCredit is the bank with the largest presence in the area. However, it manages its greater reach by having a fragmented</w:t>
      </w:r>
      <w:r w:rsidR="00852A83" w:rsidRPr="00E80090">
        <w:rPr>
          <w:rFonts w:asciiTheme="majorHAnsi" w:hAnsiTheme="majorHAnsi" w:cs="Cambria"/>
          <w:lang w:val="en-GB" w:eastAsia="en-US"/>
        </w:rPr>
        <w:t>,</w:t>
      </w:r>
      <w:r w:rsidR="00C95514" w:rsidRPr="00E80090">
        <w:rPr>
          <w:rFonts w:asciiTheme="majorHAnsi" w:hAnsiTheme="majorHAnsi" w:cs="Cambria"/>
          <w:lang w:val="en-GB" w:eastAsia="en-US"/>
        </w:rPr>
        <w:t xml:space="preserve"> locally focused structure. </w:t>
      </w:r>
      <w:r w:rsidR="00915A95" w:rsidRPr="00E80090">
        <w:rPr>
          <w:rFonts w:asciiTheme="majorHAnsi" w:hAnsiTheme="majorHAnsi" w:cs="Cambria"/>
          <w:lang w:val="en-GB" w:eastAsia="en-US"/>
        </w:rPr>
        <w:t>Consequently, linkage between its different branches is not possible.</w:t>
      </w:r>
      <w:r w:rsidR="001C733C" w:rsidRPr="00E80090">
        <w:rPr>
          <w:rFonts w:asciiTheme="majorHAnsi" w:hAnsiTheme="majorHAnsi" w:cs="Cambria"/>
          <w:lang w:val="en-GB" w:eastAsia="en-US"/>
        </w:rPr>
        <w:t xml:space="preserve"> </w:t>
      </w:r>
      <w:r w:rsidR="0049690E" w:rsidRPr="00E80090">
        <w:rPr>
          <w:rFonts w:asciiTheme="majorHAnsi" w:hAnsiTheme="majorHAnsi" w:cs="Cambria"/>
          <w:lang w:val="en-GB" w:eastAsia="en-US"/>
        </w:rPr>
        <w:t xml:space="preserve">On the other hand, Citibank has </w:t>
      </w:r>
      <w:r w:rsidR="00E41603" w:rsidRPr="00E80090">
        <w:rPr>
          <w:rFonts w:asciiTheme="majorHAnsi" w:hAnsiTheme="majorHAnsi" w:cs="Cambria"/>
          <w:lang w:val="en-GB" w:eastAsia="en-US"/>
        </w:rPr>
        <w:t>a globally integrated structure b</w:t>
      </w:r>
      <w:r w:rsidR="0049690E" w:rsidRPr="00E80090">
        <w:rPr>
          <w:rFonts w:asciiTheme="majorHAnsi" w:hAnsiTheme="majorHAnsi" w:cs="Cambria"/>
          <w:lang w:val="en-GB" w:eastAsia="en-US"/>
        </w:rPr>
        <w:t xml:space="preserve">ut </w:t>
      </w:r>
      <w:r w:rsidR="001C733C" w:rsidRPr="00E80090">
        <w:rPr>
          <w:rFonts w:asciiTheme="majorHAnsi" w:hAnsiTheme="majorHAnsi" w:cs="Cambria"/>
          <w:lang w:val="en-GB" w:eastAsia="en-US"/>
        </w:rPr>
        <w:t>has a smaller coverage of the</w:t>
      </w:r>
      <w:r w:rsidR="00DD0D36" w:rsidRPr="00E80090">
        <w:rPr>
          <w:rFonts w:asciiTheme="majorHAnsi" w:hAnsiTheme="majorHAnsi" w:cs="Cambria"/>
          <w:lang w:val="en-GB" w:eastAsia="en-US"/>
        </w:rPr>
        <w:t xml:space="preserve"> CEE</w:t>
      </w:r>
      <w:r w:rsidR="001C733C" w:rsidRPr="00E80090">
        <w:rPr>
          <w:rFonts w:asciiTheme="majorHAnsi" w:hAnsiTheme="majorHAnsi" w:cs="Cambria"/>
          <w:lang w:val="en-GB" w:eastAsia="en-US"/>
        </w:rPr>
        <w:t xml:space="preserve"> area.</w:t>
      </w:r>
    </w:p>
    <w:p w14:paraId="6E584349" w14:textId="77777777" w:rsidR="001E7063" w:rsidRPr="00E80090" w:rsidRDefault="008965B3" w:rsidP="006C685E">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Furthermore, a</w:t>
      </w:r>
      <w:r w:rsidR="00097B58" w:rsidRPr="00E80090">
        <w:rPr>
          <w:rFonts w:asciiTheme="majorHAnsi" w:hAnsiTheme="majorHAnsi" w:cs="Cambria"/>
          <w:lang w:val="en-GB" w:eastAsia="en-US"/>
        </w:rPr>
        <w:t>s suggested</w:t>
      </w:r>
      <w:r w:rsidR="009842B7" w:rsidRPr="00E80090">
        <w:rPr>
          <w:rFonts w:asciiTheme="majorHAnsi" w:hAnsiTheme="majorHAnsi" w:cs="Cambria"/>
          <w:lang w:val="en-GB" w:eastAsia="en-US"/>
        </w:rPr>
        <w:t xml:space="preserve"> </w:t>
      </w:r>
      <w:r w:rsidR="00487D53" w:rsidRPr="00E80090">
        <w:rPr>
          <w:rFonts w:asciiTheme="majorHAnsi" w:hAnsiTheme="majorHAnsi" w:cs="Cambria"/>
          <w:lang w:val="en-GB" w:eastAsia="en-US"/>
        </w:rPr>
        <w:t>by</w:t>
      </w:r>
      <w:r w:rsidR="009842B7" w:rsidRPr="00E80090">
        <w:rPr>
          <w:rFonts w:asciiTheme="majorHAnsi" w:hAnsiTheme="majorHAnsi" w:cs="Cambria"/>
          <w:lang w:val="en-GB" w:eastAsia="en-US"/>
        </w:rPr>
        <w:t xml:space="preserve"> the literature</w:t>
      </w:r>
      <w:r w:rsidR="00097B58" w:rsidRPr="00E80090">
        <w:rPr>
          <w:rFonts w:asciiTheme="majorHAnsi" w:hAnsiTheme="majorHAnsi" w:cs="Cambria"/>
          <w:lang w:val="en-GB" w:eastAsia="en-US"/>
        </w:rPr>
        <w:t>, the CEE region should not be considered as one homogeneous unit, but the differences between the countries need to be taken into account</w:t>
      </w:r>
      <w:r w:rsidR="00BA4BEE" w:rsidRPr="00E80090">
        <w:rPr>
          <w:rFonts w:asciiTheme="majorHAnsi" w:hAnsiTheme="majorHAnsi" w:cs="Cambria"/>
          <w:lang w:val="en-GB" w:eastAsia="en-US"/>
        </w:rPr>
        <w:t xml:space="preserve"> (Institutional Investor Journal, 2010)</w:t>
      </w:r>
      <w:r w:rsidR="00097B58" w:rsidRPr="00E80090">
        <w:rPr>
          <w:rFonts w:asciiTheme="majorHAnsi" w:hAnsiTheme="majorHAnsi" w:cs="Cambria"/>
          <w:lang w:val="en-GB" w:eastAsia="en-US"/>
        </w:rPr>
        <w:t xml:space="preserve">. </w:t>
      </w:r>
      <w:r w:rsidR="00B83DA1" w:rsidRPr="00E80090">
        <w:rPr>
          <w:rFonts w:asciiTheme="majorHAnsi" w:hAnsiTheme="majorHAnsi" w:cs="Cambria"/>
          <w:lang w:val="en-GB" w:eastAsia="en-US"/>
        </w:rPr>
        <w:t>The</w:t>
      </w:r>
      <w:r w:rsidR="009842B7" w:rsidRPr="00E80090">
        <w:rPr>
          <w:rFonts w:asciiTheme="majorHAnsi" w:hAnsiTheme="majorHAnsi" w:cs="Cambria"/>
          <w:lang w:val="en-GB" w:eastAsia="en-US"/>
        </w:rPr>
        <w:t xml:space="preserve">se differences have become apparent in the second stage of research, which was focused on the local </w:t>
      </w:r>
      <w:r w:rsidR="00487D53" w:rsidRPr="00E80090">
        <w:rPr>
          <w:rFonts w:asciiTheme="majorHAnsi" w:hAnsiTheme="majorHAnsi" w:cs="Cambria"/>
          <w:lang w:val="en-GB" w:eastAsia="en-US"/>
        </w:rPr>
        <w:t xml:space="preserve">subsidiary </w:t>
      </w:r>
      <w:r w:rsidR="009842B7" w:rsidRPr="00E80090">
        <w:rPr>
          <w:rFonts w:asciiTheme="majorHAnsi" w:hAnsiTheme="majorHAnsi" w:cs="Cambria"/>
          <w:lang w:val="en-GB" w:eastAsia="en-US"/>
        </w:rPr>
        <w:t xml:space="preserve">level. </w:t>
      </w:r>
      <w:r w:rsidR="007225DB" w:rsidRPr="00E80090">
        <w:rPr>
          <w:rFonts w:asciiTheme="majorHAnsi" w:hAnsiTheme="majorHAnsi" w:cs="Cambria"/>
          <w:lang w:val="en-GB" w:eastAsia="en-US"/>
        </w:rPr>
        <w:t xml:space="preserve">As a result, the project is likely to be executed differently in each country. </w:t>
      </w:r>
      <w:r w:rsidR="00B83DA1" w:rsidRPr="00E80090">
        <w:rPr>
          <w:rFonts w:asciiTheme="majorHAnsi" w:hAnsiTheme="majorHAnsi" w:cs="Cambria"/>
          <w:lang w:val="en-GB" w:eastAsia="en-US"/>
        </w:rPr>
        <w:t>This</w:t>
      </w:r>
      <w:r w:rsidR="00597BB5" w:rsidRPr="00E80090">
        <w:rPr>
          <w:rFonts w:asciiTheme="majorHAnsi" w:hAnsiTheme="majorHAnsi" w:cs="Cambria"/>
          <w:lang w:val="en-GB" w:eastAsia="en-US"/>
        </w:rPr>
        <w:t xml:space="preserve"> is </w:t>
      </w:r>
      <w:r w:rsidR="00B83DA1" w:rsidRPr="00E80090">
        <w:rPr>
          <w:rFonts w:asciiTheme="majorHAnsi" w:hAnsiTheme="majorHAnsi" w:cs="Cambria"/>
          <w:lang w:val="en-GB" w:eastAsia="en-US"/>
        </w:rPr>
        <w:t xml:space="preserve">even </w:t>
      </w:r>
      <w:r w:rsidR="00597BB5" w:rsidRPr="00E80090">
        <w:rPr>
          <w:rFonts w:asciiTheme="majorHAnsi" w:hAnsiTheme="majorHAnsi" w:cs="Cambria"/>
          <w:lang w:val="en-GB" w:eastAsia="en-US"/>
        </w:rPr>
        <w:t>more strongly suggested</w:t>
      </w:r>
      <w:r w:rsidR="00644643" w:rsidRPr="00E80090">
        <w:rPr>
          <w:rFonts w:asciiTheme="majorHAnsi" w:hAnsiTheme="majorHAnsi" w:cs="Cambria"/>
          <w:lang w:val="en-GB" w:eastAsia="en-US"/>
        </w:rPr>
        <w:t xml:space="preserve"> when it comes to the separatio</w:t>
      </w:r>
      <w:r w:rsidR="00597BB5" w:rsidRPr="00E80090">
        <w:rPr>
          <w:rFonts w:asciiTheme="majorHAnsi" w:hAnsiTheme="majorHAnsi" w:cs="Cambria"/>
          <w:lang w:val="en-GB" w:eastAsia="en-US"/>
        </w:rPr>
        <w:t xml:space="preserve">n between different banks. </w:t>
      </w:r>
    </w:p>
    <w:p w14:paraId="6E58434A" w14:textId="77777777" w:rsidR="00AA02EF" w:rsidRPr="00E80090" w:rsidRDefault="00AA02EF" w:rsidP="006C685E">
      <w:pPr>
        <w:pStyle w:val="Kop2"/>
        <w:numPr>
          <w:ilvl w:val="1"/>
          <w:numId w:val="11"/>
        </w:numPr>
        <w:spacing w:after="200" w:line="360" w:lineRule="auto"/>
        <w:jc w:val="both"/>
        <w:rPr>
          <w:rFonts w:asciiTheme="majorHAnsi" w:hAnsiTheme="majorHAnsi"/>
          <w:lang w:val="en-GB"/>
        </w:rPr>
      </w:pPr>
      <w:bookmarkStart w:id="148" w:name="_Toc360633036"/>
      <w:bookmarkStart w:id="149" w:name="_Toc368290367"/>
      <w:r w:rsidRPr="00E80090">
        <w:rPr>
          <w:rFonts w:asciiTheme="majorHAnsi" w:hAnsiTheme="majorHAnsi"/>
          <w:lang w:val="en-GB"/>
        </w:rPr>
        <w:t>Practical application</w:t>
      </w:r>
      <w:r w:rsidR="00CD42F9" w:rsidRPr="00E80090">
        <w:rPr>
          <w:rFonts w:asciiTheme="majorHAnsi" w:hAnsiTheme="majorHAnsi"/>
          <w:lang w:val="en-GB"/>
        </w:rPr>
        <w:t xml:space="preserve"> of findings</w:t>
      </w:r>
      <w:bookmarkEnd w:id="148"/>
      <w:bookmarkEnd w:id="149"/>
    </w:p>
    <w:p w14:paraId="6E58434B" w14:textId="77777777" w:rsidR="00426CC6" w:rsidRPr="00E80090" w:rsidRDefault="00426CC6" w:rsidP="00426CC6">
      <w:pPr>
        <w:pStyle w:val="Lijstalinea"/>
        <w:keepNext/>
        <w:keepLines/>
        <w:numPr>
          <w:ilvl w:val="0"/>
          <w:numId w:val="12"/>
        </w:numPr>
        <w:spacing w:before="200" w:after="0" w:line="360" w:lineRule="auto"/>
        <w:outlineLvl w:val="1"/>
        <w:rPr>
          <w:rFonts w:asciiTheme="majorHAnsi" w:hAnsiTheme="majorHAnsi" w:cs="Cambria"/>
          <w:b/>
          <w:bCs/>
          <w:vanish/>
          <w:color w:val="4F81BD"/>
          <w:sz w:val="24"/>
          <w:szCs w:val="24"/>
          <w:lang w:val="en-GB" w:eastAsia="ja-JP"/>
        </w:rPr>
      </w:pPr>
      <w:bookmarkStart w:id="150" w:name="_Toc365634563"/>
      <w:bookmarkStart w:id="151" w:name="_Toc365644370"/>
      <w:bookmarkStart w:id="152" w:name="_Toc365908920"/>
      <w:bookmarkStart w:id="153" w:name="_Toc366759537"/>
      <w:bookmarkStart w:id="154" w:name="_Toc366946097"/>
      <w:bookmarkStart w:id="155" w:name="_Toc367018850"/>
      <w:bookmarkStart w:id="156" w:name="_Toc367047241"/>
      <w:bookmarkStart w:id="157" w:name="_Toc368162097"/>
      <w:bookmarkStart w:id="158" w:name="_Toc368290368"/>
      <w:bookmarkEnd w:id="150"/>
      <w:bookmarkEnd w:id="151"/>
      <w:bookmarkEnd w:id="152"/>
      <w:bookmarkEnd w:id="153"/>
      <w:bookmarkEnd w:id="154"/>
      <w:bookmarkEnd w:id="155"/>
      <w:bookmarkEnd w:id="156"/>
      <w:bookmarkEnd w:id="157"/>
      <w:bookmarkEnd w:id="158"/>
    </w:p>
    <w:p w14:paraId="6E58434C" w14:textId="77777777" w:rsidR="00426CC6" w:rsidRPr="00E80090" w:rsidRDefault="00426CC6" w:rsidP="00426CC6">
      <w:pPr>
        <w:pStyle w:val="Lijstalinea"/>
        <w:keepNext/>
        <w:keepLines/>
        <w:numPr>
          <w:ilvl w:val="1"/>
          <w:numId w:val="12"/>
        </w:numPr>
        <w:spacing w:before="200" w:after="0" w:line="360" w:lineRule="auto"/>
        <w:outlineLvl w:val="1"/>
        <w:rPr>
          <w:rFonts w:asciiTheme="majorHAnsi" w:hAnsiTheme="majorHAnsi" w:cs="Cambria"/>
          <w:b/>
          <w:bCs/>
          <w:vanish/>
          <w:color w:val="4F81BD"/>
          <w:sz w:val="24"/>
          <w:szCs w:val="24"/>
          <w:lang w:val="en-GB" w:eastAsia="ja-JP"/>
        </w:rPr>
      </w:pPr>
      <w:bookmarkStart w:id="159" w:name="_Toc365634564"/>
      <w:bookmarkStart w:id="160" w:name="_Toc365644371"/>
      <w:bookmarkStart w:id="161" w:name="_Toc365908921"/>
      <w:bookmarkStart w:id="162" w:name="_Toc366759538"/>
      <w:bookmarkStart w:id="163" w:name="_Toc366946098"/>
      <w:bookmarkStart w:id="164" w:name="_Toc367018851"/>
      <w:bookmarkStart w:id="165" w:name="_Toc367047242"/>
      <w:bookmarkStart w:id="166" w:name="_Toc368162098"/>
      <w:bookmarkStart w:id="167" w:name="_Toc368290369"/>
      <w:bookmarkEnd w:id="159"/>
      <w:bookmarkEnd w:id="160"/>
      <w:bookmarkEnd w:id="161"/>
      <w:bookmarkEnd w:id="162"/>
      <w:bookmarkEnd w:id="163"/>
      <w:bookmarkEnd w:id="164"/>
      <w:bookmarkEnd w:id="165"/>
      <w:bookmarkEnd w:id="166"/>
      <w:bookmarkEnd w:id="167"/>
    </w:p>
    <w:p w14:paraId="6E58434D" w14:textId="77777777" w:rsidR="00426CC6" w:rsidRPr="00E80090" w:rsidRDefault="00426CC6" w:rsidP="00426CC6">
      <w:pPr>
        <w:pStyle w:val="Lijstalinea"/>
        <w:keepNext/>
        <w:keepLines/>
        <w:numPr>
          <w:ilvl w:val="1"/>
          <w:numId w:val="12"/>
        </w:numPr>
        <w:spacing w:before="200" w:after="0" w:line="360" w:lineRule="auto"/>
        <w:outlineLvl w:val="1"/>
        <w:rPr>
          <w:rFonts w:asciiTheme="majorHAnsi" w:hAnsiTheme="majorHAnsi" w:cs="Cambria"/>
          <w:b/>
          <w:bCs/>
          <w:vanish/>
          <w:color w:val="4F81BD"/>
          <w:sz w:val="24"/>
          <w:szCs w:val="24"/>
          <w:lang w:val="en-GB" w:eastAsia="ja-JP"/>
        </w:rPr>
      </w:pPr>
      <w:bookmarkStart w:id="168" w:name="_Toc365634565"/>
      <w:bookmarkStart w:id="169" w:name="_Toc365644372"/>
      <w:bookmarkStart w:id="170" w:name="_Toc365908922"/>
      <w:bookmarkStart w:id="171" w:name="_Toc366759539"/>
      <w:bookmarkStart w:id="172" w:name="_Toc366946099"/>
      <w:bookmarkStart w:id="173" w:name="_Toc367018852"/>
      <w:bookmarkStart w:id="174" w:name="_Toc367047243"/>
      <w:bookmarkStart w:id="175" w:name="_Toc368162099"/>
      <w:bookmarkStart w:id="176" w:name="_Toc368290370"/>
      <w:bookmarkEnd w:id="168"/>
      <w:bookmarkEnd w:id="169"/>
      <w:bookmarkEnd w:id="170"/>
      <w:bookmarkEnd w:id="171"/>
      <w:bookmarkEnd w:id="172"/>
      <w:bookmarkEnd w:id="173"/>
      <w:bookmarkEnd w:id="174"/>
      <w:bookmarkEnd w:id="175"/>
      <w:bookmarkEnd w:id="176"/>
    </w:p>
    <w:p w14:paraId="6E58434E" w14:textId="77777777" w:rsidR="001A75A9" w:rsidRPr="00E80090" w:rsidRDefault="001A75A9" w:rsidP="00426CC6">
      <w:pPr>
        <w:pStyle w:val="Kop2"/>
        <w:numPr>
          <w:ilvl w:val="2"/>
          <w:numId w:val="12"/>
        </w:numPr>
        <w:spacing w:line="360" w:lineRule="auto"/>
        <w:rPr>
          <w:rFonts w:asciiTheme="majorHAnsi" w:hAnsiTheme="majorHAnsi"/>
          <w:sz w:val="24"/>
          <w:szCs w:val="24"/>
          <w:lang w:val="en-GB"/>
        </w:rPr>
      </w:pPr>
      <w:bookmarkStart w:id="177" w:name="_Toc368290371"/>
      <w:r w:rsidRPr="00E80090">
        <w:rPr>
          <w:rFonts w:asciiTheme="majorHAnsi" w:hAnsiTheme="majorHAnsi"/>
          <w:sz w:val="24"/>
          <w:szCs w:val="24"/>
          <w:lang w:val="en-GB"/>
        </w:rPr>
        <w:t>Payments</w:t>
      </w:r>
      <w:bookmarkEnd w:id="177"/>
      <w:r w:rsidRPr="00E80090">
        <w:rPr>
          <w:rFonts w:asciiTheme="majorHAnsi" w:hAnsiTheme="majorHAnsi"/>
          <w:sz w:val="24"/>
          <w:szCs w:val="24"/>
          <w:lang w:val="en-GB"/>
        </w:rPr>
        <w:t xml:space="preserve">  </w:t>
      </w:r>
    </w:p>
    <w:p w14:paraId="6E58434F" w14:textId="77777777" w:rsidR="00CB20B2" w:rsidRPr="00E80090" w:rsidRDefault="00B02327" w:rsidP="00C21B0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It is a co</w:t>
      </w:r>
      <w:r w:rsidR="00015052" w:rsidRPr="00E80090">
        <w:rPr>
          <w:rFonts w:asciiTheme="majorHAnsi" w:hAnsiTheme="majorHAnsi" w:cs="Cambria"/>
          <w:lang w:val="en-GB" w:eastAsia="en-US"/>
        </w:rPr>
        <w:t>rporate</w:t>
      </w:r>
      <w:r w:rsidRPr="00E80090">
        <w:rPr>
          <w:rFonts w:asciiTheme="majorHAnsi" w:hAnsiTheme="majorHAnsi" w:cs="Cambria"/>
          <w:lang w:val="en-GB" w:eastAsia="en-US"/>
        </w:rPr>
        <w:t xml:space="preserve"> policy to get rid of petty cash</w:t>
      </w:r>
      <w:r w:rsidR="00CD42F9" w:rsidRPr="00E80090">
        <w:rPr>
          <w:rFonts w:asciiTheme="majorHAnsi" w:hAnsiTheme="majorHAnsi" w:cs="Cambria"/>
          <w:lang w:val="en-GB" w:eastAsia="en-US"/>
        </w:rPr>
        <w:t xml:space="preserve">, which is still </w:t>
      </w:r>
      <w:r w:rsidR="007F1BBD" w:rsidRPr="00E80090">
        <w:rPr>
          <w:rFonts w:asciiTheme="majorHAnsi" w:hAnsiTheme="majorHAnsi" w:cs="Cambria"/>
          <w:lang w:val="en-GB" w:eastAsia="en-US"/>
        </w:rPr>
        <w:t xml:space="preserve">commonly used in the </w:t>
      </w:r>
      <w:r w:rsidR="00D963E6" w:rsidRPr="00E80090">
        <w:rPr>
          <w:rFonts w:asciiTheme="majorHAnsi" w:hAnsiTheme="majorHAnsi" w:cs="Cambria"/>
          <w:lang w:val="en-GB" w:eastAsia="en-US"/>
        </w:rPr>
        <w:t xml:space="preserve">CEE </w:t>
      </w:r>
      <w:r w:rsidR="007F1BBD" w:rsidRPr="00E80090">
        <w:rPr>
          <w:rFonts w:asciiTheme="majorHAnsi" w:hAnsiTheme="majorHAnsi" w:cs="Cambria"/>
          <w:lang w:val="en-GB" w:eastAsia="en-US"/>
        </w:rPr>
        <w:t>region</w:t>
      </w:r>
      <w:r w:rsidRPr="00E80090">
        <w:rPr>
          <w:rFonts w:asciiTheme="majorHAnsi" w:hAnsiTheme="majorHAnsi" w:cs="Cambria"/>
          <w:lang w:val="en-GB" w:eastAsia="en-US"/>
        </w:rPr>
        <w:t xml:space="preserve">. </w:t>
      </w:r>
      <w:r w:rsidR="00015052" w:rsidRPr="00E80090">
        <w:rPr>
          <w:rFonts w:asciiTheme="majorHAnsi" w:hAnsiTheme="majorHAnsi" w:cs="Cambria"/>
          <w:lang w:val="en-GB" w:eastAsia="en-US"/>
        </w:rPr>
        <w:t xml:space="preserve">The method is not preferred because its use is hard to monitor and regulate. </w:t>
      </w:r>
      <w:r w:rsidRPr="00E80090">
        <w:rPr>
          <w:rFonts w:asciiTheme="majorHAnsi" w:hAnsiTheme="majorHAnsi" w:cs="Cambria"/>
          <w:lang w:val="en-GB" w:eastAsia="en-US"/>
        </w:rPr>
        <w:t>In this respect</w:t>
      </w:r>
      <w:r w:rsidR="00804BD6" w:rsidRPr="00E80090">
        <w:rPr>
          <w:rFonts w:asciiTheme="majorHAnsi" w:hAnsiTheme="majorHAnsi" w:cs="Cambria"/>
          <w:lang w:val="en-GB" w:eastAsia="en-US"/>
        </w:rPr>
        <w:t>,</w:t>
      </w:r>
      <w:r w:rsidRPr="00E80090">
        <w:rPr>
          <w:rFonts w:asciiTheme="majorHAnsi" w:hAnsiTheme="majorHAnsi" w:cs="Cambria"/>
          <w:lang w:val="en-GB" w:eastAsia="en-US"/>
        </w:rPr>
        <w:t xml:space="preserve"> </w:t>
      </w:r>
      <w:r w:rsidR="0070360B" w:rsidRPr="00E80090">
        <w:rPr>
          <w:rFonts w:asciiTheme="majorHAnsi" w:hAnsiTheme="majorHAnsi" w:cs="Cambria"/>
          <w:lang w:val="en-GB" w:eastAsia="en-US"/>
        </w:rPr>
        <w:t>eliminating it as a payment instrument</w:t>
      </w:r>
      <w:r w:rsidR="00FA5620" w:rsidRPr="00E80090">
        <w:rPr>
          <w:rFonts w:asciiTheme="majorHAnsi" w:hAnsiTheme="majorHAnsi" w:cs="Cambria"/>
          <w:lang w:val="en-GB" w:eastAsia="en-US"/>
        </w:rPr>
        <w:t xml:space="preserve"> </w:t>
      </w:r>
      <w:r w:rsidR="00BF4C4A" w:rsidRPr="00E80090">
        <w:rPr>
          <w:rFonts w:asciiTheme="majorHAnsi" w:hAnsiTheme="majorHAnsi" w:cs="Cambria"/>
          <w:lang w:val="en-GB" w:eastAsia="en-US"/>
        </w:rPr>
        <w:t>can</w:t>
      </w:r>
      <w:r w:rsidR="00FA5620" w:rsidRPr="00E80090">
        <w:rPr>
          <w:rFonts w:asciiTheme="majorHAnsi" w:hAnsiTheme="majorHAnsi" w:cs="Cambria"/>
          <w:lang w:val="en-GB" w:eastAsia="en-US"/>
        </w:rPr>
        <w:t xml:space="preserve"> improve the security on the local level</w:t>
      </w:r>
      <w:r w:rsidRPr="00E80090">
        <w:rPr>
          <w:rFonts w:asciiTheme="majorHAnsi" w:hAnsiTheme="majorHAnsi" w:cs="Cambria"/>
          <w:lang w:val="en-GB" w:eastAsia="en-US"/>
        </w:rPr>
        <w:t>.</w:t>
      </w:r>
      <w:r w:rsidR="00EC7595" w:rsidRPr="00E80090">
        <w:rPr>
          <w:rFonts w:asciiTheme="majorHAnsi" w:hAnsiTheme="majorHAnsi" w:cs="Cambria"/>
          <w:b/>
          <w:lang w:val="en-GB" w:eastAsia="en-US"/>
        </w:rPr>
        <w:t xml:space="preserve"> </w:t>
      </w:r>
      <w:r w:rsidR="00B70798" w:rsidRPr="00E80090">
        <w:rPr>
          <w:rFonts w:asciiTheme="majorHAnsi" w:hAnsiTheme="majorHAnsi" w:cs="Cambria"/>
          <w:lang w:val="en-GB" w:eastAsia="en-US"/>
        </w:rPr>
        <w:t xml:space="preserve">However, as the practices in Bulgaria, Romania and Slovakia would not allow the complete </w:t>
      </w:r>
      <w:r w:rsidR="00A81AE5" w:rsidRPr="00E80090">
        <w:rPr>
          <w:rFonts w:asciiTheme="majorHAnsi" w:hAnsiTheme="majorHAnsi" w:cs="Cambria"/>
          <w:lang w:val="en-GB" w:eastAsia="en-US"/>
        </w:rPr>
        <w:t>removal</w:t>
      </w:r>
      <w:r w:rsidR="00B70798" w:rsidRPr="00E80090">
        <w:rPr>
          <w:rFonts w:asciiTheme="majorHAnsi" w:hAnsiTheme="majorHAnsi" w:cs="Cambria"/>
          <w:lang w:val="en-GB" w:eastAsia="en-US"/>
        </w:rPr>
        <w:t xml:space="preserve"> of cash transactions, the company needs to find another solution. </w:t>
      </w:r>
      <w:r w:rsidR="00EC7595" w:rsidRPr="00E80090">
        <w:rPr>
          <w:rFonts w:asciiTheme="majorHAnsi" w:hAnsiTheme="majorHAnsi" w:cs="Cambria"/>
          <w:lang w:val="en-GB" w:eastAsia="en-US"/>
        </w:rPr>
        <w:t xml:space="preserve">Alternatives to petty cash would </w:t>
      </w:r>
      <w:r w:rsidR="00C37426" w:rsidRPr="00E80090">
        <w:rPr>
          <w:rFonts w:asciiTheme="majorHAnsi" w:hAnsiTheme="majorHAnsi" w:cs="Cambria"/>
          <w:lang w:val="en-GB" w:eastAsia="en-US"/>
        </w:rPr>
        <w:t>be credit card</w:t>
      </w:r>
      <w:r w:rsidR="00C061DA" w:rsidRPr="00E80090">
        <w:rPr>
          <w:rFonts w:asciiTheme="majorHAnsi" w:hAnsiTheme="majorHAnsi" w:cs="Cambria"/>
          <w:lang w:val="en-GB" w:eastAsia="en-US"/>
        </w:rPr>
        <w:t xml:space="preserve">s and </w:t>
      </w:r>
      <w:r w:rsidR="00F45541" w:rsidRPr="00E80090">
        <w:rPr>
          <w:rFonts w:asciiTheme="majorHAnsi" w:hAnsiTheme="majorHAnsi" w:cs="Cambria"/>
          <w:lang w:val="en-GB" w:eastAsia="en-US"/>
        </w:rPr>
        <w:t xml:space="preserve">the use of </w:t>
      </w:r>
      <w:r w:rsidR="00EC7595" w:rsidRPr="00E80090">
        <w:rPr>
          <w:rFonts w:asciiTheme="majorHAnsi" w:hAnsiTheme="majorHAnsi" w:cs="Cambria"/>
          <w:lang w:val="en-GB" w:eastAsia="en-US"/>
        </w:rPr>
        <w:t xml:space="preserve">expense reports. </w:t>
      </w:r>
      <w:r w:rsidR="002D6CCA" w:rsidRPr="00E80090">
        <w:rPr>
          <w:rFonts w:asciiTheme="majorHAnsi" w:hAnsiTheme="majorHAnsi" w:cs="Cambria"/>
          <w:lang w:val="en-GB" w:eastAsia="en-US"/>
        </w:rPr>
        <w:t xml:space="preserve"> </w:t>
      </w:r>
      <w:r w:rsidR="00BC28BF" w:rsidRPr="00E80090">
        <w:rPr>
          <w:rFonts w:asciiTheme="majorHAnsi" w:hAnsiTheme="majorHAnsi" w:cs="Cambria"/>
          <w:lang w:val="en-GB" w:eastAsia="en-US"/>
        </w:rPr>
        <w:t>The volume</w:t>
      </w:r>
      <w:r w:rsidR="00C21B03" w:rsidRPr="00E80090">
        <w:rPr>
          <w:rFonts w:asciiTheme="majorHAnsi" w:hAnsiTheme="majorHAnsi" w:cs="Cambria"/>
          <w:lang w:val="en-GB" w:eastAsia="en-US"/>
        </w:rPr>
        <w:t xml:space="preserve"> of </w:t>
      </w:r>
      <w:r w:rsidR="00A81AE5" w:rsidRPr="00E80090">
        <w:rPr>
          <w:rFonts w:asciiTheme="majorHAnsi" w:hAnsiTheme="majorHAnsi" w:cs="Cambria"/>
          <w:lang w:val="en-GB" w:eastAsia="en-US"/>
        </w:rPr>
        <w:t>such</w:t>
      </w:r>
      <w:r w:rsidR="00C21B03" w:rsidRPr="00E80090">
        <w:rPr>
          <w:rFonts w:asciiTheme="majorHAnsi" w:hAnsiTheme="majorHAnsi" w:cs="Cambria"/>
          <w:lang w:val="en-GB" w:eastAsia="en-US"/>
        </w:rPr>
        <w:t xml:space="preserve"> transactions in Bulgaria </w:t>
      </w:r>
      <w:r w:rsidR="00BC28BF" w:rsidRPr="00E80090">
        <w:rPr>
          <w:rFonts w:asciiTheme="majorHAnsi" w:hAnsiTheme="majorHAnsi" w:cs="Cambria"/>
          <w:lang w:val="en-GB" w:eastAsia="en-US"/>
        </w:rPr>
        <w:t>is</w:t>
      </w:r>
      <w:r w:rsidR="00C21B03" w:rsidRPr="00E80090">
        <w:rPr>
          <w:rFonts w:asciiTheme="majorHAnsi" w:hAnsiTheme="majorHAnsi" w:cs="Cambria"/>
          <w:lang w:val="en-GB" w:eastAsia="en-US"/>
        </w:rPr>
        <w:t xml:space="preserve"> low </w:t>
      </w:r>
      <w:r w:rsidR="00BC28BF" w:rsidRPr="00E80090">
        <w:rPr>
          <w:rFonts w:asciiTheme="majorHAnsi" w:hAnsiTheme="majorHAnsi" w:cs="Cambria"/>
          <w:lang w:val="en-GB" w:eastAsia="en-US"/>
        </w:rPr>
        <w:t>(</w:t>
      </w:r>
      <w:r w:rsidR="00102340" w:rsidRPr="00E80090">
        <w:rPr>
          <w:rFonts w:asciiTheme="majorHAnsi" w:hAnsiTheme="majorHAnsi" w:cs="Cambria"/>
          <w:lang w:val="en-GB" w:eastAsia="en-US"/>
        </w:rPr>
        <w:t>€</w:t>
      </w:r>
      <w:r w:rsidR="00BC28BF" w:rsidRPr="00E80090">
        <w:rPr>
          <w:rFonts w:asciiTheme="majorHAnsi" w:hAnsiTheme="majorHAnsi" w:cs="Cambria"/>
          <w:lang w:val="en-GB" w:eastAsia="en-US"/>
        </w:rPr>
        <w:t>3</w:t>
      </w:r>
      <w:r w:rsidR="002317E5" w:rsidRPr="00E80090">
        <w:rPr>
          <w:rFonts w:asciiTheme="majorHAnsi" w:hAnsiTheme="majorHAnsi" w:cs="Cambria"/>
          <w:lang w:val="en-GB" w:eastAsia="en-US"/>
        </w:rPr>
        <w:t xml:space="preserve">00 per month) </w:t>
      </w:r>
      <w:r w:rsidR="00C21B03" w:rsidRPr="00E80090">
        <w:rPr>
          <w:rFonts w:asciiTheme="majorHAnsi" w:hAnsiTheme="majorHAnsi" w:cs="Cambria"/>
          <w:lang w:val="en-GB" w:eastAsia="en-US"/>
        </w:rPr>
        <w:t xml:space="preserve">and there is only one </w:t>
      </w:r>
      <w:r w:rsidR="00C21B03" w:rsidRPr="00E80090">
        <w:rPr>
          <w:rFonts w:asciiTheme="majorHAnsi" w:hAnsiTheme="majorHAnsi" w:cs="Cambria"/>
          <w:lang w:val="en-GB" w:eastAsia="en-US"/>
        </w:rPr>
        <w:lastRenderedPageBreak/>
        <w:t xml:space="preserve">person operating there. Therefore, it is advisable that she pays for such expenses herself and asks for reimbursement after the transaction. The compensation can be delivered through a bank transfer and thus allows for avoiding the cash transaction for the company. </w:t>
      </w:r>
    </w:p>
    <w:p w14:paraId="6E584350" w14:textId="77777777" w:rsidR="00C21B03" w:rsidRPr="00E80090" w:rsidRDefault="00C21B03" w:rsidP="00C21B03">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In Romania and Slovakia where petty cash payments have a higher volume</w:t>
      </w:r>
      <w:r w:rsidR="00BC28BF" w:rsidRPr="00E80090">
        <w:rPr>
          <w:rFonts w:asciiTheme="majorHAnsi" w:hAnsiTheme="majorHAnsi" w:cs="Cambria"/>
          <w:lang w:val="en-GB" w:eastAsia="en-US"/>
        </w:rPr>
        <w:t xml:space="preserve"> (</w:t>
      </w:r>
      <w:r w:rsidR="00102340" w:rsidRPr="00E80090">
        <w:rPr>
          <w:rFonts w:asciiTheme="majorHAnsi" w:hAnsiTheme="majorHAnsi" w:cs="Cambria"/>
          <w:lang w:val="en-GB" w:eastAsia="en-US"/>
        </w:rPr>
        <w:t>€</w:t>
      </w:r>
      <w:r w:rsidR="00BC28BF" w:rsidRPr="00E80090">
        <w:rPr>
          <w:rFonts w:asciiTheme="majorHAnsi" w:hAnsiTheme="majorHAnsi" w:cs="Cambria"/>
          <w:lang w:val="en-GB" w:eastAsia="en-US"/>
        </w:rPr>
        <w:t>500-</w:t>
      </w:r>
      <w:r w:rsidR="00102340" w:rsidRPr="00E80090">
        <w:rPr>
          <w:rFonts w:asciiTheme="majorHAnsi" w:hAnsiTheme="majorHAnsi" w:cs="Cambria"/>
          <w:lang w:val="en-GB" w:eastAsia="en-US"/>
        </w:rPr>
        <w:t>€</w:t>
      </w:r>
      <w:r w:rsidR="00BC28BF" w:rsidRPr="00E80090">
        <w:rPr>
          <w:rFonts w:asciiTheme="majorHAnsi" w:hAnsiTheme="majorHAnsi" w:cs="Cambria"/>
          <w:lang w:val="en-GB" w:eastAsia="en-US"/>
        </w:rPr>
        <w:t>600 per month)</w:t>
      </w:r>
      <w:r w:rsidRPr="00E80090">
        <w:rPr>
          <w:rFonts w:asciiTheme="majorHAnsi" w:hAnsiTheme="majorHAnsi" w:cs="Cambria"/>
          <w:lang w:val="en-GB" w:eastAsia="en-US"/>
        </w:rPr>
        <w:t xml:space="preserve">, it is advised that a credit card is issued for one employee in each entity. </w:t>
      </w:r>
      <w:r w:rsidR="002245A6" w:rsidRPr="00E80090">
        <w:rPr>
          <w:rFonts w:asciiTheme="majorHAnsi" w:hAnsiTheme="majorHAnsi" w:cs="Cambria"/>
          <w:lang w:val="en-GB" w:eastAsia="en-US"/>
        </w:rPr>
        <w:t>This card will be linked to the corporate Sun Chemical plan with Citibank</w:t>
      </w:r>
      <w:r w:rsidR="00354044" w:rsidRPr="00E80090">
        <w:rPr>
          <w:rFonts w:asciiTheme="majorHAnsi" w:hAnsiTheme="majorHAnsi" w:cs="Cambria"/>
          <w:lang w:val="en-GB" w:eastAsia="en-US"/>
        </w:rPr>
        <w:t xml:space="preserve"> and thus will allow Treasury to monitor the local </w:t>
      </w:r>
      <w:r w:rsidR="00763B74" w:rsidRPr="00E80090">
        <w:rPr>
          <w:rFonts w:asciiTheme="majorHAnsi" w:hAnsiTheme="majorHAnsi" w:cs="Cambria"/>
          <w:lang w:val="en-GB" w:eastAsia="en-US"/>
        </w:rPr>
        <w:t>transactions</w:t>
      </w:r>
      <w:r w:rsidR="00354044" w:rsidRPr="00E80090">
        <w:rPr>
          <w:rFonts w:asciiTheme="majorHAnsi" w:hAnsiTheme="majorHAnsi" w:cs="Cambria"/>
          <w:lang w:val="en-GB" w:eastAsia="en-US"/>
        </w:rPr>
        <w:t>.</w:t>
      </w:r>
      <w:r w:rsidR="00200E07" w:rsidRPr="00E80090">
        <w:rPr>
          <w:rFonts w:asciiTheme="majorHAnsi" w:hAnsiTheme="majorHAnsi" w:cs="Cambria"/>
          <w:lang w:val="en-GB" w:eastAsia="en-US"/>
        </w:rPr>
        <w:t xml:space="preserve"> </w:t>
      </w:r>
      <w:r w:rsidRPr="00E80090">
        <w:rPr>
          <w:rFonts w:asciiTheme="majorHAnsi" w:hAnsiTheme="majorHAnsi" w:cs="Cambria"/>
          <w:lang w:val="en-GB" w:eastAsia="en-US"/>
        </w:rPr>
        <w:t xml:space="preserve">The </w:t>
      </w:r>
      <w:r w:rsidR="00200E07" w:rsidRPr="00E80090">
        <w:rPr>
          <w:rFonts w:asciiTheme="majorHAnsi" w:hAnsiTheme="majorHAnsi" w:cs="Cambria"/>
          <w:lang w:val="en-GB" w:eastAsia="en-US"/>
        </w:rPr>
        <w:t>payments</w:t>
      </w:r>
      <w:r w:rsidRPr="00E80090">
        <w:rPr>
          <w:rFonts w:asciiTheme="majorHAnsi" w:hAnsiTheme="majorHAnsi" w:cs="Cambria"/>
          <w:lang w:val="en-GB" w:eastAsia="en-US"/>
        </w:rPr>
        <w:t xml:space="preserve"> that cannot be executed through the credit card can be performed </w:t>
      </w:r>
      <w:r w:rsidR="00A81AE5" w:rsidRPr="00E80090">
        <w:rPr>
          <w:rFonts w:asciiTheme="majorHAnsi" w:hAnsiTheme="majorHAnsi" w:cs="Cambria"/>
          <w:lang w:val="en-GB" w:eastAsia="en-US"/>
        </w:rPr>
        <w:t>like</w:t>
      </w:r>
      <w:r w:rsidRPr="00E80090">
        <w:rPr>
          <w:rFonts w:asciiTheme="majorHAnsi" w:hAnsiTheme="majorHAnsi" w:cs="Cambria"/>
          <w:lang w:val="en-GB" w:eastAsia="en-US"/>
        </w:rPr>
        <w:t xml:space="preserve"> to the ones in Bulgaria</w:t>
      </w:r>
      <w:r w:rsidR="00A81AE5" w:rsidRPr="00E80090">
        <w:rPr>
          <w:rFonts w:asciiTheme="majorHAnsi" w:hAnsiTheme="majorHAnsi" w:cs="Cambria"/>
          <w:lang w:val="en-GB" w:eastAsia="en-US"/>
        </w:rPr>
        <w:t xml:space="preserve"> using expense reports</w:t>
      </w:r>
      <w:r w:rsidRPr="00E80090">
        <w:rPr>
          <w:rFonts w:asciiTheme="majorHAnsi" w:hAnsiTheme="majorHAnsi" w:cs="Cambria"/>
          <w:lang w:val="en-GB" w:eastAsia="en-US"/>
        </w:rPr>
        <w:t>.</w:t>
      </w:r>
    </w:p>
    <w:p w14:paraId="6E584351" w14:textId="77777777" w:rsidR="00B02327" w:rsidRPr="00E80090" w:rsidRDefault="007F1BBD" w:rsidP="007F1BBD">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Furthermore, the findings show that the Romanian </w:t>
      </w:r>
      <w:r w:rsidR="001A75A9" w:rsidRPr="00E80090">
        <w:rPr>
          <w:rFonts w:asciiTheme="majorHAnsi" w:hAnsiTheme="majorHAnsi" w:cs="Cambria"/>
          <w:lang w:val="en-GB" w:eastAsia="en-US"/>
        </w:rPr>
        <w:t>branch</w:t>
      </w:r>
      <w:r w:rsidRPr="00E80090">
        <w:rPr>
          <w:rFonts w:asciiTheme="majorHAnsi" w:hAnsiTheme="majorHAnsi" w:cs="Cambria"/>
          <w:lang w:val="en-GB" w:eastAsia="en-US"/>
        </w:rPr>
        <w:t xml:space="preserve"> collects its receivables mainly through </w:t>
      </w:r>
      <w:r w:rsidR="00C21B03" w:rsidRPr="00E80090">
        <w:rPr>
          <w:rFonts w:asciiTheme="majorHAnsi" w:hAnsiTheme="majorHAnsi" w:cs="Cambria"/>
          <w:lang w:val="en-GB" w:eastAsia="en-US"/>
        </w:rPr>
        <w:t>che</w:t>
      </w:r>
      <w:r w:rsidR="0007435B" w:rsidRPr="00E80090">
        <w:rPr>
          <w:rFonts w:asciiTheme="majorHAnsi" w:hAnsiTheme="majorHAnsi" w:cs="Cambria"/>
          <w:lang w:val="en-GB" w:eastAsia="en-US"/>
        </w:rPr>
        <w:t>que</w:t>
      </w:r>
      <w:r w:rsidR="00477FC9" w:rsidRPr="00E80090">
        <w:rPr>
          <w:rFonts w:asciiTheme="majorHAnsi" w:hAnsiTheme="majorHAnsi" w:cs="Cambria"/>
          <w:lang w:val="en-GB" w:eastAsia="en-US"/>
        </w:rPr>
        <w:t>s</w:t>
      </w:r>
      <w:r w:rsidRPr="00E80090">
        <w:rPr>
          <w:rFonts w:asciiTheme="majorHAnsi" w:hAnsiTheme="majorHAnsi" w:cs="Cambria"/>
          <w:lang w:val="en-GB" w:eastAsia="en-US"/>
        </w:rPr>
        <w:t>.</w:t>
      </w:r>
      <w:r w:rsidR="005714E7" w:rsidRPr="00E80090">
        <w:rPr>
          <w:rFonts w:asciiTheme="majorHAnsi" w:hAnsiTheme="majorHAnsi" w:cs="Cambria"/>
          <w:lang w:val="en-GB" w:eastAsia="en-US"/>
        </w:rPr>
        <w:t xml:space="preserve"> T</w:t>
      </w:r>
      <w:r w:rsidR="00365CE3" w:rsidRPr="00E80090">
        <w:rPr>
          <w:rFonts w:asciiTheme="majorHAnsi" w:hAnsiTheme="majorHAnsi" w:cs="Cambria"/>
          <w:lang w:val="en-GB" w:eastAsia="en-US"/>
        </w:rPr>
        <w:t xml:space="preserve">he corporate policy is to avoid the use of cheques as they are found to be an insecure payment method. However, because of the high volume of cheque receivables in Romania, the payment instrument cannot be eliminated. Therefore, it </w:t>
      </w:r>
      <w:r w:rsidR="005714E7" w:rsidRPr="00E80090">
        <w:rPr>
          <w:rFonts w:asciiTheme="majorHAnsi" w:hAnsiTheme="majorHAnsi" w:cs="Cambria"/>
          <w:lang w:val="en-GB" w:eastAsia="en-US"/>
        </w:rPr>
        <w:t>would need</w:t>
      </w:r>
      <w:r w:rsidR="00365CE3" w:rsidRPr="00E80090">
        <w:rPr>
          <w:rFonts w:asciiTheme="majorHAnsi" w:hAnsiTheme="majorHAnsi" w:cs="Cambria"/>
          <w:lang w:val="en-GB" w:eastAsia="en-US"/>
        </w:rPr>
        <w:t xml:space="preserve"> to be managed securely</w:t>
      </w:r>
      <w:r w:rsidR="005714E7" w:rsidRPr="00E80090">
        <w:rPr>
          <w:rFonts w:asciiTheme="majorHAnsi" w:hAnsiTheme="majorHAnsi" w:cs="Cambria"/>
          <w:lang w:val="en-GB" w:eastAsia="en-US"/>
        </w:rPr>
        <w:t xml:space="preserve"> in the future</w:t>
      </w:r>
      <w:r w:rsidR="00365CE3" w:rsidRPr="00E80090">
        <w:rPr>
          <w:rFonts w:asciiTheme="majorHAnsi" w:hAnsiTheme="majorHAnsi" w:cs="Cambria"/>
          <w:lang w:val="en-GB" w:eastAsia="en-US"/>
        </w:rPr>
        <w:t>. Currently the received</w:t>
      </w:r>
      <w:r w:rsidR="00015052" w:rsidRPr="00E80090">
        <w:rPr>
          <w:rFonts w:asciiTheme="majorHAnsi" w:hAnsiTheme="majorHAnsi" w:cs="Cambria"/>
          <w:lang w:val="en-GB" w:eastAsia="en-US"/>
        </w:rPr>
        <w:t xml:space="preserve"> che</w:t>
      </w:r>
      <w:r w:rsidR="0007435B" w:rsidRPr="00E80090">
        <w:rPr>
          <w:rFonts w:asciiTheme="majorHAnsi" w:hAnsiTheme="majorHAnsi" w:cs="Cambria"/>
          <w:lang w:val="en-GB" w:eastAsia="en-US"/>
        </w:rPr>
        <w:t>que</w:t>
      </w:r>
      <w:r w:rsidR="00015052" w:rsidRPr="00E80090">
        <w:rPr>
          <w:rFonts w:asciiTheme="majorHAnsi" w:hAnsiTheme="majorHAnsi" w:cs="Cambria"/>
          <w:lang w:val="en-GB" w:eastAsia="en-US"/>
        </w:rPr>
        <w:t xml:space="preserve">s are stored in the </w:t>
      </w:r>
      <w:r w:rsidR="00365CE3" w:rsidRPr="00E80090">
        <w:rPr>
          <w:rFonts w:asciiTheme="majorHAnsi" w:hAnsiTheme="majorHAnsi" w:cs="Cambria"/>
          <w:lang w:val="en-GB" w:eastAsia="en-US"/>
        </w:rPr>
        <w:t xml:space="preserve">local </w:t>
      </w:r>
      <w:r w:rsidR="00015052" w:rsidRPr="00E80090">
        <w:rPr>
          <w:rFonts w:asciiTheme="majorHAnsi" w:hAnsiTheme="majorHAnsi" w:cs="Cambria"/>
          <w:lang w:val="en-GB" w:eastAsia="en-US"/>
        </w:rPr>
        <w:t>office. However, b</w:t>
      </w:r>
      <w:r w:rsidR="004A2314" w:rsidRPr="00E80090">
        <w:rPr>
          <w:rFonts w:asciiTheme="majorHAnsi" w:hAnsiTheme="majorHAnsi" w:cs="Cambria"/>
          <w:lang w:val="en-GB" w:eastAsia="en-US"/>
        </w:rPr>
        <w:t>ecaus</w:t>
      </w:r>
      <w:r w:rsidR="001A75A9" w:rsidRPr="00E80090">
        <w:rPr>
          <w:rFonts w:asciiTheme="majorHAnsi" w:hAnsiTheme="majorHAnsi" w:cs="Cambria"/>
          <w:lang w:val="en-GB" w:eastAsia="en-US"/>
        </w:rPr>
        <w:t xml:space="preserve">e of the high volume </w:t>
      </w:r>
      <w:r w:rsidR="00ED2BB9" w:rsidRPr="00E80090">
        <w:rPr>
          <w:rFonts w:asciiTheme="majorHAnsi" w:hAnsiTheme="majorHAnsi" w:cs="Cambria"/>
          <w:lang w:val="en-GB" w:eastAsia="en-US"/>
        </w:rPr>
        <w:t xml:space="preserve">it is advisable that </w:t>
      </w:r>
      <w:r w:rsidR="004A2314" w:rsidRPr="00E80090">
        <w:rPr>
          <w:rFonts w:asciiTheme="majorHAnsi" w:hAnsiTheme="majorHAnsi" w:cs="Cambria"/>
          <w:lang w:val="en-GB" w:eastAsia="en-US"/>
        </w:rPr>
        <w:t>a lockbox service</w:t>
      </w:r>
      <w:r w:rsidR="00ED2BB9" w:rsidRPr="00E80090">
        <w:rPr>
          <w:rFonts w:asciiTheme="majorHAnsi" w:hAnsiTheme="majorHAnsi" w:cs="Cambria"/>
          <w:lang w:val="en-GB" w:eastAsia="en-US"/>
        </w:rPr>
        <w:t xml:space="preserve"> is set up</w:t>
      </w:r>
      <w:r w:rsidR="004A2314" w:rsidRPr="00E80090">
        <w:rPr>
          <w:rFonts w:asciiTheme="majorHAnsi" w:hAnsiTheme="majorHAnsi" w:cs="Cambria"/>
          <w:lang w:val="en-GB" w:eastAsia="en-US"/>
        </w:rPr>
        <w:t xml:space="preserve"> for storing these payment instruments</w:t>
      </w:r>
      <w:r w:rsidR="002A4981" w:rsidRPr="00E80090">
        <w:rPr>
          <w:rFonts w:asciiTheme="majorHAnsi" w:hAnsiTheme="majorHAnsi" w:cs="Cambria"/>
          <w:lang w:val="en-GB" w:eastAsia="en-US"/>
        </w:rPr>
        <w:t xml:space="preserve"> securely</w:t>
      </w:r>
      <w:r w:rsidR="00ED2BB9" w:rsidRPr="00E80090">
        <w:rPr>
          <w:rFonts w:asciiTheme="majorHAnsi" w:hAnsiTheme="majorHAnsi" w:cs="Cambria"/>
          <w:lang w:val="en-GB" w:eastAsia="en-US"/>
        </w:rPr>
        <w:t xml:space="preserve"> at the bank</w:t>
      </w:r>
      <w:r w:rsidR="004A2314" w:rsidRPr="00E80090">
        <w:rPr>
          <w:rFonts w:asciiTheme="majorHAnsi" w:hAnsiTheme="majorHAnsi" w:cs="Cambria"/>
          <w:lang w:val="en-GB" w:eastAsia="en-US"/>
        </w:rPr>
        <w:t>.</w:t>
      </w:r>
      <w:r w:rsidR="002A4981" w:rsidRPr="00E80090">
        <w:rPr>
          <w:rFonts w:asciiTheme="majorHAnsi" w:hAnsiTheme="majorHAnsi" w:cs="Cambria"/>
          <w:lang w:val="en-GB" w:eastAsia="en-US"/>
        </w:rPr>
        <w:t xml:space="preserve"> </w:t>
      </w:r>
      <w:r w:rsidR="000775EE" w:rsidRPr="00E80090">
        <w:rPr>
          <w:rFonts w:asciiTheme="majorHAnsi" w:hAnsiTheme="majorHAnsi" w:cs="Cambria"/>
          <w:lang w:val="en-GB" w:eastAsia="en-US"/>
        </w:rPr>
        <w:t xml:space="preserve">This is needed because some of </w:t>
      </w:r>
      <w:r w:rsidR="007F196B" w:rsidRPr="00E80090">
        <w:rPr>
          <w:rFonts w:asciiTheme="majorHAnsi" w:hAnsiTheme="majorHAnsi" w:cs="Cambria"/>
          <w:lang w:val="en-GB" w:eastAsia="en-US"/>
        </w:rPr>
        <w:t xml:space="preserve">the </w:t>
      </w:r>
      <w:r w:rsidR="00477FC9" w:rsidRPr="00E80090">
        <w:rPr>
          <w:rFonts w:asciiTheme="majorHAnsi" w:hAnsiTheme="majorHAnsi" w:cs="Cambria"/>
          <w:lang w:val="en-GB" w:eastAsia="en-US"/>
        </w:rPr>
        <w:t xml:space="preserve">cheques </w:t>
      </w:r>
      <w:r w:rsidR="007F196B" w:rsidRPr="00E80090">
        <w:rPr>
          <w:rFonts w:asciiTheme="majorHAnsi" w:hAnsiTheme="majorHAnsi" w:cs="Cambria"/>
          <w:lang w:val="en-GB" w:eastAsia="en-US"/>
        </w:rPr>
        <w:t xml:space="preserve">are double </w:t>
      </w:r>
      <w:r w:rsidR="000775EE" w:rsidRPr="00E80090">
        <w:rPr>
          <w:rFonts w:asciiTheme="majorHAnsi" w:hAnsiTheme="majorHAnsi" w:cs="Cambria"/>
          <w:lang w:val="en-GB" w:eastAsia="en-US"/>
        </w:rPr>
        <w:t xml:space="preserve">endorsed and therefore </w:t>
      </w:r>
      <w:r w:rsidR="00374B95" w:rsidRPr="00E80090">
        <w:rPr>
          <w:rFonts w:asciiTheme="majorHAnsi" w:hAnsiTheme="majorHAnsi" w:cs="Cambria"/>
          <w:lang w:val="en-GB" w:eastAsia="en-US"/>
        </w:rPr>
        <w:t xml:space="preserve">bear the risk of </w:t>
      </w:r>
      <w:r w:rsidR="000775EE" w:rsidRPr="00E80090">
        <w:rPr>
          <w:rFonts w:asciiTheme="majorHAnsi" w:hAnsiTheme="majorHAnsi" w:cs="Cambria"/>
          <w:lang w:val="en-GB" w:eastAsia="en-US"/>
        </w:rPr>
        <w:t>be</w:t>
      </w:r>
      <w:r w:rsidR="00374B95" w:rsidRPr="00E80090">
        <w:rPr>
          <w:rFonts w:asciiTheme="majorHAnsi" w:hAnsiTheme="majorHAnsi" w:cs="Cambria"/>
          <w:lang w:val="en-GB" w:eastAsia="en-US"/>
        </w:rPr>
        <w:t>ing</w:t>
      </w:r>
      <w:r w:rsidR="000775EE" w:rsidRPr="00E80090">
        <w:rPr>
          <w:rFonts w:asciiTheme="majorHAnsi" w:hAnsiTheme="majorHAnsi" w:cs="Cambria"/>
          <w:lang w:val="en-GB" w:eastAsia="en-US"/>
        </w:rPr>
        <w:t xml:space="preserve"> falsified and cashed by third parties</w:t>
      </w:r>
      <w:sdt>
        <w:sdtPr>
          <w:rPr>
            <w:rFonts w:asciiTheme="majorHAnsi" w:hAnsiTheme="majorHAnsi" w:cs="Cambria"/>
            <w:lang w:val="en-GB" w:eastAsia="en-US"/>
          </w:rPr>
          <w:id w:val="1141386610"/>
          <w:citation/>
        </w:sdtPr>
        <w:sdtEndPr/>
        <w:sdtContent>
          <w:r w:rsidR="00B5259D" w:rsidRPr="00E80090">
            <w:rPr>
              <w:rFonts w:asciiTheme="majorHAnsi" w:hAnsiTheme="majorHAnsi" w:cs="Cambria"/>
              <w:lang w:val="en-GB" w:eastAsia="en-US"/>
            </w:rPr>
            <w:fldChar w:fldCharType="begin"/>
          </w:r>
          <w:r w:rsidR="00B5259D" w:rsidRPr="00E80090">
            <w:rPr>
              <w:rFonts w:asciiTheme="majorHAnsi" w:hAnsiTheme="majorHAnsi" w:cs="Cambria"/>
              <w:lang w:eastAsia="en-US"/>
            </w:rPr>
            <w:instrText xml:space="preserve"> CITATION Sha13 \l 1033 </w:instrText>
          </w:r>
          <w:r w:rsidR="00B5259D" w:rsidRPr="00E80090">
            <w:rPr>
              <w:rFonts w:asciiTheme="majorHAnsi" w:hAnsiTheme="majorHAnsi" w:cs="Cambria"/>
              <w:lang w:val="en-GB" w:eastAsia="en-US"/>
            </w:rPr>
            <w:fldChar w:fldCharType="separate"/>
          </w:r>
          <w:r w:rsidR="004D1237" w:rsidRPr="00E80090">
            <w:rPr>
              <w:rFonts w:asciiTheme="majorHAnsi" w:hAnsiTheme="majorHAnsi" w:cs="Cambria"/>
              <w:noProof/>
              <w:lang w:eastAsia="en-US"/>
            </w:rPr>
            <w:t xml:space="preserve"> (Geiger, 2013)</w:t>
          </w:r>
          <w:r w:rsidR="00B5259D" w:rsidRPr="00E80090">
            <w:rPr>
              <w:rFonts w:asciiTheme="majorHAnsi" w:hAnsiTheme="majorHAnsi" w:cs="Cambria"/>
              <w:lang w:val="en-GB" w:eastAsia="en-US"/>
            </w:rPr>
            <w:fldChar w:fldCharType="end"/>
          </w:r>
        </w:sdtContent>
      </w:sdt>
      <w:r w:rsidR="000775EE" w:rsidRPr="00E80090">
        <w:rPr>
          <w:rFonts w:asciiTheme="majorHAnsi" w:hAnsiTheme="majorHAnsi" w:cs="Cambria"/>
          <w:lang w:val="en-GB" w:eastAsia="en-US"/>
        </w:rPr>
        <w:t>.</w:t>
      </w:r>
      <w:r w:rsidR="00585DC7" w:rsidRPr="00E80090">
        <w:rPr>
          <w:rFonts w:asciiTheme="majorHAnsi" w:hAnsiTheme="majorHAnsi" w:cs="Cambria"/>
          <w:lang w:val="en-GB" w:eastAsia="en-US"/>
        </w:rPr>
        <w:t xml:space="preserve"> As Citibank does not charge a fee for providing this service, the subsidiary would not suffer financially for using it.</w:t>
      </w:r>
    </w:p>
    <w:p w14:paraId="6E584352" w14:textId="77777777" w:rsidR="0007435B" w:rsidRPr="00E80090" w:rsidRDefault="00917165" w:rsidP="0007435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structure that is currently applied for processing of </w:t>
      </w:r>
      <w:r w:rsidR="00476E8C" w:rsidRPr="00E80090">
        <w:rPr>
          <w:rFonts w:asciiTheme="majorHAnsi" w:hAnsiTheme="majorHAnsi" w:cs="Cambria"/>
          <w:lang w:val="en-GB" w:eastAsia="en-US"/>
        </w:rPr>
        <w:t>accounts payable</w:t>
      </w:r>
      <w:r w:rsidR="000D5266" w:rsidRPr="00E80090">
        <w:rPr>
          <w:rFonts w:asciiTheme="majorHAnsi" w:hAnsiTheme="majorHAnsi" w:cs="Cambria"/>
          <w:lang w:val="en-GB" w:eastAsia="en-US"/>
        </w:rPr>
        <w:t xml:space="preserve"> in Bulgaria</w:t>
      </w:r>
      <w:r w:rsidRPr="00E80090">
        <w:rPr>
          <w:rFonts w:asciiTheme="majorHAnsi" w:hAnsiTheme="majorHAnsi" w:cs="Cambria"/>
          <w:lang w:val="en-GB" w:eastAsia="en-US"/>
        </w:rPr>
        <w:t xml:space="preserve"> would need to be changed in the future</w:t>
      </w:r>
      <w:r w:rsidR="000D5266" w:rsidRPr="00E80090">
        <w:rPr>
          <w:rFonts w:asciiTheme="majorHAnsi" w:hAnsiTheme="majorHAnsi" w:cs="Cambria"/>
          <w:lang w:val="en-GB" w:eastAsia="en-US"/>
        </w:rPr>
        <w:t>.</w:t>
      </w:r>
      <w:r w:rsidR="00476E8C" w:rsidRPr="00E80090">
        <w:rPr>
          <w:rFonts w:asciiTheme="majorHAnsi" w:hAnsiTheme="majorHAnsi" w:cs="Cambria"/>
          <w:lang w:val="en-GB" w:eastAsia="en-US"/>
        </w:rPr>
        <w:t xml:space="preserve"> </w:t>
      </w:r>
      <w:r w:rsidR="000D5266" w:rsidRPr="00E80090">
        <w:rPr>
          <w:rFonts w:asciiTheme="majorHAnsi" w:hAnsiTheme="majorHAnsi" w:cs="Cambria"/>
          <w:lang w:val="en-GB" w:eastAsia="en-US"/>
        </w:rPr>
        <w:t>T</w:t>
      </w:r>
      <w:r w:rsidR="00476E8C" w:rsidRPr="00E80090">
        <w:rPr>
          <w:rFonts w:asciiTheme="majorHAnsi" w:hAnsiTheme="majorHAnsi" w:cs="Cambria"/>
          <w:lang w:val="en-GB" w:eastAsia="en-US"/>
        </w:rPr>
        <w:t xml:space="preserve">here is only one employee </w:t>
      </w:r>
      <w:r w:rsidR="000D5266" w:rsidRPr="00E80090">
        <w:rPr>
          <w:rFonts w:asciiTheme="majorHAnsi" w:hAnsiTheme="majorHAnsi" w:cs="Cambria"/>
          <w:lang w:val="en-GB" w:eastAsia="en-US"/>
        </w:rPr>
        <w:t>in the entity</w:t>
      </w:r>
      <w:r w:rsidR="0007435B" w:rsidRPr="00E80090">
        <w:rPr>
          <w:rFonts w:asciiTheme="majorHAnsi" w:hAnsiTheme="majorHAnsi" w:cs="Cambria"/>
          <w:lang w:val="en-GB" w:eastAsia="en-US"/>
        </w:rPr>
        <w:t xml:space="preserve"> and she</w:t>
      </w:r>
      <w:r w:rsidR="00476E8C" w:rsidRPr="00E80090">
        <w:rPr>
          <w:rFonts w:asciiTheme="majorHAnsi" w:hAnsiTheme="majorHAnsi" w:cs="Cambria"/>
          <w:lang w:val="en-GB" w:eastAsia="en-US"/>
        </w:rPr>
        <w:t xml:space="preserve"> </w:t>
      </w:r>
      <w:r w:rsidR="000D5266" w:rsidRPr="00E80090">
        <w:rPr>
          <w:rFonts w:asciiTheme="majorHAnsi" w:hAnsiTheme="majorHAnsi" w:cs="Cambria"/>
          <w:lang w:val="en-GB" w:eastAsia="en-US"/>
        </w:rPr>
        <w:t>is authorised to insert and approve</w:t>
      </w:r>
      <w:r w:rsidR="00476E8C" w:rsidRPr="00E80090">
        <w:rPr>
          <w:rFonts w:asciiTheme="majorHAnsi" w:hAnsiTheme="majorHAnsi" w:cs="Cambria"/>
          <w:lang w:val="en-GB" w:eastAsia="en-US"/>
        </w:rPr>
        <w:t xml:space="preserve"> </w:t>
      </w:r>
      <w:r w:rsidR="0007435B" w:rsidRPr="00E80090">
        <w:rPr>
          <w:rFonts w:asciiTheme="majorHAnsi" w:hAnsiTheme="majorHAnsi" w:cs="Cambria"/>
          <w:lang w:val="en-GB" w:eastAsia="en-US"/>
        </w:rPr>
        <w:t xml:space="preserve">all </w:t>
      </w:r>
      <w:r w:rsidR="00476E8C" w:rsidRPr="00E80090">
        <w:rPr>
          <w:rFonts w:asciiTheme="majorHAnsi" w:hAnsiTheme="majorHAnsi" w:cs="Cambria"/>
          <w:lang w:val="en-GB" w:eastAsia="en-US"/>
        </w:rPr>
        <w:t xml:space="preserve">payments. This situation is not </w:t>
      </w:r>
      <w:r w:rsidR="0007435B" w:rsidRPr="00E80090">
        <w:rPr>
          <w:rFonts w:asciiTheme="majorHAnsi" w:hAnsiTheme="majorHAnsi" w:cs="Cambria"/>
          <w:lang w:val="en-GB" w:eastAsia="en-US"/>
        </w:rPr>
        <w:t>desired</w:t>
      </w:r>
      <w:r w:rsidR="00476E8C" w:rsidRPr="00E80090">
        <w:rPr>
          <w:rFonts w:asciiTheme="majorHAnsi" w:hAnsiTheme="majorHAnsi" w:cs="Cambria"/>
          <w:lang w:val="en-GB" w:eastAsia="en-US"/>
        </w:rPr>
        <w:t xml:space="preserve"> by the company because it may create conflict of interest and security issues. This is especially true when it comes to payroll as the employee transfers her own wage. Therefore, a control system needs to be established</w:t>
      </w:r>
      <w:r w:rsidR="006E38AB" w:rsidRPr="00E80090">
        <w:rPr>
          <w:rFonts w:asciiTheme="majorHAnsi" w:hAnsiTheme="majorHAnsi" w:cs="Cambria"/>
          <w:lang w:val="en-GB" w:eastAsia="en-US"/>
        </w:rPr>
        <w:t xml:space="preserve"> </w:t>
      </w:r>
      <w:r w:rsidR="00BF1D91" w:rsidRPr="00E80090">
        <w:rPr>
          <w:rFonts w:asciiTheme="majorHAnsi" w:hAnsiTheme="majorHAnsi" w:cs="Cambria"/>
          <w:lang w:val="en-GB" w:eastAsia="en-US"/>
        </w:rPr>
        <w:t>in</w:t>
      </w:r>
      <w:r w:rsidR="006E38AB" w:rsidRPr="00E80090">
        <w:rPr>
          <w:rFonts w:asciiTheme="majorHAnsi" w:hAnsiTheme="majorHAnsi" w:cs="Cambria"/>
          <w:lang w:val="en-GB" w:eastAsia="en-US"/>
        </w:rPr>
        <w:t xml:space="preserve"> CitiDirect</w:t>
      </w:r>
      <w:r w:rsidR="00476E8C" w:rsidRPr="00E80090">
        <w:rPr>
          <w:rFonts w:asciiTheme="majorHAnsi" w:hAnsiTheme="majorHAnsi" w:cs="Cambria"/>
          <w:lang w:val="en-GB" w:eastAsia="en-US"/>
        </w:rPr>
        <w:t xml:space="preserve"> so that the potential of future problems is minimized.</w:t>
      </w:r>
      <w:r w:rsidR="0007435B" w:rsidRPr="00E80090">
        <w:rPr>
          <w:rFonts w:asciiTheme="majorHAnsi" w:hAnsiTheme="majorHAnsi" w:cs="Cambria"/>
          <w:lang w:val="en-GB" w:eastAsia="en-US"/>
        </w:rPr>
        <w:t xml:space="preserve"> </w:t>
      </w:r>
      <w:r w:rsidR="00BF1D91" w:rsidRPr="00E80090">
        <w:rPr>
          <w:rFonts w:asciiTheme="majorHAnsi" w:hAnsiTheme="majorHAnsi" w:cs="Cambria"/>
          <w:lang w:val="en-GB" w:eastAsia="en-US"/>
        </w:rPr>
        <w:t xml:space="preserve">Citibank can provide a product that involves the creation of payment templates (preformats) and </w:t>
      </w:r>
      <w:r w:rsidR="00901CC4" w:rsidRPr="00E80090">
        <w:rPr>
          <w:rFonts w:asciiTheme="majorHAnsi" w:hAnsiTheme="majorHAnsi" w:cs="Cambria"/>
          <w:lang w:val="en-GB" w:eastAsia="en-US"/>
        </w:rPr>
        <w:t>would</w:t>
      </w:r>
      <w:r w:rsidR="00BF1D91" w:rsidRPr="00E80090">
        <w:rPr>
          <w:rFonts w:asciiTheme="majorHAnsi" w:hAnsiTheme="majorHAnsi" w:cs="Cambria"/>
          <w:lang w:val="en-GB" w:eastAsia="en-US"/>
        </w:rPr>
        <w:t xml:space="preserve"> assist in lowering the risk of fraud and error. The</w:t>
      </w:r>
      <w:r w:rsidR="00830E0C" w:rsidRPr="00E80090">
        <w:rPr>
          <w:rFonts w:asciiTheme="majorHAnsi" w:hAnsiTheme="majorHAnsi" w:cs="Cambria"/>
          <w:lang w:val="en-GB" w:eastAsia="en-US"/>
        </w:rPr>
        <w:t xml:space="preserve">se templates can be </w:t>
      </w:r>
      <w:r w:rsidR="0007435B" w:rsidRPr="00E80090">
        <w:rPr>
          <w:rFonts w:asciiTheme="majorHAnsi" w:hAnsiTheme="majorHAnsi" w:cs="Cambria"/>
          <w:lang w:val="en-GB" w:eastAsia="en-US"/>
        </w:rPr>
        <w:t xml:space="preserve">created </w:t>
      </w:r>
      <w:r w:rsidR="00B10E77" w:rsidRPr="00E80090">
        <w:rPr>
          <w:rFonts w:asciiTheme="majorHAnsi" w:hAnsiTheme="majorHAnsi" w:cs="Cambria"/>
          <w:lang w:val="en-GB" w:eastAsia="en-US"/>
        </w:rPr>
        <w:t xml:space="preserve">locally </w:t>
      </w:r>
      <w:r w:rsidR="0007435B" w:rsidRPr="00E80090">
        <w:rPr>
          <w:rFonts w:asciiTheme="majorHAnsi" w:hAnsiTheme="majorHAnsi" w:cs="Cambria"/>
          <w:lang w:val="en-GB" w:eastAsia="en-US"/>
        </w:rPr>
        <w:t>for all vendors and the employee in Bulgaria</w:t>
      </w:r>
      <w:r w:rsidR="00830E0C" w:rsidRPr="00E80090">
        <w:rPr>
          <w:rFonts w:asciiTheme="majorHAnsi" w:hAnsiTheme="majorHAnsi" w:cs="Cambria"/>
          <w:lang w:val="en-GB" w:eastAsia="en-US"/>
        </w:rPr>
        <w:t xml:space="preserve"> and would need to be approved by the central Treasury office</w:t>
      </w:r>
      <w:r w:rsidR="0007435B" w:rsidRPr="00E80090">
        <w:rPr>
          <w:rFonts w:asciiTheme="majorHAnsi" w:hAnsiTheme="majorHAnsi" w:cs="Cambria"/>
          <w:lang w:val="en-GB" w:eastAsia="en-US"/>
        </w:rPr>
        <w:t xml:space="preserve">. In this way the worker will be </w:t>
      </w:r>
      <w:r w:rsidR="00B10E77" w:rsidRPr="00E80090">
        <w:rPr>
          <w:rFonts w:asciiTheme="majorHAnsi" w:hAnsiTheme="majorHAnsi" w:cs="Cambria"/>
          <w:lang w:val="en-GB" w:eastAsia="en-US"/>
        </w:rPr>
        <w:t xml:space="preserve">able to execute payments faster and will be </w:t>
      </w:r>
      <w:r w:rsidR="0007435B" w:rsidRPr="00E80090">
        <w:rPr>
          <w:rFonts w:asciiTheme="majorHAnsi" w:hAnsiTheme="majorHAnsi" w:cs="Cambria"/>
          <w:lang w:val="en-GB" w:eastAsia="en-US"/>
        </w:rPr>
        <w:t xml:space="preserve">limited solely to the authorized transactions. </w:t>
      </w:r>
    </w:p>
    <w:p w14:paraId="6E584353" w14:textId="77777777" w:rsidR="00476E8C" w:rsidRPr="00E80090" w:rsidRDefault="00476E8C" w:rsidP="00476E8C">
      <w:pPr>
        <w:spacing w:after="200" w:line="360" w:lineRule="auto"/>
        <w:jc w:val="both"/>
        <w:rPr>
          <w:rFonts w:asciiTheme="majorHAnsi" w:hAnsiTheme="majorHAnsi" w:cs="Cambria"/>
          <w:color w:val="FF0000"/>
          <w:lang w:val="en-GB" w:eastAsia="en-US"/>
        </w:rPr>
      </w:pPr>
      <w:r w:rsidRPr="00E80090">
        <w:rPr>
          <w:rFonts w:asciiTheme="majorHAnsi" w:hAnsiTheme="majorHAnsi" w:cs="Cambria"/>
          <w:lang w:val="en-GB" w:eastAsia="en-US"/>
        </w:rPr>
        <w:lastRenderedPageBreak/>
        <w:t xml:space="preserve">As Citibank’s structure allows it, </w:t>
      </w:r>
      <w:r w:rsidR="008F526B" w:rsidRPr="00E80090">
        <w:rPr>
          <w:rFonts w:asciiTheme="majorHAnsi" w:hAnsiTheme="majorHAnsi" w:cs="Cambria"/>
          <w:lang w:val="en-GB" w:eastAsia="en-US"/>
        </w:rPr>
        <w:t>the same</w:t>
      </w:r>
      <w:r w:rsidRPr="00E80090">
        <w:rPr>
          <w:rFonts w:asciiTheme="majorHAnsi" w:hAnsiTheme="majorHAnsi" w:cs="Cambria"/>
          <w:lang w:val="en-GB" w:eastAsia="en-US"/>
        </w:rPr>
        <w:t xml:space="preserve"> solution can </w:t>
      </w:r>
      <w:r w:rsidR="005031BF" w:rsidRPr="00E80090">
        <w:rPr>
          <w:rFonts w:asciiTheme="majorHAnsi" w:hAnsiTheme="majorHAnsi" w:cs="Cambria"/>
          <w:lang w:val="en-GB" w:eastAsia="en-US"/>
        </w:rPr>
        <w:t>also be implemented in Romania</w:t>
      </w:r>
      <w:r w:rsidRPr="00E80090">
        <w:rPr>
          <w:rFonts w:asciiTheme="majorHAnsi" w:hAnsiTheme="majorHAnsi" w:cs="Cambria"/>
          <w:lang w:val="en-GB" w:eastAsia="en-US"/>
        </w:rPr>
        <w:t>. Having payment templates created for all vendors</w:t>
      </w:r>
      <w:r w:rsidR="00901CC4" w:rsidRPr="00E80090">
        <w:rPr>
          <w:rFonts w:asciiTheme="majorHAnsi" w:hAnsiTheme="majorHAnsi" w:cs="Cambria"/>
          <w:lang w:val="en-GB" w:eastAsia="en-US"/>
        </w:rPr>
        <w:t xml:space="preserve"> </w:t>
      </w:r>
      <w:r w:rsidRPr="00E80090">
        <w:rPr>
          <w:rFonts w:asciiTheme="majorHAnsi" w:hAnsiTheme="majorHAnsi" w:cs="Cambria"/>
          <w:lang w:val="en-GB" w:eastAsia="en-US"/>
        </w:rPr>
        <w:t>would</w:t>
      </w:r>
      <w:r w:rsidR="00947A3E" w:rsidRPr="00E80090">
        <w:rPr>
          <w:rFonts w:asciiTheme="majorHAnsi" w:hAnsiTheme="majorHAnsi" w:cs="Cambria"/>
          <w:lang w:val="en-GB" w:eastAsia="en-US"/>
        </w:rPr>
        <w:t xml:space="preserve"> not only</w:t>
      </w:r>
      <w:r w:rsidRPr="00E80090">
        <w:rPr>
          <w:rFonts w:asciiTheme="majorHAnsi" w:hAnsiTheme="majorHAnsi" w:cs="Cambria"/>
          <w:lang w:val="en-GB" w:eastAsia="en-US"/>
        </w:rPr>
        <w:t xml:space="preserve"> limit the possibility of </w:t>
      </w:r>
      <w:r w:rsidR="00947A3E" w:rsidRPr="00E80090">
        <w:rPr>
          <w:rFonts w:asciiTheme="majorHAnsi" w:hAnsiTheme="majorHAnsi" w:cs="Cambria"/>
          <w:lang w:val="en-GB" w:eastAsia="en-US"/>
        </w:rPr>
        <w:t>mistakes</w:t>
      </w:r>
      <w:r w:rsidRPr="00E80090">
        <w:rPr>
          <w:rFonts w:asciiTheme="majorHAnsi" w:hAnsiTheme="majorHAnsi" w:cs="Cambria"/>
          <w:lang w:val="en-GB" w:eastAsia="en-US"/>
        </w:rPr>
        <w:t xml:space="preserve"> and fraud</w:t>
      </w:r>
      <w:r w:rsidR="00947A3E" w:rsidRPr="00E80090">
        <w:rPr>
          <w:rFonts w:asciiTheme="majorHAnsi" w:hAnsiTheme="majorHAnsi" w:cs="Cambria"/>
          <w:lang w:val="en-GB" w:eastAsia="en-US"/>
        </w:rPr>
        <w:t xml:space="preserve"> but </w:t>
      </w:r>
      <w:r w:rsidRPr="00E80090">
        <w:rPr>
          <w:rFonts w:asciiTheme="majorHAnsi" w:hAnsiTheme="majorHAnsi" w:cs="Cambria"/>
          <w:lang w:val="en-GB" w:eastAsia="en-US"/>
        </w:rPr>
        <w:t xml:space="preserve">would </w:t>
      </w:r>
      <w:r w:rsidR="00947A3E" w:rsidRPr="00E80090">
        <w:rPr>
          <w:rFonts w:asciiTheme="majorHAnsi" w:hAnsiTheme="majorHAnsi" w:cs="Cambria"/>
          <w:lang w:val="en-GB" w:eastAsia="en-US"/>
        </w:rPr>
        <w:t xml:space="preserve">also </w:t>
      </w:r>
      <w:r w:rsidRPr="00E80090">
        <w:rPr>
          <w:rFonts w:asciiTheme="majorHAnsi" w:hAnsiTheme="majorHAnsi" w:cs="Cambria"/>
          <w:lang w:val="en-GB" w:eastAsia="en-US"/>
        </w:rPr>
        <w:t>improve the central control ov</w:t>
      </w:r>
      <w:r w:rsidR="001A10B6" w:rsidRPr="00E80090">
        <w:rPr>
          <w:rFonts w:asciiTheme="majorHAnsi" w:hAnsiTheme="majorHAnsi" w:cs="Cambria"/>
          <w:lang w:val="en-GB" w:eastAsia="en-US"/>
        </w:rPr>
        <w:t>er the local entities. However, linking the local platform to the global one</w:t>
      </w:r>
      <w:r w:rsidR="00400F55" w:rsidRPr="00E80090">
        <w:rPr>
          <w:rFonts w:asciiTheme="majorHAnsi" w:hAnsiTheme="majorHAnsi" w:cs="Cambria"/>
          <w:lang w:val="en-GB" w:eastAsia="en-US"/>
        </w:rPr>
        <w:t xml:space="preserve"> would make</w:t>
      </w:r>
      <w:r w:rsidR="001A10B6" w:rsidRPr="00E80090">
        <w:rPr>
          <w:rFonts w:asciiTheme="majorHAnsi" w:hAnsiTheme="majorHAnsi" w:cs="Cambria"/>
          <w:lang w:val="en-GB" w:eastAsia="en-US"/>
        </w:rPr>
        <w:t xml:space="preserve"> salary payment details</w:t>
      </w:r>
      <w:r w:rsidRPr="00E80090">
        <w:rPr>
          <w:rFonts w:asciiTheme="majorHAnsi" w:hAnsiTheme="majorHAnsi" w:cs="Cambria"/>
          <w:lang w:val="en-GB" w:eastAsia="en-US"/>
        </w:rPr>
        <w:t xml:space="preserve"> visible to a greater audience. This can create issues on the local level as the employees’ privacy may be compromised.</w:t>
      </w:r>
      <w:r w:rsidRPr="00E80090">
        <w:rPr>
          <w:rFonts w:asciiTheme="majorHAnsi" w:hAnsiTheme="majorHAnsi" w:cs="Cambria"/>
          <w:color w:val="FF0000"/>
          <w:lang w:val="en-GB" w:eastAsia="en-US"/>
        </w:rPr>
        <w:t xml:space="preserve"> </w:t>
      </w:r>
      <w:r w:rsidR="002A548E" w:rsidRPr="00E80090">
        <w:rPr>
          <w:rFonts w:asciiTheme="majorHAnsi" w:hAnsiTheme="majorHAnsi" w:cs="Cambria"/>
          <w:lang w:val="en-GB" w:eastAsia="en-US"/>
        </w:rPr>
        <w:t>That is why i</w:t>
      </w:r>
      <w:r w:rsidR="00830E0C" w:rsidRPr="00E80090">
        <w:rPr>
          <w:rFonts w:asciiTheme="majorHAnsi" w:hAnsiTheme="majorHAnsi" w:cs="Cambria"/>
          <w:lang w:val="en-GB" w:eastAsia="en-US"/>
        </w:rPr>
        <w:t>t</w:t>
      </w:r>
      <w:r w:rsidRPr="00E80090">
        <w:rPr>
          <w:rFonts w:asciiTheme="majorHAnsi" w:hAnsiTheme="majorHAnsi" w:cs="Cambria"/>
          <w:lang w:val="en-GB" w:eastAsia="en-US"/>
        </w:rPr>
        <w:t xml:space="preserve"> is </w:t>
      </w:r>
      <w:r w:rsidR="00830E0C" w:rsidRPr="00E80090">
        <w:rPr>
          <w:rFonts w:asciiTheme="majorHAnsi" w:hAnsiTheme="majorHAnsi" w:cs="Cambria"/>
          <w:lang w:val="en-GB" w:eastAsia="en-US"/>
        </w:rPr>
        <w:t>advisable</w:t>
      </w:r>
      <w:r w:rsidRPr="00E80090">
        <w:rPr>
          <w:rFonts w:asciiTheme="majorHAnsi" w:hAnsiTheme="majorHAnsi" w:cs="Cambria"/>
          <w:lang w:val="en-GB" w:eastAsia="en-US"/>
        </w:rPr>
        <w:t xml:space="preserve"> that a separate bank account is created exclusively for payroll.</w:t>
      </w:r>
      <w:r w:rsidRPr="00E80090">
        <w:rPr>
          <w:rFonts w:asciiTheme="majorHAnsi" w:hAnsiTheme="majorHAnsi" w:cs="Cambria"/>
          <w:color w:val="FF0000"/>
          <w:lang w:val="en-GB" w:eastAsia="en-US"/>
        </w:rPr>
        <w:t xml:space="preserve"> </w:t>
      </w:r>
      <w:r w:rsidRPr="00E80090">
        <w:rPr>
          <w:rFonts w:asciiTheme="majorHAnsi" w:hAnsiTheme="majorHAnsi" w:cs="Cambria"/>
          <w:lang w:val="en-GB" w:eastAsia="en-US"/>
        </w:rPr>
        <w:t xml:space="preserve">In this way the </w:t>
      </w:r>
      <w:r w:rsidR="00947A3E" w:rsidRPr="00E80090">
        <w:rPr>
          <w:rFonts w:asciiTheme="majorHAnsi" w:hAnsiTheme="majorHAnsi" w:cs="Cambria"/>
          <w:lang w:val="en-GB" w:eastAsia="en-US"/>
        </w:rPr>
        <w:t xml:space="preserve">individual transaction details would be </w:t>
      </w:r>
      <w:r w:rsidRPr="00E80090">
        <w:rPr>
          <w:rFonts w:asciiTheme="majorHAnsi" w:hAnsiTheme="majorHAnsi" w:cs="Cambria"/>
          <w:lang w:val="en-GB" w:eastAsia="en-US"/>
        </w:rPr>
        <w:t>visibl</w:t>
      </w:r>
      <w:r w:rsidR="00947A3E" w:rsidRPr="00E80090">
        <w:rPr>
          <w:rFonts w:asciiTheme="majorHAnsi" w:hAnsiTheme="majorHAnsi" w:cs="Cambria"/>
          <w:lang w:val="en-GB" w:eastAsia="en-US"/>
        </w:rPr>
        <w:t>e</w:t>
      </w:r>
      <w:r w:rsidRPr="00E80090">
        <w:rPr>
          <w:rFonts w:asciiTheme="majorHAnsi" w:hAnsiTheme="majorHAnsi" w:cs="Cambria"/>
          <w:lang w:val="en-GB" w:eastAsia="en-US"/>
        </w:rPr>
        <w:t xml:space="preserve"> solely </w:t>
      </w:r>
      <w:r w:rsidR="00C70762" w:rsidRPr="00E80090">
        <w:rPr>
          <w:rFonts w:asciiTheme="majorHAnsi" w:hAnsiTheme="majorHAnsi" w:cs="Cambria"/>
          <w:lang w:val="en-GB" w:eastAsia="en-US"/>
        </w:rPr>
        <w:t>for</w:t>
      </w:r>
      <w:r w:rsidRPr="00E80090">
        <w:rPr>
          <w:rFonts w:asciiTheme="majorHAnsi" w:hAnsiTheme="majorHAnsi" w:cs="Cambria"/>
          <w:lang w:val="en-GB" w:eastAsia="en-US"/>
        </w:rPr>
        <w:t xml:space="preserve"> the authorized parties</w:t>
      </w:r>
      <w:r w:rsidR="00947A3E" w:rsidRPr="00E80090">
        <w:rPr>
          <w:rFonts w:asciiTheme="majorHAnsi" w:hAnsiTheme="majorHAnsi" w:cs="Cambria"/>
          <w:lang w:val="en-GB" w:eastAsia="en-US"/>
        </w:rPr>
        <w:t xml:space="preserve"> and onl</w:t>
      </w:r>
      <w:r w:rsidR="00C70762" w:rsidRPr="00E80090">
        <w:rPr>
          <w:rFonts w:asciiTheme="majorHAnsi" w:hAnsiTheme="majorHAnsi" w:cs="Cambria"/>
          <w:lang w:val="en-GB" w:eastAsia="en-US"/>
        </w:rPr>
        <w:t>y the lump sum would be shown</w:t>
      </w:r>
      <w:r w:rsidR="00947A3E" w:rsidRPr="00E80090">
        <w:rPr>
          <w:rFonts w:asciiTheme="majorHAnsi" w:hAnsiTheme="majorHAnsi" w:cs="Cambria"/>
          <w:lang w:val="en-GB" w:eastAsia="en-US"/>
        </w:rPr>
        <w:t xml:space="preserve"> on the account statement</w:t>
      </w:r>
      <w:r w:rsidRPr="00E80090">
        <w:rPr>
          <w:rFonts w:asciiTheme="majorHAnsi" w:hAnsiTheme="majorHAnsi" w:cs="Cambria"/>
          <w:lang w:val="en-GB" w:eastAsia="en-US"/>
        </w:rPr>
        <w:t xml:space="preserve">. </w:t>
      </w:r>
      <w:r w:rsidR="006152CC" w:rsidRPr="00E80090">
        <w:rPr>
          <w:rFonts w:asciiTheme="majorHAnsi" w:hAnsiTheme="majorHAnsi" w:cs="Cambria"/>
          <w:lang w:val="en-GB" w:eastAsia="en-US"/>
        </w:rPr>
        <w:t>As the pricing offer of Citibank includes a free of charge maintenance for three accounts</w:t>
      </w:r>
      <w:r w:rsidR="00721461" w:rsidRPr="00E80090">
        <w:rPr>
          <w:rFonts w:asciiTheme="majorHAnsi" w:hAnsiTheme="majorHAnsi" w:cs="Cambria"/>
          <w:lang w:val="en-GB" w:eastAsia="en-US"/>
        </w:rPr>
        <w:t>,</w:t>
      </w:r>
      <w:r w:rsidR="006152CC" w:rsidRPr="00E80090">
        <w:rPr>
          <w:rFonts w:asciiTheme="majorHAnsi" w:hAnsiTheme="majorHAnsi" w:cs="Cambria"/>
          <w:lang w:val="en-GB" w:eastAsia="en-US"/>
        </w:rPr>
        <w:t xml:space="preserve"> opening a payroll account would not impact the business financially.</w:t>
      </w:r>
    </w:p>
    <w:p w14:paraId="6E584354" w14:textId="77777777" w:rsidR="00435B19" w:rsidRPr="00E80090" w:rsidRDefault="00917165" w:rsidP="00476E8C">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Direct Debit </w:t>
      </w:r>
      <w:r w:rsidR="00435B19" w:rsidRPr="00E80090">
        <w:rPr>
          <w:rFonts w:asciiTheme="majorHAnsi" w:hAnsiTheme="majorHAnsi" w:cs="Cambria"/>
          <w:lang w:val="en-GB" w:eastAsia="en-US"/>
        </w:rPr>
        <w:t>is</w:t>
      </w:r>
      <w:r w:rsidRPr="00E80090">
        <w:rPr>
          <w:rFonts w:asciiTheme="majorHAnsi" w:hAnsiTheme="majorHAnsi" w:cs="Cambria"/>
          <w:lang w:val="en-GB" w:eastAsia="en-US"/>
        </w:rPr>
        <w:t xml:space="preserve"> curr</w:t>
      </w:r>
      <w:r w:rsidR="00D81FD5" w:rsidRPr="00E80090">
        <w:rPr>
          <w:rFonts w:asciiTheme="majorHAnsi" w:hAnsiTheme="majorHAnsi" w:cs="Cambria"/>
          <w:lang w:val="en-GB" w:eastAsia="en-US"/>
        </w:rPr>
        <w:t xml:space="preserve">ently used </w:t>
      </w:r>
      <w:r w:rsidR="00435B19" w:rsidRPr="00E80090">
        <w:rPr>
          <w:rFonts w:asciiTheme="majorHAnsi" w:hAnsiTheme="majorHAnsi" w:cs="Cambria"/>
          <w:lang w:val="en-GB" w:eastAsia="en-US"/>
        </w:rPr>
        <w:t xml:space="preserve">as a payment instrument </w:t>
      </w:r>
      <w:r w:rsidR="00D81FD5" w:rsidRPr="00E80090">
        <w:rPr>
          <w:rFonts w:asciiTheme="majorHAnsi" w:hAnsiTheme="majorHAnsi" w:cs="Cambria"/>
          <w:lang w:val="en-GB" w:eastAsia="en-US"/>
        </w:rPr>
        <w:t>only in Slovakia. The</w:t>
      </w:r>
      <w:r w:rsidRPr="00E80090">
        <w:rPr>
          <w:rFonts w:asciiTheme="majorHAnsi" w:hAnsiTheme="majorHAnsi" w:cs="Cambria"/>
          <w:lang w:val="en-GB" w:eastAsia="en-US"/>
        </w:rPr>
        <w:t>s</w:t>
      </w:r>
      <w:r w:rsidR="00D81FD5" w:rsidRPr="00E80090">
        <w:rPr>
          <w:rFonts w:asciiTheme="majorHAnsi" w:hAnsiTheme="majorHAnsi" w:cs="Cambria"/>
          <w:lang w:val="en-GB" w:eastAsia="en-US"/>
        </w:rPr>
        <w:t>e payments can easily be transferred to the new bank by renewing</w:t>
      </w:r>
      <w:r w:rsidRPr="00E80090">
        <w:rPr>
          <w:rFonts w:asciiTheme="majorHAnsi" w:hAnsiTheme="majorHAnsi" w:cs="Cambria"/>
          <w:lang w:val="en-GB" w:eastAsia="en-US"/>
        </w:rPr>
        <w:t xml:space="preserve"> the current mandates for the new accounts. </w:t>
      </w:r>
      <w:r w:rsidR="00435B19" w:rsidRPr="00E80090">
        <w:rPr>
          <w:rFonts w:asciiTheme="majorHAnsi" w:hAnsiTheme="majorHAnsi" w:cs="Cambria"/>
          <w:lang w:val="en-GB" w:eastAsia="en-US"/>
        </w:rPr>
        <w:t>However, for all other payment instruments letters would need to be sent to the customers, notifying them of the change. During the process of customer migration the old accounts would need to stay open to ensure that no payments are lost.</w:t>
      </w:r>
      <w:r w:rsidR="00915B60" w:rsidRPr="00E80090">
        <w:rPr>
          <w:rFonts w:asciiTheme="majorHAnsi" w:hAnsiTheme="majorHAnsi" w:cs="Cambria"/>
          <w:lang w:val="en-GB" w:eastAsia="en-US"/>
        </w:rPr>
        <w:t xml:space="preserve"> Because of that the branches would need to pay both the fees in the new and the old bank for several months.</w:t>
      </w:r>
      <w:r w:rsidR="00435B19" w:rsidRPr="00E80090">
        <w:rPr>
          <w:rFonts w:asciiTheme="majorHAnsi" w:hAnsiTheme="majorHAnsi" w:cs="Cambria"/>
          <w:lang w:val="en-GB" w:eastAsia="en-US"/>
        </w:rPr>
        <w:t xml:space="preserve"> </w:t>
      </w:r>
    </w:p>
    <w:p w14:paraId="6E584355" w14:textId="77777777" w:rsidR="00476E8C" w:rsidRPr="00E80090" w:rsidRDefault="00917165" w:rsidP="00476E8C">
      <w:pPr>
        <w:spacing w:after="200" w:line="360" w:lineRule="auto"/>
        <w:jc w:val="both"/>
        <w:rPr>
          <w:rFonts w:asciiTheme="majorHAnsi" w:hAnsiTheme="majorHAnsi" w:cs="Cambria"/>
          <w:color w:val="FF0000"/>
          <w:lang w:val="en-GB" w:eastAsia="en-US"/>
        </w:rPr>
      </w:pPr>
      <w:r w:rsidRPr="00E80090">
        <w:rPr>
          <w:rFonts w:asciiTheme="majorHAnsi" w:hAnsiTheme="majorHAnsi" w:cs="Cambria"/>
          <w:lang w:val="en-GB" w:eastAsia="en-US"/>
        </w:rPr>
        <w:t>On the other hand</w:t>
      </w:r>
      <w:r w:rsidR="00E55EA0" w:rsidRPr="00E80090">
        <w:rPr>
          <w:rFonts w:asciiTheme="majorHAnsi" w:hAnsiTheme="majorHAnsi" w:cs="Cambria"/>
          <w:lang w:val="en-GB" w:eastAsia="en-US"/>
        </w:rPr>
        <w:t>, another issue presents itself</w:t>
      </w:r>
      <w:r w:rsidRPr="00E80090">
        <w:rPr>
          <w:rFonts w:asciiTheme="majorHAnsi" w:hAnsiTheme="majorHAnsi" w:cs="Cambria"/>
          <w:lang w:val="en-GB" w:eastAsia="en-US"/>
        </w:rPr>
        <w:t xml:space="preserve"> when it comes to </w:t>
      </w:r>
      <w:r w:rsidR="00B75640" w:rsidRPr="00E80090">
        <w:rPr>
          <w:rFonts w:asciiTheme="majorHAnsi" w:hAnsiTheme="majorHAnsi" w:cs="Cambria"/>
          <w:lang w:val="en-GB" w:eastAsia="en-US"/>
        </w:rPr>
        <w:t xml:space="preserve">the structure of the proposed bank in Slovenia and Slovakia. As UniCredit cannot provide an integrated global solution that would create transparency regarding transactions, </w:t>
      </w:r>
      <w:r w:rsidR="0044089B" w:rsidRPr="00E80090">
        <w:rPr>
          <w:rFonts w:asciiTheme="majorHAnsi" w:hAnsiTheme="majorHAnsi" w:cs="Cambria"/>
          <w:lang w:val="en-GB" w:eastAsia="en-US"/>
        </w:rPr>
        <w:t xml:space="preserve">security </w:t>
      </w:r>
      <w:r w:rsidR="007A425F" w:rsidRPr="00E80090">
        <w:rPr>
          <w:rFonts w:asciiTheme="majorHAnsi" w:hAnsiTheme="majorHAnsi" w:cs="Cambria"/>
          <w:lang w:val="en-GB" w:eastAsia="en-US"/>
        </w:rPr>
        <w:t>of</w:t>
      </w:r>
      <w:r w:rsidR="0044089B" w:rsidRPr="00E80090">
        <w:rPr>
          <w:rFonts w:asciiTheme="majorHAnsi" w:hAnsiTheme="majorHAnsi" w:cs="Cambria"/>
          <w:lang w:val="en-GB" w:eastAsia="en-US"/>
        </w:rPr>
        <w:t xml:space="preserve"> </w:t>
      </w:r>
      <w:r w:rsidR="007A425F" w:rsidRPr="00E80090">
        <w:rPr>
          <w:rFonts w:asciiTheme="majorHAnsi" w:hAnsiTheme="majorHAnsi" w:cs="Cambria"/>
          <w:lang w:val="en-GB" w:eastAsia="en-US"/>
        </w:rPr>
        <w:t>payment</w:t>
      </w:r>
      <w:r w:rsidR="00B75640" w:rsidRPr="00E80090">
        <w:rPr>
          <w:rFonts w:asciiTheme="majorHAnsi" w:hAnsiTheme="majorHAnsi" w:cs="Cambria"/>
          <w:lang w:val="en-GB" w:eastAsia="en-US"/>
        </w:rPr>
        <w:t xml:space="preserve"> </w:t>
      </w:r>
      <w:r w:rsidR="007A425F" w:rsidRPr="00E80090">
        <w:rPr>
          <w:rFonts w:asciiTheme="majorHAnsi" w:hAnsiTheme="majorHAnsi" w:cs="Cambria"/>
          <w:lang w:val="en-GB" w:eastAsia="en-US"/>
        </w:rPr>
        <w:t xml:space="preserve">processing </w:t>
      </w:r>
      <w:r w:rsidR="0044089B" w:rsidRPr="00E80090">
        <w:rPr>
          <w:rFonts w:asciiTheme="majorHAnsi" w:hAnsiTheme="majorHAnsi" w:cs="Cambria"/>
          <w:lang w:val="en-GB" w:eastAsia="en-US"/>
        </w:rPr>
        <w:t>cannot be improved</w:t>
      </w:r>
      <w:r w:rsidR="00B75640" w:rsidRPr="00E80090">
        <w:rPr>
          <w:rFonts w:asciiTheme="majorHAnsi" w:hAnsiTheme="majorHAnsi" w:cs="Cambria"/>
          <w:lang w:val="en-GB" w:eastAsia="en-US"/>
        </w:rPr>
        <w:t>.</w:t>
      </w:r>
      <w:r w:rsidR="00A3251E" w:rsidRPr="00E80090">
        <w:rPr>
          <w:rFonts w:asciiTheme="majorHAnsi" w:hAnsiTheme="majorHAnsi" w:cs="Cambria"/>
          <w:lang w:val="en-GB" w:eastAsia="en-US"/>
        </w:rPr>
        <w:t xml:space="preserve"> </w:t>
      </w:r>
      <w:r w:rsidR="00476E8C" w:rsidRPr="00E80090">
        <w:rPr>
          <w:rFonts w:asciiTheme="majorHAnsi" w:hAnsiTheme="majorHAnsi" w:cs="Cambria"/>
          <w:lang w:val="en-GB" w:eastAsia="en-US"/>
        </w:rPr>
        <w:t>Additionally, even though preformats can be created for the vendors, a distinction between payments made on a preformat basis and those executed through a free format wire will not be available. As a result, free format transactions cannot be limited. It can be concluded that Sun Chemical will not</w:t>
      </w:r>
      <w:r w:rsidR="00A3251E" w:rsidRPr="00E80090">
        <w:rPr>
          <w:rFonts w:asciiTheme="majorHAnsi" w:hAnsiTheme="majorHAnsi" w:cs="Cambria"/>
          <w:lang w:val="en-GB" w:eastAsia="en-US"/>
        </w:rPr>
        <w:t xml:space="preserve"> be able to</w:t>
      </w:r>
      <w:r w:rsidR="00476E8C" w:rsidRPr="00E80090">
        <w:rPr>
          <w:rFonts w:asciiTheme="majorHAnsi" w:hAnsiTheme="majorHAnsi" w:cs="Cambria"/>
          <w:lang w:val="en-GB" w:eastAsia="en-US"/>
        </w:rPr>
        <w:t xml:space="preserve"> meet its goals for </w:t>
      </w:r>
      <w:r w:rsidR="00A3251E" w:rsidRPr="00E80090">
        <w:rPr>
          <w:rFonts w:asciiTheme="majorHAnsi" w:hAnsiTheme="majorHAnsi" w:cs="Cambria"/>
          <w:lang w:val="en-GB" w:eastAsia="en-US"/>
        </w:rPr>
        <w:t xml:space="preserve">improved </w:t>
      </w:r>
      <w:r w:rsidR="00476E8C" w:rsidRPr="00E80090">
        <w:rPr>
          <w:rFonts w:asciiTheme="majorHAnsi" w:hAnsiTheme="majorHAnsi" w:cs="Cambria"/>
          <w:lang w:val="en-GB" w:eastAsia="en-US"/>
        </w:rPr>
        <w:t xml:space="preserve">security and transparency </w:t>
      </w:r>
      <w:r w:rsidR="00A3251E" w:rsidRPr="00E80090">
        <w:rPr>
          <w:rFonts w:asciiTheme="majorHAnsi" w:hAnsiTheme="majorHAnsi" w:cs="Cambria"/>
          <w:lang w:val="en-GB" w:eastAsia="en-US"/>
        </w:rPr>
        <w:t xml:space="preserve">in </w:t>
      </w:r>
      <w:r w:rsidR="0072656A" w:rsidRPr="00E80090">
        <w:rPr>
          <w:rFonts w:asciiTheme="majorHAnsi" w:hAnsiTheme="majorHAnsi" w:cs="Cambria"/>
          <w:lang w:val="en-GB" w:eastAsia="en-US"/>
        </w:rPr>
        <w:t>Slovenia and Slovakia if UniCredit bank is used.</w:t>
      </w:r>
      <w:r w:rsidR="00C606E0" w:rsidRPr="00E80090">
        <w:rPr>
          <w:rFonts w:asciiTheme="majorHAnsi" w:hAnsiTheme="majorHAnsi" w:cs="Cambria"/>
          <w:lang w:val="en-GB" w:eastAsia="en-US"/>
        </w:rPr>
        <w:t xml:space="preserve"> </w:t>
      </w:r>
    </w:p>
    <w:p w14:paraId="6E584356" w14:textId="77777777" w:rsidR="00C71E9A" w:rsidRPr="00E80090" w:rsidRDefault="00C71E9A" w:rsidP="00426CC6">
      <w:pPr>
        <w:pStyle w:val="Kop2"/>
        <w:numPr>
          <w:ilvl w:val="2"/>
          <w:numId w:val="12"/>
        </w:numPr>
        <w:spacing w:line="360" w:lineRule="auto"/>
        <w:rPr>
          <w:rFonts w:asciiTheme="majorHAnsi" w:hAnsiTheme="majorHAnsi"/>
          <w:sz w:val="24"/>
          <w:szCs w:val="24"/>
          <w:lang w:val="en-GB"/>
        </w:rPr>
      </w:pPr>
      <w:bookmarkStart w:id="178" w:name="_Toc360633046"/>
      <w:bookmarkStart w:id="179" w:name="_Toc368290372"/>
      <w:r w:rsidRPr="00E80090">
        <w:rPr>
          <w:rFonts w:asciiTheme="majorHAnsi" w:hAnsiTheme="majorHAnsi"/>
          <w:sz w:val="24"/>
          <w:szCs w:val="24"/>
          <w:lang w:val="en-GB"/>
        </w:rPr>
        <w:t>FX exposure solution</w:t>
      </w:r>
      <w:bookmarkEnd w:id="178"/>
      <w:bookmarkEnd w:id="179"/>
    </w:p>
    <w:p w14:paraId="6E584357" w14:textId="77777777" w:rsidR="00C71E9A" w:rsidRPr="00E80090" w:rsidRDefault="00C71E9A" w:rsidP="00C71E9A">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Looking at the foreign exchange exposure</w:t>
      </w:r>
      <w:r w:rsidR="00A34CBB" w:rsidRPr="00E80090">
        <w:rPr>
          <w:rFonts w:asciiTheme="majorHAnsi" w:hAnsiTheme="majorHAnsi" w:cs="Cambria"/>
          <w:lang w:val="en-GB" w:eastAsia="en-US"/>
        </w:rPr>
        <w:t xml:space="preserve"> of the subsidiaries in scope</w:t>
      </w:r>
      <w:r w:rsidRPr="00E80090">
        <w:rPr>
          <w:rFonts w:asciiTheme="majorHAnsi" w:hAnsiTheme="majorHAnsi" w:cs="Cambria"/>
          <w:lang w:val="en-GB" w:eastAsia="en-US"/>
        </w:rPr>
        <w:t xml:space="preserve">, </w:t>
      </w:r>
      <w:r w:rsidR="00A34CBB" w:rsidRPr="00E80090">
        <w:rPr>
          <w:rFonts w:asciiTheme="majorHAnsi" w:hAnsiTheme="majorHAnsi" w:cs="Cambria"/>
          <w:lang w:val="en-GB" w:eastAsia="en-US"/>
        </w:rPr>
        <w:t xml:space="preserve">it seems that </w:t>
      </w:r>
      <w:r w:rsidRPr="00E80090">
        <w:rPr>
          <w:rFonts w:asciiTheme="majorHAnsi" w:hAnsiTheme="majorHAnsi" w:cs="Cambria"/>
          <w:lang w:val="en-GB" w:eastAsia="en-US"/>
        </w:rPr>
        <w:t xml:space="preserve">a solution needs to be developed </w:t>
      </w:r>
      <w:r w:rsidR="00A34CBB" w:rsidRPr="00E80090">
        <w:rPr>
          <w:rFonts w:asciiTheme="majorHAnsi" w:hAnsiTheme="majorHAnsi" w:cs="Cambria"/>
          <w:lang w:val="en-GB" w:eastAsia="en-US"/>
        </w:rPr>
        <w:t xml:space="preserve">only </w:t>
      </w:r>
      <w:r w:rsidRPr="00E80090">
        <w:rPr>
          <w:rFonts w:asciiTheme="majorHAnsi" w:hAnsiTheme="majorHAnsi" w:cs="Cambria"/>
          <w:lang w:val="en-GB" w:eastAsia="en-US"/>
        </w:rPr>
        <w:t xml:space="preserve">for the Romanian entity. Citibank has </w:t>
      </w:r>
      <w:r w:rsidR="006B4FC2" w:rsidRPr="00E80090">
        <w:rPr>
          <w:rFonts w:asciiTheme="majorHAnsi" w:hAnsiTheme="majorHAnsi" w:cs="Cambria"/>
          <w:lang w:val="en-GB" w:eastAsia="en-US"/>
        </w:rPr>
        <w:t>offered to support with its online banking platform – CitiPulse</w:t>
      </w:r>
      <w:r w:rsidRPr="00E80090">
        <w:rPr>
          <w:rFonts w:asciiTheme="majorHAnsi" w:hAnsiTheme="majorHAnsi" w:cs="Cambria"/>
          <w:lang w:val="en-GB" w:eastAsia="en-US"/>
        </w:rPr>
        <w:t xml:space="preserve">. </w:t>
      </w:r>
      <w:r w:rsidR="001B2178" w:rsidRPr="00E80090">
        <w:rPr>
          <w:rFonts w:asciiTheme="majorHAnsi" w:hAnsiTheme="majorHAnsi" w:cs="Cambria"/>
          <w:lang w:val="en-GB" w:eastAsia="en-US"/>
        </w:rPr>
        <w:t xml:space="preserve">This product would </w:t>
      </w:r>
      <w:r w:rsidR="00212812" w:rsidRPr="00E80090">
        <w:rPr>
          <w:rFonts w:asciiTheme="majorHAnsi" w:hAnsiTheme="majorHAnsi" w:cs="Cambria"/>
          <w:lang w:val="en-GB" w:eastAsia="en-US"/>
        </w:rPr>
        <w:t>allow</w:t>
      </w:r>
      <w:r w:rsidR="001B2178" w:rsidRPr="00E80090">
        <w:rPr>
          <w:rFonts w:asciiTheme="majorHAnsi" w:hAnsiTheme="majorHAnsi" w:cs="Cambria"/>
          <w:lang w:val="en-GB" w:eastAsia="en-US"/>
        </w:rPr>
        <w:t xml:space="preserve"> the </w:t>
      </w:r>
      <w:r w:rsidR="00212812" w:rsidRPr="00E80090">
        <w:rPr>
          <w:rFonts w:asciiTheme="majorHAnsi" w:hAnsiTheme="majorHAnsi" w:cs="Cambria"/>
          <w:lang w:val="en-GB" w:eastAsia="en-US"/>
        </w:rPr>
        <w:t>Romanian branch</w:t>
      </w:r>
      <w:r w:rsidR="001B2178" w:rsidRPr="00E80090">
        <w:rPr>
          <w:rFonts w:asciiTheme="majorHAnsi" w:hAnsiTheme="majorHAnsi" w:cs="Cambria"/>
          <w:lang w:val="en-GB" w:eastAsia="en-US"/>
        </w:rPr>
        <w:t xml:space="preserve"> </w:t>
      </w:r>
      <w:r w:rsidR="00212812" w:rsidRPr="00E80090">
        <w:rPr>
          <w:rFonts w:asciiTheme="majorHAnsi" w:hAnsiTheme="majorHAnsi" w:cs="Cambria"/>
          <w:lang w:val="en-GB" w:eastAsia="en-US"/>
        </w:rPr>
        <w:t xml:space="preserve">to </w:t>
      </w:r>
      <w:r w:rsidR="001B2178" w:rsidRPr="00E80090">
        <w:rPr>
          <w:rFonts w:asciiTheme="majorHAnsi" w:hAnsiTheme="majorHAnsi" w:cs="Cambria"/>
          <w:lang w:val="en-GB" w:eastAsia="en-US"/>
        </w:rPr>
        <w:t xml:space="preserve">hedge its exposure </w:t>
      </w:r>
      <w:r w:rsidR="00212812" w:rsidRPr="00E80090">
        <w:rPr>
          <w:rFonts w:asciiTheme="majorHAnsi" w:hAnsiTheme="majorHAnsi" w:cs="Cambria"/>
          <w:lang w:val="en-GB" w:eastAsia="en-US"/>
        </w:rPr>
        <w:t xml:space="preserve">and </w:t>
      </w:r>
      <w:r w:rsidR="00FA59CC" w:rsidRPr="00E80090">
        <w:rPr>
          <w:rFonts w:asciiTheme="majorHAnsi" w:hAnsiTheme="majorHAnsi" w:cs="Cambria"/>
          <w:lang w:val="en-GB" w:eastAsia="en-US"/>
        </w:rPr>
        <w:t>will record all trades automatically</w:t>
      </w:r>
      <w:r w:rsidR="0092745A" w:rsidRPr="00E80090">
        <w:rPr>
          <w:rFonts w:asciiTheme="majorHAnsi" w:hAnsiTheme="majorHAnsi" w:cs="Cambria"/>
          <w:lang w:val="en-GB" w:eastAsia="en-US"/>
        </w:rPr>
        <w:t xml:space="preserve">, making it easier to report them. </w:t>
      </w:r>
      <w:r w:rsidR="00212812" w:rsidRPr="00E80090">
        <w:rPr>
          <w:rFonts w:asciiTheme="majorHAnsi" w:hAnsiTheme="majorHAnsi" w:cs="Cambria"/>
          <w:lang w:val="en-GB" w:eastAsia="en-US"/>
        </w:rPr>
        <w:t xml:space="preserve">However, the platform </w:t>
      </w:r>
      <w:r w:rsidR="001B2178" w:rsidRPr="00E80090">
        <w:rPr>
          <w:rFonts w:asciiTheme="majorHAnsi" w:hAnsiTheme="majorHAnsi" w:cs="Cambria"/>
          <w:lang w:val="en-GB" w:eastAsia="en-US"/>
        </w:rPr>
        <w:t xml:space="preserve">would </w:t>
      </w:r>
      <w:r w:rsidR="00212812" w:rsidRPr="00E80090">
        <w:rPr>
          <w:rFonts w:asciiTheme="majorHAnsi" w:hAnsiTheme="majorHAnsi" w:cs="Cambria"/>
          <w:lang w:val="en-GB" w:eastAsia="en-US"/>
        </w:rPr>
        <w:t xml:space="preserve">not </w:t>
      </w:r>
      <w:r w:rsidR="001B2178" w:rsidRPr="00E80090">
        <w:rPr>
          <w:rFonts w:asciiTheme="majorHAnsi" w:hAnsiTheme="majorHAnsi" w:cs="Cambria"/>
          <w:lang w:val="en-GB" w:eastAsia="en-US"/>
        </w:rPr>
        <w:t>allow Treasu</w:t>
      </w:r>
      <w:r w:rsidR="00212812" w:rsidRPr="00E80090">
        <w:rPr>
          <w:rFonts w:asciiTheme="majorHAnsi" w:hAnsiTheme="majorHAnsi" w:cs="Cambria"/>
          <w:lang w:val="en-GB" w:eastAsia="en-US"/>
        </w:rPr>
        <w:t xml:space="preserve">ry to monitor the </w:t>
      </w:r>
      <w:r w:rsidR="00212812" w:rsidRPr="00E80090">
        <w:rPr>
          <w:rFonts w:asciiTheme="majorHAnsi" w:hAnsiTheme="majorHAnsi" w:cs="Cambria"/>
          <w:lang w:val="en-GB" w:eastAsia="en-US"/>
        </w:rPr>
        <w:lastRenderedPageBreak/>
        <w:t>local trading and</w:t>
      </w:r>
      <w:r w:rsidR="001B2178" w:rsidRPr="00E80090">
        <w:rPr>
          <w:rFonts w:asciiTheme="majorHAnsi" w:hAnsiTheme="majorHAnsi" w:cs="Cambria"/>
          <w:lang w:val="en-GB" w:eastAsia="en-US"/>
        </w:rPr>
        <w:t xml:space="preserve"> </w:t>
      </w:r>
      <w:r w:rsidRPr="00E80090">
        <w:rPr>
          <w:rFonts w:asciiTheme="majorHAnsi" w:hAnsiTheme="majorHAnsi" w:cs="Cambria"/>
          <w:lang w:val="en-GB" w:eastAsia="en-US"/>
        </w:rPr>
        <w:t>would require the entity to trade only with Citibank, which may not always be beneficial</w:t>
      </w:r>
      <w:r w:rsidR="00693DBB" w:rsidRPr="00E80090">
        <w:rPr>
          <w:rFonts w:asciiTheme="majorHAnsi" w:hAnsiTheme="majorHAnsi" w:cs="Cambria"/>
          <w:lang w:val="en-GB" w:eastAsia="en-US"/>
        </w:rPr>
        <w:t xml:space="preserve"> for it</w:t>
      </w:r>
      <w:r w:rsidRPr="00E80090">
        <w:rPr>
          <w:rFonts w:asciiTheme="majorHAnsi" w:hAnsiTheme="majorHAnsi" w:cs="Cambria"/>
          <w:lang w:val="en-GB" w:eastAsia="en-US"/>
        </w:rPr>
        <w:t>. A better solution would be to use the</w:t>
      </w:r>
      <w:r w:rsidR="0092745A" w:rsidRPr="00E80090">
        <w:rPr>
          <w:rFonts w:asciiTheme="majorHAnsi" w:hAnsiTheme="majorHAnsi" w:cs="Cambria"/>
          <w:lang w:val="en-GB" w:eastAsia="en-US"/>
        </w:rPr>
        <w:t xml:space="preserve"> independent</w:t>
      </w:r>
      <w:r w:rsidRPr="00E80090">
        <w:rPr>
          <w:rFonts w:asciiTheme="majorHAnsi" w:hAnsiTheme="majorHAnsi" w:cs="Cambria"/>
          <w:lang w:val="en-GB" w:eastAsia="en-US"/>
        </w:rPr>
        <w:t xml:space="preserve"> multi</w:t>
      </w:r>
      <w:r w:rsidR="00BC5727" w:rsidRPr="00E80090">
        <w:rPr>
          <w:rFonts w:asciiTheme="majorHAnsi" w:hAnsiTheme="majorHAnsi" w:cs="Cambria"/>
          <w:lang w:val="en-GB" w:eastAsia="en-US"/>
        </w:rPr>
        <w:t>-</w:t>
      </w:r>
      <w:r w:rsidRPr="00E80090">
        <w:rPr>
          <w:rFonts w:asciiTheme="majorHAnsi" w:hAnsiTheme="majorHAnsi" w:cs="Cambria"/>
          <w:lang w:val="en-GB" w:eastAsia="en-US"/>
        </w:rPr>
        <w:t>bank platform FXall. Through this product</w:t>
      </w:r>
      <w:r w:rsidR="0092745A" w:rsidRPr="00E80090">
        <w:rPr>
          <w:rFonts w:asciiTheme="majorHAnsi" w:hAnsiTheme="majorHAnsi" w:cs="Cambria"/>
          <w:lang w:val="en-GB" w:eastAsia="en-US"/>
        </w:rPr>
        <w:t xml:space="preserve"> Treasury would have view only access of the local </w:t>
      </w:r>
      <w:r w:rsidR="00B74505" w:rsidRPr="00E80090">
        <w:rPr>
          <w:rFonts w:asciiTheme="majorHAnsi" w:hAnsiTheme="majorHAnsi" w:cs="Cambria"/>
          <w:lang w:val="en-GB" w:eastAsia="en-US"/>
        </w:rPr>
        <w:t>platform and would be able to monitor the executed trades easily</w:t>
      </w:r>
      <w:r w:rsidR="0092745A" w:rsidRPr="00E80090">
        <w:rPr>
          <w:rFonts w:asciiTheme="majorHAnsi" w:hAnsiTheme="majorHAnsi" w:cs="Cambria"/>
          <w:lang w:val="en-GB" w:eastAsia="en-US"/>
        </w:rPr>
        <w:t>. Additionally,</w:t>
      </w:r>
      <w:r w:rsidR="00BC5727" w:rsidRPr="00E80090">
        <w:rPr>
          <w:rFonts w:asciiTheme="majorHAnsi" w:hAnsiTheme="majorHAnsi" w:cs="Cambria"/>
          <w:lang w:val="en-GB" w:eastAsia="en-US"/>
        </w:rPr>
        <w:t xml:space="preserve"> </w:t>
      </w:r>
      <w:r w:rsidRPr="00E80090">
        <w:rPr>
          <w:rFonts w:asciiTheme="majorHAnsi" w:hAnsiTheme="majorHAnsi" w:cs="Cambria"/>
          <w:lang w:val="en-GB" w:eastAsia="en-US"/>
        </w:rPr>
        <w:t>the entity would</w:t>
      </w:r>
      <w:r w:rsidR="00BC5727" w:rsidRPr="00E80090">
        <w:rPr>
          <w:rFonts w:asciiTheme="majorHAnsi" w:hAnsiTheme="majorHAnsi" w:cs="Cambria"/>
          <w:lang w:val="en-GB" w:eastAsia="en-US"/>
        </w:rPr>
        <w:t xml:space="preserve"> </w:t>
      </w:r>
      <w:r w:rsidRPr="00E80090">
        <w:rPr>
          <w:rFonts w:asciiTheme="majorHAnsi" w:hAnsiTheme="majorHAnsi" w:cs="Cambria"/>
          <w:lang w:val="en-GB" w:eastAsia="en-US"/>
        </w:rPr>
        <w:t>be able to see the offers of all banks, which trade with EUR/RON</w:t>
      </w:r>
      <w:r w:rsidR="00BC5727" w:rsidRPr="00E80090">
        <w:rPr>
          <w:rFonts w:asciiTheme="majorHAnsi" w:hAnsiTheme="majorHAnsi" w:cs="Cambria"/>
          <w:lang w:val="en-GB" w:eastAsia="en-US"/>
        </w:rPr>
        <w:t>. Therefore, it</w:t>
      </w:r>
      <w:r w:rsidRPr="00E80090">
        <w:rPr>
          <w:rFonts w:asciiTheme="majorHAnsi" w:hAnsiTheme="majorHAnsi" w:cs="Cambria"/>
          <w:lang w:val="en-GB" w:eastAsia="en-US"/>
        </w:rPr>
        <w:t xml:space="preserve"> can choose the most competitive</w:t>
      </w:r>
      <w:r w:rsidR="004003AD" w:rsidRPr="00E80090">
        <w:rPr>
          <w:rFonts w:asciiTheme="majorHAnsi" w:hAnsiTheme="majorHAnsi" w:cs="Cambria"/>
          <w:lang w:val="en-GB" w:eastAsia="en-US"/>
        </w:rPr>
        <w:t xml:space="preserve"> price and lower its FX trading costs</w:t>
      </w:r>
      <w:r w:rsidR="0092745A" w:rsidRPr="00E80090">
        <w:rPr>
          <w:rFonts w:asciiTheme="majorHAnsi" w:hAnsiTheme="majorHAnsi" w:cs="Cambria"/>
          <w:lang w:val="en-GB" w:eastAsia="en-US"/>
        </w:rPr>
        <w:t>.</w:t>
      </w:r>
      <w:r w:rsidR="005D3945" w:rsidRPr="00E80090">
        <w:rPr>
          <w:rFonts w:asciiTheme="majorHAnsi" w:hAnsiTheme="majorHAnsi" w:cs="Cambria"/>
          <w:lang w:val="en-GB" w:eastAsia="en-US"/>
        </w:rPr>
        <w:t xml:space="preserve"> </w:t>
      </w:r>
    </w:p>
    <w:p w14:paraId="6E584358" w14:textId="77777777" w:rsidR="00C71E9A" w:rsidRPr="00E80090" w:rsidRDefault="00C71E9A" w:rsidP="00426CC6">
      <w:pPr>
        <w:pStyle w:val="Kop2"/>
        <w:numPr>
          <w:ilvl w:val="2"/>
          <w:numId w:val="12"/>
        </w:numPr>
        <w:spacing w:line="360" w:lineRule="auto"/>
        <w:rPr>
          <w:rFonts w:asciiTheme="majorHAnsi" w:hAnsiTheme="majorHAnsi"/>
          <w:sz w:val="24"/>
          <w:szCs w:val="24"/>
          <w:lang w:val="en-GB"/>
        </w:rPr>
      </w:pPr>
      <w:r w:rsidRPr="00E80090">
        <w:rPr>
          <w:rFonts w:asciiTheme="majorHAnsi" w:hAnsiTheme="majorHAnsi"/>
          <w:sz w:val="24"/>
          <w:szCs w:val="24"/>
          <w:lang w:val="en-GB"/>
        </w:rPr>
        <w:t xml:space="preserve"> </w:t>
      </w:r>
      <w:bookmarkStart w:id="180" w:name="_Toc360633047"/>
      <w:bookmarkStart w:id="181" w:name="_Toc368290373"/>
      <w:r w:rsidRPr="00E80090">
        <w:rPr>
          <w:rFonts w:asciiTheme="majorHAnsi" w:hAnsiTheme="majorHAnsi"/>
          <w:sz w:val="24"/>
          <w:szCs w:val="24"/>
          <w:lang w:val="en-GB"/>
        </w:rPr>
        <w:t>Pricing negotiation</w:t>
      </w:r>
      <w:bookmarkEnd w:id="180"/>
      <w:bookmarkEnd w:id="181"/>
    </w:p>
    <w:p w14:paraId="6E584359" w14:textId="77777777" w:rsidR="00C71E9A" w:rsidRPr="00E80090" w:rsidRDefault="00C71E9A" w:rsidP="00C71E9A">
      <w:pPr>
        <w:spacing w:after="200" w:line="360" w:lineRule="auto"/>
        <w:jc w:val="both"/>
        <w:rPr>
          <w:rFonts w:asciiTheme="majorHAnsi" w:hAnsiTheme="majorHAnsi" w:cs="Cambria"/>
          <w:color w:val="FF0000"/>
          <w:lang w:val="en-GB" w:eastAsia="en-US"/>
        </w:rPr>
      </w:pPr>
      <w:r w:rsidRPr="00E80090">
        <w:rPr>
          <w:rFonts w:asciiTheme="majorHAnsi" w:hAnsiTheme="majorHAnsi" w:cs="Cambria"/>
          <w:lang w:val="en-GB" w:eastAsia="en-US"/>
        </w:rPr>
        <w:t xml:space="preserve">Looking at the pricing offers, it is apparent that the bank proposals of Citibank in Bulgaria and UniCredit bank in Slovakia exceed the current costs of the entities. If the prices stay the same, that would hurt the local business financially.  Because of that it is recommended that the company uses its global leverage to negotiate more competitive terms. For instance, in Bulgaria the pricing for electronic account statements and foreign currency wire payments are higher than the ones currently offered to the </w:t>
      </w:r>
      <w:r w:rsidR="006F37C6" w:rsidRPr="00E80090">
        <w:rPr>
          <w:rFonts w:asciiTheme="majorHAnsi" w:hAnsiTheme="majorHAnsi" w:cs="Cambria"/>
          <w:lang w:val="en-GB" w:eastAsia="en-US"/>
        </w:rPr>
        <w:t>branch.</w:t>
      </w:r>
      <w:r w:rsidRPr="00E80090">
        <w:rPr>
          <w:rFonts w:asciiTheme="majorHAnsi" w:hAnsiTheme="majorHAnsi" w:cs="Cambria"/>
          <w:color w:val="FF0000"/>
          <w:lang w:val="en-GB" w:eastAsia="en-US"/>
        </w:rPr>
        <w:t xml:space="preserve"> </w:t>
      </w:r>
      <w:r w:rsidR="00BE4DDF" w:rsidRPr="00E80090">
        <w:rPr>
          <w:rFonts w:asciiTheme="majorHAnsi" w:hAnsiTheme="majorHAnsi" w:cs="Cambria"/>
          <w:lang w:val="en-GB" w:eastAsia="en-US"/>
        </w:rPr>
        <w:t>Accordingly</w:t>
      </w:r>
      <w:r w:rsidR="006F37C6" w:rsidRPr="00E80090">
        <w:rPr>
          <w:rFonts w:asciiTheme="majorHAnsi" w:hAnsiTheme="majorHAnsi" w:cs="Cambria"/>
          <w:lang w:val="en-GB" w:eastAsia="en-US"/>
        </w:rPr>
        <w:t>,</w:t>
      </w:r>
      <w:r w:rsidRPr="00E80090">
        <w:rPr>
          <w:rFonts w:asciiTheme="majorHAnsi" w:hAnsiTheme="majorHAnsi" w:cs="Cambria"/>
          <w:lang w:val="en-GB" w:eastAsia="en-US"/>
        </w:rPr>
        <w:t xml:space="preserve"> </w:t>
      </w:r>
      <w:r w:rsidR="00BE4DDF" w:rsidRPr="00E80090">
        <w:rPr>
          <w:rFonts w:asciiTheme="majorHAnsi" w:hAnsiTheme="majorHAnsi" w:cs="Cambria"/>
          <w:lang w:val="en-GB" w:eastAsia="en-US"/>
        </w:rPr>
        <w:t>although</w:t>
      </w:r>
      <w:r w:rsidRPr="00E80090">
        <w:rPr>
          <w:rFonts w:asciiTheme="majorHAnsi" w:hAnsiTheme="majorHAnsi" w:cs="Cambria"/>
          <w:lang w:val="en-GB" w:eastAsia="en-US"/>
        </w:rPr>
        <w:t xml:space="preserve"> on other components Citibank’s proposal is more competitive the total cost is higher than the </w:t>
      </w:r>
      <w:r w:rsidR="00BE4DDF" w:rsidRPr="00E80090">
        <w:rPr>
          <w:rFonts w:asciiTheme="majorHAnsi" w:hAnsiTheme="majorHAnsi" w:cs="Cambria"/>
          <w:lang w:val="en-GB" w:eastAsia="en-US"/>
        </w:rPr>
        <w:t xml:space="preserve">current </w:t>
      </w:r>
      <w:r w:rsidRPr="00E80090">
        <w:rPr>
          <w:rFonts w:asciiTheme="majorHAnsi" w:hAnsiTheme="majorHAnsi" w:cs="Cambria"/>
          <w:lang w:val="en-GB" w:eastAsia="en-US"/>
        </w:rPr>
        <w:t xml:space="preserve">one </w:t>
      </w:r>
      <w:r w:rsidR="00BE4DDF" w:rsidRPr="00E80090">
        <w:rPr>
          <w:rFonts w:asciiTheme="majorHAnsi" w:hAnsiTheme="majorHAnsi" w:cs="Cambria"/>
          <w:lang w:val="en-GB" w:eastAsia="en-US"/>
        </w:rPr>
        <w:t>with</w:t>
      </w:r>
      <w:r w:rsidRPr="00E80090">
        <w:rPr>
          <w:rFonts w:asciiTheme="majorHAnsi" w:hAnsiTheme="majorHAnsi" w:cs="Cambria"/>
          <w:lang w:val="en-GB" w:eastAsia="en-US"/>
        </w:rPr>
        <w:t xml:space="preserve"> ING. Furthermore, even though the proposed fees in Romania and Slovenia would lower the cash management costs for the entities, the bank offer can still be challenged to increase the benefits from the migration project.</w:t>
      </w:r>
    </w:p>
    <w:p w14:paraId="6E58435A" w14:textId="77777777" w:rsidR="00C71E9A" w:rsidRPr="00E80090" w:rsidRDefault="00C71E9A" w:rsidP="00C71E9A">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In addition, for easier budget forecasting it is recommended that fixed pricing is used instead of tier pricing. The latter means that different fees are charged based on the amount of the transaction. Even though this may be beneficial when the value of payments is small, it is recommended that the company negotiates a low set fee. The optimal fee can be determined based on the current transactions of each entity.</w:t>
      </w:r>
    </w:p>
    <w:p w14:paraId="6E58435B" w14:textId="77777777" w:rsidR="0007435B" w:rsidRPr="00E80090" w:rsidRDefault="0007435B" w:rsidP="00426CC6">
      <w:pPr>
        <w:pStyle w:val="Kop2"/>
        <w:numPr>
          <w:ilvl w:val="2"/>
          <w:numId w:val="12"/>
        </w:numPr>
        <w:spacing w:line="360" w:lineRule="auto"/>
        <w:rPr>
          <w:rFonts w:asciiTheme="majorHAnsi" w:hAnsiTheme="majorHAnsi"/>
          <w:sz w:val="24"/>
          <w:szCs w:val="24"/>
          <w:lang w:val="en-GB"/>
        </w:rPr>
      </w:pPr>
      <w:bookmarkStart w:id="182" w:name="_Toc368290374"/>
      <w:r w:rsidRPr="00E80090">
        <w:rPr>
          <w:rFonts w:asciiTheme="majorHAnsi" w:hAnsiTheme="majorHAnsi"/>
          <w:sz w:val="24"/>
          <w:szCs w:val="24"/>
          <w:lang w:val="en-GB"/>
        </w:rPr>
        <w:t>System</w:t>
      </w:r>
      <w:bookmarkEnd w:id="182"/>
    </w:p>
    <w:p w14:paraId="6E58435C" w14:textId="77777777" w:rsidR="00E859C9" w:rsidRPr="00E80090" w:rsidRDefault="00E859C9" w:rsidP="00E859C9">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field research has shown that one of the reasons to choose Citibank as a preferred partner is the potential to link the CitiDirect platform with the corporate ERP system. This would mean that all transactions executed through the online banking would be exported to the system and visible to whoever is authorized to access the data. Such interface is not possible with other banks as it was already set up with Citibank. </w:t>
      </w:r>
      <w:r w:rsidR="00F101A7" w:rsidRPr="00E80090">
        <w:rPr>
          <w:rFonts w:asciiTheme="majorHAnsi" w:hAnsiTheme="majorHAnsi" w:cs="Cambria"/>
          <w:lang w:val="en-GB" w:eastAsia="en-US"/>
        </w:rPr>
        <w:t>The decision on whether to put an entity on SAP is evaluated based on the size of the entity and the implementation fees. Therefore, e</w:t>
      </w:r>
      <w:r w:rsidRPr="00E80090">
        <w:rPr>
          <w:rFonts w:asciiTheme="majorHAnsi" w:hAnsiTheme="majorHAnsi" w:cs="Cambria"/>
          <w:lang w:val="en-GB" w:eastAsia="en-US"/>
        </w:rPr>
        <w:t xml:space="preserve">ven though the company would like to have all entities in the SAP system to enhance the control and transparency within the firm, this is not </w:t>
      </w:r>
      <w:r w:rsidR="00F101A7" w:rsidRPr="00E80090">
        <w:rPr>
          <w:rFonts w:asciiTheme="majorHAnsi" w:hAnsiTheme="majorHAnsi" w:cs="Cambria"/>
          <w:lang w:val="en-GB" w:eastAsia="en-US"/>
        </w:rPr>
        <w:t>recommended</w:t>
      </w:r>
      <w:r w:rsidRPr="00E80090">
        <w:rPr>
          <w:rFonts w:asciiTheme="majorHAnsi" w:hAnsiTheme="majorHAnsi" w:cs="Cambria"/>
          <w:lang w:val="en-GB" w:eastAsia="en-US"/>
        </w:rPr>
        <w:t xml:space="preserve"> due to the </w:t>
      </w:r>
      <w:r w:rsidR="001B63FE" w:rsidRPr="00E80090">
        <w:rPr>
          <w:rFonts w:asciiTheme="majorHAnsi" w:hAnsiTheme="majorHAnsi" w:cs="Cambria"/>
          <w:lang w:val="en-GB" w:eastAsia="en-US"/>
        </w:rPr>
        <w:t xml:space="preserve">too </w:t>
      </w:r>
      <w:r w:rsidRPr="00E80090">
        <w:rPr>
          <w:rFonts w:asciiTheme="majorHAnsi" w:hAnsiTheme="majorHAnsi" w:cs="Cambria"/>
          <w:lang w:val="en-GB" w:eastAsia="en-US"/>
        </w:rPr>
        <w:t xml:space="preserve">high installation costs. </w:t>
      </w:r>
      <w:r w:rsidR="006C1997" w:rsidRPr="00E80090">
        <w:rPr>
          <w:rFonts w:asciiTheme="majorHAnsi" w:hAnsiTheme="majorHAnsi" w:cs="Cambria"/>
          <w:lang w:val="en-GB" w:eastAsia="en-US"/>
        </w:rPr>
        <w:t xml:space="preserve">In this case the cost aspect </w:t>
      </w:r>
      <w:r w:rsidR="006C1997" w:rsidRPr="00E80090">
        <w:rPr>
          <w:rFonts w:asciiTheme="majorHAnsi" w:hAnsiTheme="majorHAnsi" w:cs="Cambria"/>
          <w:lang w:val="en-GB" w:eastAsia="en-US"/>
        </w:rPr>
        <w:lastRenderedPageBreak/>
        <w:t xml:space="preserve">outweighs the benefits in security improvement. </w:t>
      </w:r>
      <w:r w:rsidRPr="00E80090">
        <w:rPr>
          <w:rFonts w:asciiTheme="majorHAnsi" w:hAnsiTheme="majorHAnsi" w:cs="Cambria"/>
          <w:lang w:val="en-GB" w:eastAsia="en-US"/>
        </w:rPr>
        <w:t xml:space="preserve">As a result, because of their small turnover, none of the entities in scope are going to be part of SAP at this stage. However, migrating branches to Citibank would allow for keeping the option open in the future. </w:t>
      </w:r>
    </w:p>
    <w:p w14:paraId="6E58435D" w14:textId="77777777" w:rsidR="00B02327" w:rsidRPr="00E80090" w:rsidRDefault="004A2314" w:rsidP="001440D3">
      <w:pPr>
        <w:pStyle w:val="Kop2"/>
        <w:numPr>
          <w:ilvl w:val="1"/>
          <w:numId w:val="11"/>
        </w:numPr>
        <w:spacing w:line="360" w:lineRule="auto"/>
        <w:rPr>
          <w:rFonts w:asciiTheme="majorHAnsi" w:hAnsiTheme="majorHAnsi"/>
          <w:lang w:val="en-GB"/>
        </w:rPr>
      </w:pPr>
      <w:bookmarkStart w:id="183" w:name="_Toc360633037"/>
      <w:bookmarkStart w:id="184" w:name="_Toc368290375"/>
      <w:r w:rsidRPr="00E80090">
        <w:rPr>
          <w:rFonts w:asciiTheme="majorHAnsi" w:hAnsiTheme="majorHAnsi"/>
          <w:lang w:val="en-GB"/>
        </w:rPr>
        <w:t>Possible conflicts</w:t>
      </w:r>
      <w:bookmarkEnd w:id="183"/>
      <w:bookmarkEnd w:id="184"/>
    </w:p>
    <w:p w14:paraId="6E58435E" w14:textId="77777777" w:rsidR="00016143" w:rsidRPr="00E80090" w:rsidRDefault="00647383" w:rsidP="006420D9">
      <w:pPr>
        <w:spacing w:after="200" w:line="360" w:lineRule="auto"/>
        <w:jc w:val="both"/>
        <w:rPr>
          <w:rFonts w:asciiTheme="majorHAnsi" w:hAnsiTheme="majorHAnsi" w:cs="Cambria"/>
          <w:lang w:val="en-GB" w:eastAsia="en-US"/>
        </w:rPr>
      </w:pPr>
      <w:bookmarkStart w:id="185" w:name="_Toc357969736"/>
      <w:r w:rsidRPr="00E80090">
        <w:rPr>
          <w:rFonts w:asciiTheme="majorHAnsi" w:hAnsiTheme="majorHAnsi" w:cs="Cambria"/>
          <w:lang w:eastAsia="en-US"/>
        </w:rPr>
        <w:t xml:space="preserve">Considering that </w:t>
      </w:r>
      <w:r w:rsidR="001440D3" w:rsidRPr="00E80090">
        <w:rPr>
          <w:rFonts w:asciiTheme="majorHAnsi" w:hAnsiTheme="majorHAnsi" w:cs="Cambria"/>
          <w:lang w:eastAsia="en-US"/>
        </w:rPr>
        <w:t xml:space="preserve">the subsidiary’s and the parent’s perspective </w:t>
      </w:r>
      <w:r w:rsidRPr="00E80090">
        <w:rPr>
          <w:rFonts w:asciiTheme="majorHAnsi" w:hAnsiTheme="majorHAnsi" w:cs="Cambria"/>
          <w:lang w:eastAsia="en-US"/>
        </w:rPr>
        <w:t xml:space="preserve">differ </w:t>
      </w:r>
      <w:r w:rsidR="001C4162" w:rsidRPr="00E80090">
        <w:rPr>
          <w:rFonts w:asciiTheme="majorHAnsi" w:hAnsiTheme="majorHAnsi" w:cs="Cambria"/>
          <w:lang w:eastAsia="en-US"/>
        </w:rPr>
        <w:t xml:space="preserve">when evaluating a project </w:t>
      </w:r>
      <w:sdt>
        <w:sdtPr>
          <w:rPr>
            <w:rFonts w:asciiTheme="majorHAnsi" w:hAnsiTheme="majorHAnsi" w:cs="Cambria"/>
            <w:lang w:eastAsia="en-US"/>
          </w:rPr>
          <w:id w:val="1131517284"/>
          <w:citation/>
        </w:sdtPr>
        <w:sdtEndPr/>
        <w:sdtContent>
          <w:r w:rsidR="006E1FD0" w:rsidRPr="00E80090">
            <w:rPr>
              <w:rFonts w:asciiTheme="majorHAnsi" w:hAnsiTheme="majorHAnsi" w:cs="Cambria"/>
              <w:lang w:eastAsia="en-US"/>
            </w:rPr>
            <w:fldChar w:fldCharType="begin"/>
          </w:r>
          <w:r w:rsidR="006E1FD0" w:rsidRPr="00E80090">
            <w:rPr>
              <w:rFonts w:asciiTheme="majorHAnsi" w:hAnsiTheme="majorHAnsi" w:cs="Cambria"/>
              <w:lang w:eastAsia="en-US"/>
            </w:rPr>
            <w:instrText xml:space="preserve"> CITATION Mad11 \l 1033 </w:instrText>
          </w:r>
          <w:r w:rsidR="006E1FD0" w:rsidRPr="00E80090">
            <w:rPr>
              <w:rFonts w:asciiTheme="majorHAnsi" w:hAnsiTheme="majorHAnsi" w:cs="Cambria"/>
              <w:lang w:eastAsia="en-US"/>
            </w:rPr>
            <w:fldChar w:fldCharType="separate"/>
          </w:r>
          <w:r w:rsidR="004D1237" w:rsidRPr="00E80090">
            <w:rPr>
              <w:rFonts w:asciiTheme="majorHAnsi" w:hAnsiTheme="majorHAnsi" w:cs="Cambria"/>
              <w:noProof/>
              <w:lang w:eastAsia="en-US"/>
            </w:rPr>
            <w:t>(Madura &amp; Fox, 2011)</w:t>
          </w:r>
          <w:r w:rsidR="006E1FD0" w:rsidRPr="00E80090">
            <w:rPr>
              <w:rFonts w:asciiTheme="majorHAnsi" w:hAnsiTheme="majorHAnsi" w:cs="Cambria"/>
              <w:lang w:eastAsia="en-US"/>
            </w:rPr>
            <w:fldChar w:fldCharType="end"/>
          </w:r>
        </w:sdtContent>
      </w:sdt>
      <w:r w:rsidRPr="00E80090">
        <w:rPr>
          <w:rFonts w:asciiTheme="majorHAnsi" w:hAnsiTheme="majorHAnsi" w:cs="Cambria"/>
          <w:lang w:eastAsia="en-US"/>
        </w:rPr>
        <w:t>, a</w:t>
      </w:r>
      <w:r w:rsidRPr="00E80090">
        <w:rPr>
          <w:rFonts w:asciiTheme="majorHAnsi" w:hAnsiTheme="majorHAnsi" w:cs="Cambria"/>
          <w:lang w:val="en-GB" w:eastAsia="en-US"/>
        </w:rPr>
        <w:t xml:space="preserve"> conflict of interest </w:t>
      </w:r>
      <w:r w:rsidR="009E4C0A" w:rsidRPr="00E80090">
        <w:rPr>
          <w:rFonts w:asciiTheme="majorHAnsi" w:hAnsiTheme="majorHAnsi" w:cs="Cambria"/>
          <w:lang w:val="en-GB" w:eastAsia="en-US"/>
        </w:rPr>
        <w:t xml:space="preserve">may arise </w:t>
      </w:r>
      <w:r w:rsidRPr="00E80090">
        <w:rPr>
          <w:rFonts w:asciiTheme="majorHAnsi" w:hAnsiTheme="majorHAnsi" w:cs="Cambria"/>
          <w:lang w:val="en-GB" w:eastAsia="en-US"/>
        </w:rPr>
        <w:t>between the two</w:t>
      </w:r>
      <w:r w:rsidR="00C857A1" w:rsidRPr="00E80090">
        <w:rPr>
          <w:rFonts w:asciiTheme="majorHAnsi" w:hAnsiTheme="majorHAnsi" w:cs="Cambria"/>
          <w:lang w:val="en-GB" w:eastAsia="en-US"/>
        </w:rPr>
        <w:t>.</w:t>
      </w:r>
      <w:r w:rsidR="009E4C0A" w:rsidRPr="00E80090">
        <w:rPr>
          <w:rFonts w:asciiTheme="majorHAnsi" w:hAnsiTheme="majorHAnsi" w:cs="Cambria"/>
          <w:lang w:val="en-GB" w:eastAsia="en-US"/>
        </w:rPr>
        <w:t xml:space="preserve"> </w:t>
      </w:r>
      <w:r w:rsidR="00CF46A4" w:rsidRPr="00E80090">
        <w:rPr>
          <w:rFonts w:asciiTheme="majorHAnsi" w:hAnsiTheme="majorHAnsi" w:cs="Cambria"/>
          <w:lang w:val="en-GB" w:eastAsia="en-US"/>
        </w:rPr>
        <w:t>Greater control, higher transparency, c</w:t>
      </w:r>
      <w:r w:rsidR="00016143" w:rsidRPr="00E80090">
        <w:rPr>
          <w:rFonts w:asciiTheme="majorHAnsi" w:hAnsiTheme="majorHAnsi" w:cs="Cambria"/>
          <w:lang w:val="en-GB" w:eastAsia="en-US"/>
        </w:rPr>
        <w:t xml:space="preserve">ost </w:t>
      </w:r>
      <w:r w:rsidR="00CF46A4" w:rsidRPr="00E80090">
        <w:rPr>
          <w:rFonts w:asciiTheme="majorHAnsi" w:hAnsiTheme="majorHAnsi" w:cs="Cambria"/>
          <w:lang w:val="en-GB" w:eastAsia="en-US"/>
        </w:rPr>
        <w:t>reduction</w:t>
      </w:r>
      <w:r w:rsidR="00016143" w:rsidRPr="00E80090">
        <w:rPr>
          <w:rFonts w:asciiTheme="majorHAnsi" w:hAnsiTheme="majorHAnsi" w:cs="Cambria"/>
          <w:lang w:val="en-GB" w:eastAsia="en-US"/>
        </w:rPr>
        <w:t xml:space="preserve"> </w:t>
      </w:r>
      <w:r w:rsidR="009F243D" w:rsidRPr="00E80090">
        <w:rPr>
          <w:rFonts w:asciiTheme="majorHAnsi" w:hAnsiTheme="majorHAnsi" w:cs="Cambria"/>
          <w:lang w:val="en-GB" w:eastAsia="en-US"/>
        </w:rPr>
        <w:t>and lowered work load are among</w:t>
      </w:r>
      <w:r w:rsidR="00016143" w:rsidRPr="00E80090">
        <w:rPr>
          <w:rFonts w:asciiTheme="majorHAnsi" w:hAnsiTheme="majorHAnsi" w:cs="Cambria"/>
          <w:lang w:val="en-GB" w:eastAsia="en-US"/>
        </w:rPr>
        <w:t xml:space="preserve"> the objectives </w:t>
      </w:r>
      <w:r w:rsidR="00646A55" w:rsidRPr="00E80090">
        <w:rPr>
          <w:rFonts w:asciiTheme="majorHAnsi" w:hAnsiTheme="majorHAnsi" w:cs="Cambria"/>
          <w:lang w:val="en-GB" w:eastAsia="en-US"/>
        </w:rPr>
        <w:t>for initiating the migration</w:t>
      </w:r>
      <w:r w:rsidR="00016143" w:rsidRPr="00E80090">
        <w:rPr>
          <w:rFonts w:asciiTheme="majorHAnsi" w:hAnsiTheme="majorHAnsi" w:cs="Cambria"/>
          <w:lang w:val="en-GB" w:eastAsia="en-US"/>
        </w:rPr>
        <w:t>. However,</w:t>
      </w:r>
      <w:r w:rsidR="001C4162" w:rsidRPr="00E80090">
        <w:rPr>
          <w:rFonts w:asciiTheme="majorHAnsi" w:hAnsiTheme="majorHAnsi" w:cs="Cambria"/>
          <w:lang w:val="en-GB" w:eastAsia="en-US"/>
        </w:rPr>
        <w:t xml:space="preserve"> as all cannot always be achieved</w:t>
      </w:r>
      <w:r w:rsidR="00CC426D" w:rsidRPr="00E80090">
        <w:rPr>
          <w:rFonts w:asciiTheme="majorHAnsi" w:hAnsiTheme="majorHAnsi" w:cs="Cambria"/>
          <w:lang w:val="en-GB" w:eastAsia="en-US"/>
        </w:rPr>
        <w:t xml:space="preserve"> simultaneously</w:t>
      </w:r>
      <w:r w:rsidR="001C4162" w:rsidRPr="00E80090">
        <w:rPr>
          <w:rFonts w:asciiTheme="majorHAnsi" w:hAnsiTheme="majorHAnsi" w:cs="Cambria"/>
          <w:lang w:val="en-GB" w:eastAsia="en-US"/>
        </w:rPr>
        <w:t xml:space="preserve">, </w:t>
      </w:r>
      <w:r w:rsidR="00A01253" w:rsidRPr="00E80090">
        <w:rPr>
          <w:rFonts w:asciiTheme="majorHAnsi" w:hAnsiTheme="majorHAnsi" w:cs="Cambria"/>
          <w:lang w:val="en-GB" w:eastAsia="en-US"/>
        </w:rPr>
        <w:t xml:space="preserve">the company </w:t>
      </w:r>
      <w:r w:rsidR="00CC426D" w:rsidRPr="00E80090">
        <w:rPr>
          <w:rFonts w:asciiTheme="majorHAnsi" w:hAnsiTheme="majorHAnsi" w:cs="Cambria"/>
          <w:lang w:val="en-GB" w:eastAsia="en-US"/>
        </w:rPr>
        <w:t>would have</w:t>
      </w:r>
      <w:r w:rsidR="00A01253" w:rsidRPr="00E80090">
        <w:rPr>
          <w:rFonts w:asciiTheme="majorHAnsi" w:hAnsiTheme="majorHAnsi" w:cs="Cambria"/>
          <w:lang w:val="en-GB" w:eastAsia="en-US"/>
        </w:rPr>
        <w:t xml:space="preserve"> to choose which one is more important</w:t>
      </w:r>
      <w:r w:rsidR="009F243D" w:rsidRPr="00E80090">
        <w:rPr>
          <w:rFonts w:asciiTheme="majorHAnsi" w:hAnsiTheme="majorHAnsi" w:cs="Cambria"/>
          <w:lang w:val="en-GB" w:eastAsia="en-US"/>
        </w:rPr>
        <w:t>.</w:t>
      </w:r>
      <w:r w:rsidR="003B6D54" w:rsidRPr="00E80090">
        <w:rPr>
          <w:rFonts w:asciiTheme="majorHAnsi" w:hAnsiTheme="majorHAnsi" w:cs="Cambria"/>
          <w:lang w:val="en-GB" w:eastAsia="en-US"/>
        </w:rPr>
        <w:t xml:space="preserve"> When setting priorities regarding the goals, </w:t>
      </w:r>
      <w:r w:rsidR="00A41805" w:rsidRPr="00E80090">
        <w:rPr>
          <w:rFonts w:asciiTheme="majorHAnsi" w:hAnsiTheme="majorHAnsi" w:cs="Cambria"/>
          <w:lang w:val="en-GB" w:eastAsia="en-US"/>
        </w:rPr>
        <w:t>the</w:t>
      </w:r>
      <w:r w:rsidR="00DB0C07" w:rsidRPr="00E80090">
        <w:rPr>
          <w:rFonts w:asciiTheme="majorHAnsi" w:hAnsiTheme="majorHAnsi" w:cs="Cambria"/>
          <w:lang w:val="en-GB" w:eastAsia="en-US"/>
        </w:rPr>
        <w:t xml:space="preserve"> view</w:t>
      </w:r>
      <w:r w:rsidR="0060553C" w:rsidRPr="00E80090">
        <w:rPr>
          <w:rFonts w:asciiTheme="majorHAnsi" w:hAnsiTheme="majorHAnsi" w:cs="Cambria"/>
          <w:lang w:val="en-GB" w:eastAsia="en-US"/>
        </w:rPr>
        <w:t xml:space="preserve"> of the parent and that of the subsidiary</w:t>
      </w:r>
      <w:r w:rsidR="00A41805" w:rsidRPr="00E80090">
        <w:rPr>
          <w:rFonts w:asciiTheme="majorHAnsi" w:hAnsiTheme="majorHAnsi" w:cs="Cambria"/>
          <w:lang w:val="en-GB" w:eastAsia="en-US"/>
        </w:rPr>
        <w:t xml:space="preserve"> may differ.</w:t>
      </w:r>
    </w:p>
    <w:p w14:paraId="6E58435F" w14:textId="77777777" w:rsidR="00F85B3B" w:rsidRPr="00E80090" w:rsidRDefault="009F243D" w:rsidP="008141C2">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Firstly, h</w:t>
      </w:r>
      <w:r w:rsidR="0017311E" w:rsidRPr="00E80090">
        <w:rPr>
          <w:rFonts w:asciiTheme="majorHAnsi" w:hAnsiTheme="majorHAnsi" w:cs="Cambria"/>
          <w:lang w:val="en-GB" w:eastAsia="en-US"/>
        </w:rPr>
        <w:t>aving centralis</w:t>
      </w:r>
      <w:r w:rsidR="00BF70B2" w:rsidRPr="00E80090">
        <w:rPr>
          <w:rFonts w:asciiTheme="majorHAnsi" w:hAnsiTheme="majorHAnsi" w:cs="Cambria"/>
          <w:lang w:val="en-GB" w:eastAsia="en-US"/>
        </w:rPr>
        <w:t>ed cash management would bring greater transparency as local transactions would be visible to all parties</w:t>
      </w:r>
      <w:r w:rsidR="008141C2" w:rsidRPr="00E80090">
        <w:rPr>
          <w:rFonts w:asciiTheme="majorHAnsi" w:hAnsiTheme="majorHAnsi" w:cs="Cambria"/>
          <w:lang w:val="en-GB" w:eastAsia="en-US"/>
        </w:rPr>
        <w:t xml:space="preserve"> that need to see them</w:t>
      </w:r>
      <w:r w:rsidR="00BF70B2" w:rsidRPr="00E80090">
        <w:rPr>
          <w:rFonts w:asciiTheme="majorHAnsi" w:hAnsiTheme="majorHAnsi" w:cs="Cambria"/>
          <w:lang w:val="en-GB" w:eastAsia="en-US"/>
        </w:rPr>
        <w:t xml:space="preserve">. </w:t>
      </w:r>
      <w:r w:rsidR="00CC426D" w:rsidRPr="00E80090">
        <w:rPr>
          <w:rFonts w:asciiTheme="majorHAnsi" w:hAnsiTheme="majorHAnsi" w:cs="Cambria"/>
          <w:lang w:val="en-GB" w:eastAsia="en-US"/>
        </w:rPr>
        <w:t>Consequently</w:t>
      </w:r>
      <w:r w:rsidR="006F37C6" w:rsidRPr="00E80090">
        <w:rPr>
          <w:rFonts w:asciiTheme="majorHAnsi" w:hAnsiTheme="majorHAnsi" w:cs="Cambria"/>
          <w:lang w:val="en-GB" w:eastAsia="en-US"/>
        </w:rPr>
        <w:t>,</w:t>
      </w:r>
      <w:r w:rsidR="00BF70B2" w:rsidRPr="00E80090">
        <w:rPr>
          <w:rFonts w:asciiTheme="majorHAnsi" w:hAnsiTheme="majorHAnsi" w:cs="Cambria"/>
          <w:lang w:val="en-GB" w:eastAsia="en-US"/>
        </w:rPr>
        <w:t xml:space="preserve"> less reporting would be required from the </w:t>
      </w:r>
      <w:r w:rsidR="00CC426D" w:rsidRPr="00E80090">
        <w:rPr>
          <w:rFonts w:asciiTheme="majorHAnsi" w:hAnsiTheme="majorHAnsi" w:cs="Cambria"/>
          <w:lang w:val="en-GB" w:eastAsia="en-US"/>
        </w:rPr>
        <w:t>branch</w:t>
      </w:r>
      <w:r w:rsidR="00810D0C" w:rsidRPr="00E80090">
        <w:rPr>
          <w:rFonts w:asciiTheme="majorHAnsi" w:hAnsiTheme="majorHAnsi" w:cs="Cambria"/>
          <w:lang w:val="en-GB" w:eastAsia="en-US"/>
        </w:rPr>
        <w:t xml:space="preserve">, thus </w:t>
      </w:r>
      <w:r w:rsidR="0017311E" w:rsidRPr="00E80090">
        <w:rPr>
          <w:rFonts w:asciiTheme="majorHAnsi" w:hAnsiTheme="majorHAnsi" w:cs="Cambria"/>
          <w:lang w:val="en-GB" w:eastAsia="en-US"/>
        </w:rPr>
        <w:t>making the centralis</w:t>
      </w:r>
      <w:r w:rsidR="00734D31" w:rsidRPr="00E80090">
        <w:rPr>
          <w:rFonts w:asciiTheme="majorHAnsi" w:hAnsiTheme="majorHAnsi" w:cs="Cambria"/>
          <w:lang w:val="en-GB" w:eastAsia="en-US"/>
        </w:rPr>
        <w:t>ation</w:t>
      </w:r>
      <w:r w:rsidR="00810D0C" w:rsidRPr="00E80090">
        <w:rPr>
          <w:rFonts w:asciiTheme="majorHAnsi" w:hAnsiTheme="majorHAnsi" w:cs="Cambria"/>
          <w:lang w:val="en-GB" w:eastAsia="en-US"/>
        </w:rPr>
        <w:t xml:space="preserve"> beneficial for both sides. </w:t>
      </w:r>
      <w:r w:rsidR="008141C2" w:rsidRPr="00E80090">
        <w:rPr>
          <w:rFonts w:asciiTheme="majorHAnsi" w:hAnsiTheme="majorHAnsi" w:cs="Cambria"/>
          <w:lang w:val="en-GB" w:eastAsia="en-US"/>
        </w:rPr>
        <w:t>However,</w:t>
      </w:r>
      <w:r w:rsidR="005D7FD4" w:rsidRPr="00E80090">
        <w:rPr>
          <w:rFonts w:asciiTheme="majorHAnsi" w:hAnsiTheme="majorHAnsi" w:cs="Cambria"/>
          <w:lang w:val="en-GB" w:eastAsia="en-US"/>
        </w:rPr>
        <w:t xml:space="preserve"> </w:t>
      </w:r>
      <w:r w:rsidR="000C057F" w:rsidRPr="00E80090">
        <w:rPr>
          <w:rFonts w:asciiTheme="majorHAnsi" w:hAnsiTheme="majorHAnsi" w:cs="Cambria"/>
          <w:lang w:val="en-GB" w:eastAsia="en-US"/>
        </w:rPr>
        <w:t xml:space="preserve">it would also make payroll payment details visible to all employees with access to the system and </w:t>
      </w:r>
      <w:r w:rsidR="008141C2" w:rsidRPr="00E80090">
        <w:rPr>
          <w:rFonts w:asciiTheme="majorHAnsi" w:hAnsiTheme="majorHAnsi" w:cs="Cambria"/>
          <w:lang w:val="en-GB" w:eastAsia="en-US"/>
        </w:rPr>
        <w:t>may cause a breach of privacy on the subsidiary level.</w:t>
      </w:r>
      <w:r w:rsidR="00CC426D" w:rsidRPr="00E80090">
        <w:rPr>
          <w:rFonts w:asciiTheme="majorHAnsi" w:hAnsiTheme="majorHAnsi" w:cs="Cambria"/>
          <w:lang w:val="en-GB" w:eastAsia="en-US"/>
        </w:rPr>
        <w:t xml:space="preserve"> </w:t>
      </w:r>
    </w:p>
    <w:p w14:paraId="6E584360" w14:textId="77777777" w:rsidR="008C63EB" w:rsidRPr="00E80090" w:rsidRDefault="000C057F" w:rsidP="0021513E">
      <w:pPr>
        <w:spacing w:after="200" w:line="360" w:lineRule="auto"/>
        <w:jc w:val="both"/>
        <w:rPr>
          <w:rFonts w:asciiTheme="majorHAnsi" w:hAnsiTheme="majorHAnsi" w:cs="Cambria"/>
          <w:color w:val="FF0000"/>
          <w:lang w:val="en-GB" w:eastAsia="en-US"/>
        </w:rPr>
      </w:pPr>
      <w:r w:rsidRPr="00E80090">
        <w:rPr>
          <w:rFonts w:asciiTheme="majorHAnsi" w:hAnsiTheme="majorHAnsi" w:cs="Cambria"/>
          <w:lang w:val="en-GB" w:eastAsia="en-US"/>
        </w:rPr>
        <w:t>Cost reductions are desired by both levels. However, for the parent security improvement has higher priority</w:t>
      </w:r>
      <w:r w:rsidR="00443133" w:rsidRPr="00E80090">
        <w:rPr>
          <w:rFonts w:asciiTheme="majorHAnsi" w:hAnsiTheme="majorHAnsi" w:cs="Cambria"/>
          <w:lang w:val="en-GB" w:eastAsia="en-US"/>
        </w:rPr>
        <w:t xml:space="preserve">. </w:t>
      </w:r>
      <w:r w:rsidR="006B0F97" w:rsidRPr="00E80090">
        <w:rPr>
          <w:rFonts w:asciiTheme="majorHAnsi" w:hAnsiTheme="majorHAnsi" w:cs="Cambria"/>
          <w:lang w:val="en-GB" w:eastAsia="en-US"/>
        </w:rPr>
        <w:t xml:space="preserve">As a result, </w:t>
      </w:r>
      <w:r w:rsidR="00E06C3A" w:rsidRPr="00E80090">
        <w:rPr>
          <w:rFonts w:asciiTheme="majorHAnsi" w:hAnsiTheme="majorHAnsi" w:cs="Cambria"/>
          <w:lang w:val="en-GB" w:eastAsia="en-US"/>
        </w:rPr>
        <w:t xml:space="preserve">even if the </w:t>
      </w:r>
      <w:r w:rsidR="008C130E" w:rsidRPr="00E80090">
        <w:rPr>
          <w:rFonts w:asciiTheme="majorHAnsi" w:hAnsiTheme="majorHAnsi" w:cs="Cambria"/>
          <w:lang w:val="en-GB" w:eastAsia="en-US"/>
        </w:rPr>
        <w:t>local</w:t>
      </w:r>
      <w:r w:rsidR="00E06C3A" w:rsidRPr="00E80090">
        <w:rPr>
          <w:rFonts w:asciiTheme="majorHAnsi" w:hAnsiTheme="majorHAnsi" w:cs="Cambria"/>
          <w:lang w:val="en-GB" w:eastAsia="en-US"/>
        </w:rPr>
        <w:t xml:space="preserve"> bank has a more competitive offer, the global </w:t>
      </w:r>
      <w:r w:rsidR="00EE6A2B" w:rsidRPr="00E80090">
        <w:rPr>
          <w:rFonts w:asciiTheme="majorHAnsi" w:hAnsiTheme="majorHAnsi" w:cs="Cambria"/>
          <w:lang w:val="en-GB" w:eastAsia="en-US"/>
        </w:rPr>
        <w:t>partner</w:t>
      </w:r>
      <w:r w:rsidR="00E06C3A" w:rsidRPr="00E80090">
        <w:rPr>
          <w:rFonts w:asciiTheme="majorHAnsi" w:hAnsiTheme="majorHAnsi" w:cs="Cambria"/>
          <w:lang w:val="en-GB" w:eastAsia="en-US"/>
        </w:rPr>
        <w:t xml:space="preserve"> may</w:t>
      </w:r>
      <w:r w:rsidR="00BC20D4" w:rsidRPr="00E80090">
        <w:rPr>
          <w:rFonts w:asciiTheme="majorHAnsi" w:hAnsiTheme="majorHAnsi" w:cs="Cambria"/>
          <w:lang w:val="en-GB" w:eastAsia="en-US"/>
        </w:rPr>
        <w:t xml:space="preserve"> still</w:t>
      </w:r>
      <w:r w:rsidR="00E06C3A" w:rsidRPr="00E80090">
        <w:rPr>
          <w:rFonts w:asciiTheme="majorHAnsi" w:hAnsiTheme="majorHAnsi" w:cs="Cambria"/>
          <w:lang w:val="en-GB" w:eastAsia="en-US"/>
        </w:rPr>
        <w:t xml:space="preserve"> be preferred. </w:t>
      </w:r>
      <w:r w:rsidR="005D22BD" w:rsidRPr="00E80090">
        <w:rPr>
          <w:rFonts w:asciiTheme="majorHAnsi" w:hAnsiTheme="majorHAnsi" w:cs="Cambria"/>
          <w:lang w:val="en-GB" w:eastAsia="en-US"/>
        </w:rPr>
        <w:t>This is the case in Bulgaria, where the cash management charges proposed by Citibank exceed the current fees paid by the branch.</w:t>
      </w:r>
      <w:r w:rsidR="00242722" w:rsidRPr="00E80090">
        <w:rPr>
          <w:rFonts w:asciiTheme="majorHAnsi" w:hAnsiTheme="majorHAnsi" w:cs="Cambria"/>
          <w:lang w:val="en-GB" w:eastAsia="en-US"/>
        </w:rPr>
        <w:t xml:space="preserve"> </w:t>
      </w:r>
    </w:p>
    <w:p w14:paraId="6E584361" w14:textId="77777777" w:rsidR="00286E7B" w:rsidRPr="00E80090" w:rsidRDefault="00286E7B" w:rsidP="001440D3">
      <w:pPr>
        <w:pStyle w:val="Kop2"/>
        <w:numPr>
          <w:ilvl w:val="1"/>
          <w:numId w:val="11"/>
        </w:numPr>
        <w:spacing w:line="360" w:lineRule="auto"/>
        <w:rPr>
          <w:rFonts w:asciiTheme="majorHAnsi" w:hAnsiTheme="majorHAnsi"/>
          <w:lang w:val="en-GB"/>
        </w:rPr>
      </w:pPr>
      <w:bookmarkStart w:id="186" w:name="_Toc368290376"/>
      <w:r w:rsidRPr="00E80090">
        <w:rPr>
          <w:rFonts w:asciiTheme="majorHAnsi" w:hAnsiTheme="majorHAnsi"/>
          <w:lang w:val="en-GB"/>
        </w:rPr>
        <w:t>Timeframe</w:t>
      </w:r>
      <w:bookmarkEnd w:id="186"/>
      <w:r w:rsidRPr="00E80090">
        <w:rPr>
          <w:rFonts w:asciiTheme="majorHAnsi" w:hAnsiTheme="majorHAnsi"/>
          <w:lang w:val="en-GB"/>
        </w:rPr>
        <w:t xml:space="preserve"> </w:t>
      </w:r>
    </w:p>
    <w:p w14:paraId="6E584362" w14:textId="77777777" w:rsidR="00286E7B" w:rsidRPr="00E80090" w:rsidRDefault="00286E7B" w:rsidP="00286E7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target for completing the project is the end of December 2013. The stages of implementation include: </w:t>
      </w:r>
      <w:r w:rsidR="006E1FD0" w:rsidRPr="00E80090">
        <w:rPr>
          <w:rFonts w:asciiTheme="majorHAnsi" w:hAnsiTheme="majorHAnsi" w:cs="Cambria"/>
          <w:lang w:val="en-GB" w:eastAsia="en-US"/>
        </w:rPr>
        <w:t>b</w:t>
      </w:r>
      <w:r w:rsidRPr="00E80090">
        <w:rPr>
          <w:rFonts w:asciiTheme="majorHAnsi" w:hAnsiTheme="majorHAnsi" w:cs="Cambria"/>
          <w:lang w:val="en-GB" w:eastAsia="en-US"/>
        </w:rPr>
        <w:t xml:space="preserve">lueprinting, documentation preparation and customer migration. The first stage includes the data collection from the local business and the banks and has been completed with the current research.  </w:t>
      </w:r>
    </w:p>
    <w:p w14:paraId="6E584363" w14:textId="77777777" w:rsidR="00286E7B" w:rsidRPr="00E80090" w:rsidRDefault="00286E7B" w:rsidP="00286E7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second stage requires the collection of all necessary account opening documents from the chosen banks from Treasury and their completion by the local contr</w:t>
      </w:r>
      <w:r w:rsidR="003B6163" w:rsidRPr="00E80090">
        <w:rPr>
          <w:rFonts w:asciiTheme="majorHAnsi" w:hAnsiTheme="majorHAnsi" w:cs="Cambria"/>
          <w:lang w:val="en-GB" w:eastAsia="en-US"/>
        </w:rPr>
        <w:t>ollers. In this stage Treasury sh</w:t>
      </w:r>
      <w:r w:rsidRPr="00E80090">
        <w:rPr>
          <w:rFonts w:asciiTheme="majorHAnsi" w:hAnsiTheme="majorHAnsi" w:cs="Cambria"/>
          <w:lang w:val="en-GB" w:eastAsia="en-US"/>
        </w:rPr>
        <w:t xml:space="preserve">ould first work closely with the local representatives of the banks to obtain the required documents and to negotiate the proposed pricing. Then the terms </w:t>
      </w:r>
      <w:r w:rsidR="003B6163" w:rsidRPr="00E80090">
        <w:rPr>
          <w:rFonts w:asciiTheme="majorHAnsi" w:hAnsiTheme="majorHAnsi" w:cs="Cambria"/>
          <w:lang w:val="en-GB" w:eastAsia="en-US"/>
        </w:rPr>
        <w:t>sh</w:t>
      </w:r>
      <w:r w:rsidRPr="00E80090">
        <w:rPr>
          <w:rFonts w:asciiTheme="majorHAnsi" w:hAnsiTheme="majorHAnsi" w:cs="Cambria"/>
          <w:lang w:val="en-GB" w:eastAsia="en-US"/>
        </w:rPr>
        <w:t xml:space="preserve">ould be discussed with the subsidiaries and if they are comfortable with the </w:t>
      </w:r>
      <w:r w:rsidR="00F9552B" w:rsidRPr="00E80090">
        <w:rPr>
          <w:rFonts w:asciiTheme="majorHAnsi" w:hAnsiTheme="majorHAnsi" w:cs="Cambria"/>
          <w:lang w:val="en-GB" w:eastAsia="en-US"/>
        </w:rPr>
        <w:lastRenderedPageBreak/>
        <w:t>suggested</w:t>
      </w:r>
      <w:r w:rsidRPr="00E80090">
        <w:rPr>
          <w:rFonts w:asciiTheme="majorHAnsi" w:hAnsiTheme="majorHAnsi" w:cs="Cambria"/>
          <w:lang w:val="en-GB" w:eastAsia="en-US"/>
        </w:rPr>
        <w:t xml:space="preserve"> plan, a meeting </w:t>
      </w:r>
      <w:r w:rsidR="003B6163" w:rsidRPr="00E80090">
        <w:rPr>
          <w:rFonts w:asciiTheme="majorHAnsi" w:hAnsiTheme="majorHAnsi" w:cs="Cambria"/>
          <w:lang w:val="en-GB" w:eastAsia="en-US"/>
        </w:rPr>
        <w:t>can</w:t>
      </w:r>
      <w:r w:rsidRPr="00E80090">
        <w:rPr>
          <w:rFonts w:asciiTheme="majorHAnsi" w:hAnsiTheme="majorHAnsi" w:cs="Cambria"/>
          <w:lang w:val="en-GB" w:eastAsia="en-US"/>
        </w:rPr>
        <w:t xml:space="preserve"> be arranged between the local bank and </w:t>
      </w:r>
      <w:r w:rsidR="00C77173" w:rsidRPr="00E80090">
        <w:rPr>
          <w:rFonts w:asciiTheme="majorHAnsi" w:hAnsiTheme="majorHAnsi" w:cs="Cambria"/>
          <w:lang w:val="en-GB" w:eastAsia="en-US"/>
        </w:rPr>
        <w:t xml:space="preserve">the </w:t>
      </w:r>
      <w:r w:rsidRPr="00E80090">
        <w:rPr>
          <w:rFonts w:asciiTheme="majorHAnsi" w:hAnsiTheme="majorHAnsi" w:cs="Cambria"/>
          <w:lang w:val="en-GB" w:eastAsia="en-US"/>
        </w:rPr>
        <w:t>Sun Chemical branch. Once all documents are signed by the local representatives it is recommended that they are first reviewed by Treasury and then sent to the bank. As the project calls for quick execution, the second stage of documentation preparation has already began in June 2013 and is expected to be completed by the end of August for Bulgaria and Romania, but may take one or two weeks longer for Slovakia and Slovenia.</w:t>
      </w:r>
    </w:p>
    <w:p w14:paraId="6E584364" w14:textId="77777777" w:rsidR="00286E7B" w:rsidRPr="00E80090" w:rsidRDefault="00286E7B" w:rsidP="00286E7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Because of the holiday season over the summer it is recommended that the customer migr</w:t>
      </w:r>
      <w:r w:rsidR="00F9552B" w:rsidRPr="00E80090">
        <w:rPr>
          <w:rFonts w:asciiTheme="majorHAnsi" w:hAnsiTheme="majorHAnsi" w:cs="Cambria"/>
          <w:lang w:val="en-GB" w:eastAsia="en-US"/>
        </w:rPr>
        <w:t>ation starts from September. T</w:t>
      </w:r>
      <w:r w:rsidRPr="00E80090">
        <w:rPr>
          <w:rFonts w:asciiTheme="majorHAnsi" w:hAnsiTheme="majorHAnsi" w:cs="Cambria"/>
          <w:lang w:val="en-GB" w:eastAsia="en-US"/>
        </w:rPr>
        <w:t>his stage</w:t>
      </w:r>
      <w:r w:rsidR="00F9552B" w:rsidRPr="00E80090">
        <w:rPr>
          <w:rFonts w:asciiTheme="majorHAnsi" w:hAnsiTheme="majorHAnsi" w:cs="Cambria"/>
          <w:lang w:val="en-GB" w:eastAsia="en-US"/>
        </w:rPr>
        <w:t xml:space="preserve"> would start immediately after the new accounts are opened.</w:t>
      </w:r>
      <w:r w:rsidRPr="00E80090">
        <w:rPr>
          <w:rFonts w:asciiTheme="majorHAnsi" w:hAnsiTheme="majorHAnsi" w:cs="Cambria"/>
          <w:lang w:val="en-GB" w:eastAsia="en-US"/>
        </w:rPr>
        <w:t xml:space="preserve"> Treasury should provide samples of customer migration letters to all local controllers which in their turn should distribute them to their customers. Th</w:t>
      </w:r>
      <w:r w:rsidR="002A3A11" w:rsidRPr="00E80090">
        <w:rPr>
          <w:rFonts w:asciiTheme="majorHAnsi" w:hAnsiTheme="majorHAnsi" w:cs="Cambria"/>
          <w:lang w:val="en-GB" w:eastAsia="en-US"/>
        </w:rPr>
        <w:t>e</w:t>
      </w:r>
      <w:r w:rsidRPr="00E80090">
        <w:rPr>
          <w:rFonts w:asciiTheme="majorHAnsi" w:hAnsiTheme="majorHAnsi" w:cs="Cambria"/>
          <w:lang w:val="en-GB" w:eastAsia="en-US"/>
        </w:rPr>
        <w:t>se letters should inform the customers about the migration and would contain the new account numbers of the entities. The migration is expected to take two months for Slovakia and Slovenia and three months for Bulgaria and Romania considering the payment terms give</w:t>
      </w:r>
      <w:r w:rsidR="00B74951" w:rsidRPr="00E80090">
        <w:rPr>
          <w:rFonts w:asciiTheme="majorHAnsi" w:hAnsiTheme="majorHAnsi" w:cs="Cambria"/>
          <w:lang w:val="en-GB" w:eastAsia="en-US"/>
        </w:rPr>
        <w:t>n</w:t>
      </w:r>
      <w:r w:rsidRPr="00E80090">
        <w:rPr>
          <w:rFonts w:asciiTheme="majorHAnsi" w:hAnsiTheme="majorHAnsi" w:cs="Cambria"/>
          <w:lang w:val="en-GB" w:eastAsia="en-US"/>
        </w:rPr>
        <w:t xml:space="preserve"> to their customers. Therefore, it is expected </w:t>
      </w:r>
      <w:r w:rsidR="002A3A11" w:rsidRPr="00E80090">
        <w:rPr>
          <w:rFonts w:asciiTheme="majorHAnsi" w:hAnsiTheme="majorHAnsi" w:cs="Cambria"/>
          <w:lang w:val="en-GB" w:eastAsia="en-US"/>
        </w:rPr>
        <w:t xml:space="preserve">that the project will </w:t>
      </w:r>
      <w:r w:rsidRPr="00E80090">
        <w:rPr>
          <w:rFonts w:asciiTheme="majorHAnsi" w:hAnsiTheme="majorHAnsi" w:cs="Cambria"/>
          <w:lang w:val="en-GB" w:eastAsia="en-US"/>
        </w:rPr>
        <w:t xml:space="preserve">be completed by the end of 2013. However, </w:t>
      </w:r>
      <w:r w:rsidR="002A3A11" w:rsidRPr="00E80090">
        <w:rPr>
          <w:rFonts w:asciiTheme="majorHAnsi" w:hAnsiTheme="majorHAnsi" w:cs="Cambria"/>
          <w:lang w:val="en-GB" w:eastAsia="en-US"/>
        </w:rPr>
        <w:t>the branches in Bulgaria and Romania</w:t>
      </w:r>
      <w:r w:rsidRPr="00E80090">
        <w:rPr>
          <w:rFonts w:asciiTheme="majorHAnsi" w:hAnsiTheme="majorHAnsi" w:cs="Cambria"/>
          <w:lang w:val="en-GB" w:eastAsia="en-US"/>
        </w:rPr>
        <w:t xml:space="preserve"> have reported that their customers usually pay late, which may require that they keep their old accounts open for a longer period. </w:t>
      </w:r>
      <w:bookmarkStart w:id="187" w:name="_Toc359145837"/>
    </w:p>
    <w:p w14:paraId="6E584365" w14:textId="77777777" w:rsidR="00001664" w:rsidRPr="00E80090" w:rsidRDefault="00001664" w:rsidP="008B587E">
      <w:pPr>
        <w:pStyle w:val="Kop2"/>
        <w:numPr>
          <w:ilvl w:val="1"/>
          <w:numId w:val="11"/>
        </w:numPr>
        <w:spacing w:line="360" w:lineRule="auto"/>
        <w:rPr>
          <w:rFonts w:asciiTheme="majorHAnsi" w:hAnsiTheme="majorHAnsi"/>
          <w:lang w:val="en-GB"/>
        </w:rPr>
      </w:pPr>
      <w:bookmarkStart w:id="188" w:name="_Toc333951120"/>
      <w:bookmarkStart w:id="189" w:name="_Toc356762919"/>
      <w:bookmarkStart w:id="190" w:name="_Toc357018938"/>
      <w:bookmarkStart w:id="191" w:name="_Toc357022894"/>
      <w:bookmarkStart w:id="192" w:name="_Toc359145843"/>
      <w:bookmarkStart w:id="193" w:name="_Toc359408867"/>
      <w:bookmarkStart w:id="194" w:name="_Toc360633042"/>
      <w:bookmarkStart w:id="195" w:name="_Toc368290377"/>
      <w:bookmarkEnd w:id="187"/>
      <w:r w:rsidRPr="00E80090">
        <w:rPr>
          <w:rFonts w:asciiTheme="majorHAnsi" w:hAnsiTheme="majorHAnsi"/>
          <w:lang w:val="en-GB"/>
        </w:rPr>
        <w:t>Suggestions for further research</w:t>
      </w:r>
      <w:bookmarkEnd w:id="188"/>
      <w:bookmarkEnd w:id="189"/>
      <w:bookmarkEnd w:id="190"/>
      <w:bookmarkEnd w:id="191"/>
      <w:bookmarkEnd w:id="192"/>
      <w:bookmarkEnd w:id="193"/>
      <w:bookmarkEnd w:id="194"/>
      <w:bookmarkEnd w:id="195"/>
    </w:p>
    <w:p w14:paraId="6E584366" w14:textId="77777777" w:rsidR="001B669F" w:rsidRPr="00E80090" w:rsidRDefault="00FF438C" w:rsidP="001B07D8">
      <w:pPr>
        <w:spacing w:after="200" w:line="360" w:lineRule="auto"/>
        <w:jc w:val="both"/>
        <w:rPr>
          <w:rFonts w:asciiTheme="majorHAnsi" w:hAnsiTheme="majorHAnsi" w:cs="Cambria"/>
          <w:color w:val="FF0000"/>
          <w:lang w:val="en-GB" w:eastAsia="en-US"/>
        </w:rPr>
      </w:pPr>
      <w:r w:rsidRPr="00E80090">
        <w:rPr>
          <w:rFonts w:asciiTheme="majorHAnsi" w:hAnsiTheme="majorHAnsi" w:cs="Cambria"/>
          <w:lang w:val="en-GB" w:eastAsia="en-US"/>
        </w:rPr>
        <w:t xml:space="preserve">Firstly, </w:t>
      </w:r>
      <w:r w:rsidR="00C606E0" w:rsidRPr="00E80090">
        <w:rPr>
          <w:rFonts w:asciiTheme="majorHAnsi" w:hAnsiTheme="majorHAnsi" w:cs="Cambria"/>
          <w:lang w:val="en-GB" w:eastAsia="en-US"/>
        </w:rPr>
        <w:t xml:space="preserve">as </w:t>
      </w:r>
      <w:r w:rsidR="004717EB" w:rsidRPr="00E80090">
        <w:rPr>
          <w:rFonts w:asciiTheme="majorHAnsi" w:hAnsiTheme="majorHAnsi" w:cs="Cambria"/>
          <w:lang w:val="en-GB" w:eastAsia="en-US"/>
        </w:rPr>
        <w:t xml:space="preserve">by </w:t>
      </w:r>
      <w:r w:rsidR="00C606E0" w:rsidRPr="00E80090">
        <w:rPr>
          <w:rFonts w:asciiTheme="majorHAnsi" w:hAnsiTheme="majorHAnsi" w:cs="Cambria"/>
          <w:lang w:val="en-GB" w:eastAsia="en-US"/>
        </w:rPr>
        <w:t xml:space="preserve">transferring entities to UniCredit bank </w:t>
      </w:r>
      <w:r w:rsidR="004717EB" w:rsidRPr="00E80090">
        <w:rPr>
          <w:rFonts w:asciiTheme="majorHAnsi" w:hAnsiTheme="majorHAnsi" w:cs="Cambria"/>
          <w:lang w:val="en-GB" w:eastAsia="en-US"/>
        </w:rPr>
        <w:t xml:space="preserve">Sun Chemical will </w:t>
      </w:r>
      <w:r w:rsidR="00C606E0" w:rsidRPr="00E80090">
        <w:rPr>
          <w:rFonts w:asciiTheme="majorHAnsi" w:hAnsiTheme="majorHAnsi" w:cs="Cambria"/>
          <w:lang w:val="en-GB" w:eastAsia="en-US"/>
        </w:rPr>
        <w:t>not meet the corporate goal for improving security</w:t>
      </w:r>
      <w:r w:rsidR="004717EB" w:rsidRPr="00E80090">
        <w:rPr>
          <w:rFonts w:asciiTheme="majorHAnsi" w:hAnsiTheme="majorHAnsi" w:cs="Cambria"/>
          <w:lang w:val="en-GB" w:eastAsia="en-US"/>
        </w:rPr>
        <w:t>,</w:t>
      </w:r>
      <w:r w:rsidR="00C606E0" w:rsidRPr="00E80090">
        <w:rPr>
          <w:rFonts w:asciiTheme="majorHAnsi" w:hAnsiTheme="majorHAnsi" w:cs="Cambria"/>
          <w:lang w:val="en-GB" w:eastAsia="en-US"/>
        </w:rPr>
        <w:t xml:space="preserve"> it is essential that other financial intermediaries are investigated. It is possible that other banks may be able to deliver the required services in the concerned countries</w:t>
      </w:r>
      <w:r w:rsidR="001B07D8" w:rsidRPr="00E80090">
        <w:rPr>
          <w:rFonts w:asciiTheme="majorHAnsi" w:hAnsiTheme="majorHAnsi" w:cs="Cambria"/>
          <w:lang w:val="en-GB" w:eastAsia="en-US"/>
        </w:rPr>
        <w:t xml:space="preserve"> and allow Sun Chemical to achieve its </w:t>
      </w:r>
      <w:r w:rsidR="004717EB" w:rsidRPr="00E80090">
        <w:rPr>
          <w:rFonts w:asciiTheme="majorHAnsi" w:hAnsiTheme="majorHAnsi" w:cs="Cambria"/>
          <w:lang w:val="en-GB" w:eastAsia="en-US"/>
        </w:rPr>
        <w:t>objectives</w:t>
      </w:r>
      <w:r w:rsidR="00C606E0" w:rsidRPr="00E80090">
        <w:rPr>
          <w:rFonts w:asciiTheme="majorHAnsi" w:hAnsiTheme="majorHAnsi" w:cs="Cambria"/>
          <w:lang w:val="en-GB" w:eastAsia="en-US"/>
        </w:rPr>
        <w:t xml:space="preserve">. However, </w:t>
      </w:r>
      <w:r w:rsidR="001B07D8" w:rsidRPr="00E80090">
        <w:rPr>
          <w:rFonts w:asciiTheme="majorHAnsi" w:hAnsiTheme="majorHAnsi" w:cs="Cambria"/>
          <w:lang w:val="en-GB" w:eastAsia="en-US"/>
        </w:rPr>
        <w:t xml:space="preserve">the results of such research are unclear. </w:t>
      </w:r>
      <w:r w:rsidR="00E13CF1" w:rsidRPr="00E80090">
        <w:rPr>
          <w:rFonts w:asciiTheme="majorHAnsi" w:hAnsiTheme="majorHAnsi" w:cs="Cambria"/>
          <w:lang w:val="en-GB" w:eastAsia="en-US"/>
        </w:rPr>
        <w:t>In addition</w:t>
      </w:r>
      <w:r w:rsidR="001B07D8" w:rsidRPr="00E80090">
        <w:rPr>
          <w:rFonts w:asciiTheme="majorHAnsi" w:hAnsiTheme="majorHAnsi" w:cs="Cambria"/>
          <w:lang w:val="en-GB" w:eastAsia="en-US"/>
        </w:rPr>
        <w:t>, this would delay the execution of the project</w:t>
      </w:r>
      <w:r w:rsidR="003104B3" w:rsidRPr="00E80090">
        <w:rPr>
          <w:rFonts w:asciiTheme="majorHAnsi" w:hAnsiTheme="majorHAnsi" w:cs="Cambria"/>
          <w:lang w:val="en-GB" w:eastAsia="en-US"/>
        </w:rPr>
        <w:t xml:space="preserve"> and would prevent </w:t>
      </w:r>
      <w:r w:rsidR="004717EB" w:rsidRPr="00E80090">
        <w:rPr>
          <w:rFonts w:asciiTheme="majorHAnsi" w:hAnsiTheme="majorHAnsi" w:cs="Cambria"/>
          <w:lang w:val="en-GB" w:eastAsia="en-US"/>
        </w:rPr>
        <w:t>the company</w:t>
      </w:r>
      <w:r w:rsidR="003104B3" w:rsidRPr="00E80090">
        <w:rPr>
          <w:rFonts w:asciiTheme="majorHAnsi" w:hAnsiTheme="majorHAnsi" w:cs="Cambria"/>
          <w:lang w:val="en-GB" w:eastAsia="en-US"/>
        </w:rPr>
        <w:t xml:space="preserve"> from meeting the set deadline</w:t>
      </w:r>
      <w:r w:rsidR="00C606E0" w:rsidRPr="00E80090">
        <w:rPr>
          <w:rFonts w:asciiTheme="majorHAnsi" w:hAnsiTheme="majorHAnsi" w:cs="Cambria"/>
          <w:lang w:val="en-GB" w:eastAsia="en-US"/>
        </w:rPr>
        <w:t>.</w:t>
      </w:r>
      <w:r w:rsidR="004717EB" w:rsidRPr="00E80090">
        <w:rPr>
          <w:rFonts w:asciiTheme="majorHAnsi" w:hAnsiTheme="majorHAnsi" w:cs="Cambria"/>
          <w:lang w:val="en-GB" w:eastAsia="en-US"/>
        </w:rPr>
        <w:t xml:space="preserve"> </w:t>
      </w:r>
      <w:r w:rsidR="001B07D8" w:rsidRPr="00E80090">
        <w:rPr>
          <w:rFonts w:asciiTheme="majorHAnsi" w:hAnsiTheme="majorHAnsi" w:cs="Cambria"/>
          <w:lang w:val="en-GB" w:eastAsia="en-US"/>
        </w:rPr>
        <w:t xml:space="preserve">Postponing the project implementation would </w:t>
      </w:r>
      <w:r w:rsidR="004717EB" w:rsidRPr="00E80090">
        <w:rPr>
          <w:rFonts w:asciiTheme="majorHAnsi" w:hAnsiTheme="majorHAnsi" w:cs="Cambria"/>
          <w:lang w:val="en-GB" w:eastAsia="en-US"/>
        </w:rPr>
        <w:t xml:space="preserve">also </w:t>
      </w:r>
      <w:r w:rsidR="001B07D8" w:rsidRPr="00E80090">
        <w:rPr>
          <w:rFonts w:asciiTheme="majorHAnsi" w:hAnsiTheme="majorHAnsi" w:cs="Cambria"/>
          <w:lang w:val="en-GB" w:eastAsia="en-US"/>
        </w:rPr>
        <w:t xml:space="preserve">cost the company time and resources. Nevertheless, </w:t>
      </w:r>
      <w:r w:rsidR="004717EB" w:rsidRPr="00E80090">
        <w:rPr>
          <w:rFonts w:asciiTheme="majorHAnsi" w:hAnsiTheme="majorHAnsi" w:cs="Cambria"/>
          <w:lang w:val="en-GB" w:eastAsia="en-US"/>
        </w:rPr>
        <w:t>executing</w:t>
      </w:r>
      <w:r w:rsidR="001B07D8" w:rsidRPr="00E80090">
        <w:rPr>
          <w:rFonts w:asciiTheme="majorHAnsi" w:hAnsiTheme="majorHAnsi" w:cs="Cambria"/>
          <w:lang w:val="en-GB" w:eastAsia="en-US"/>
        </w:rPr>
        <w:t xml:space="preserve"> without exploring </w:t>
      </w:r>
      <w:r w:rsidR="004717EB" w:rsidRPr="00E80090">
        <w:rPr>
          <w:rFonts w:asciiTheme="majorHAnsi" w:hAnsiTheme="majorHAnsi" w:cs="Cambria"/>
          <w:lang w:val="en-GB" w:eastAsia="en-US"/>
        </w:rPr>
        <w:t>other</w:t>
      </w:r>
      <w:r w:rsidR="001B07D8" w:rsidRPr="00E80090">
        <w:rPr>
          <w:rFonts w:asciiTheme="majorHAnsi" w:hAnsiTheme="majorHAnsi" w:cs="Cambria"/>
          <w:lang w:val="en-GB" w:eastAsia="en-US"/>
        </w:rPr>
        <w:t xml:space="preserve"> options</w:t>
      </w:r>
      <w:r w:rsidR="004717EB" w:rsidRPr="00E80090">
        <w:rPr>
          <w:rFonts w:asciiTheme="majorHAnsi" w:hAnsiTheme="majorHAnsi" w:cs="Cambria"/>
          <w:lang w:val="en-GB" w:eastAsia="en-US"/>
        </w:rPr>
        <w:t xml:space="preserve"> might be disadvantageous </w:t>
      </w:r>
      <w:r w:rsidR="003E3639" w:rsidRPr="00E80090">
        <w:rPr>
          <w:rFonts w:asciiTheme="majorHAnsi" w:hAnsiTheme="majorHAnsi" w:cs="Cambria"/>
          <w:lang w:val="en-GB" w:eastAsia="en-US"/>
        </w:rPr>
        <w:t xml:space="preserve">for the firm as it may require more work in the long term. </w:t>
      </w:r>
      <w:r w:rsidR="001B07D8" w:rsidRPr="00E80090">
        <w:rPr>
          <w:rFonts w:asciiTheme="majorHAnsi" w:hAnsiTheme="majorHAnsi" w:cs="Cambria"/>
          <w:lang w:val="en-GB" w:eastAsia="en-US"/>
        </w:rPr>
        <w:t xml:space="preserve">There is also risk that there would be no other bank able to fulfil Sun Chemical’s needs. </w:t>
      </w:r>
      <w:r w:rsidR="001B669F" w:rsidRPr="00E80090">
        <w:rPr>
          <w:rFonts w:asciiTheme="majorHAnsi" w:hAnsiTheme="majorHAnsi" w:cs="Cambria"/>
          <w:lang w:val="en-GB" w:eastAsia="en-US"/>
        </w:rPr>
        <w:t>In this respect</w:t>
      </w:r>
      <w:r w:rsidR="001B07D8" w:rsidRPr="00E80090">
        <w:rPr>
          <w:rFonts w:asciiTheme="majorHAnsi" w:hAnsiTheme="majorHAnsi" w:cs="Cambria"/>
          <w:lang w:val="en-GB" w:eastAsia="en-US"/>
        </w:rPr>
        <w:t xml:space="preserve">, the company </w:t>
      </w:r>
      <w:r w:rsidR="001B669F" w:rsidRPr="00E80090">
        <w:rPr>
          <w:rFonts w:asciiTheme="majorHAnsi" w:hAnsiTheme="majorHAnsi" w:cs="Cambria"/>
          <w:lang w:val="en-GB" w:eastAsia="en-US"/>
        </w:rPr>
        <w:t>would need</w:t>
      </w:r>
      <w:r w:rsidR="001B07D8" w:rsidRPr="00E80090">
        <w:rPr>
          <w:rFonts w:asciiTheme="majorHAnsi" w:hAnsiTheme="majorHAnsi" w:cs="Cambria"/>
          <w:lang w:val="en-GB" w:eastAsia="en-US"/>
        </w:rPr>
        <w:t xml:space="preserve"> to evaluate </w:t>
      </w:r>
      <w:r w:rsidR="001B669F" w:rsidRPr="00E80090">
        <w:rPr>
          <w:rFonts w:asciiTheme="majorHAnsi" w:hAnsiTheme="majorHAnsi" w:cs="Cambria"/>
          <w:lang w:val="en-GB" w:eastAsia="en-US"/>
        </w:rPr>
        <w:t>whether it is more beneficial to have the entities migrated to UniCredit group or leave them with their current banks.</w:t>
      </w:r>
    </w:p>
    <w:p w14:paraId="6E584367" w14:textId="77777777" w:rsidR="00655D6F" w:rsidRPr="00E80090" w:rsidRDefault="00655D6F" w:rsidP="005C7C1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Secondly, </w:t>
      </w:r>
      <w:r w:rsidR="00C606E0" w:rsidRPr="00E80090">
        <w:rPr>
          <w:rFonts w:asciiTheme="majorHAnsi" w:hAnsiTheme="majorHAnsi" w:cs="Cambria"/>
          <w:lang w:val="en-GB" w:eastAsia="en-US"/>
        </w:rPr>
        <w:t xml:space="preserve">the scope of the research can be extended to </w:t>
      </w:r>
      <w:r w:rsidR="00FB1D2C" w:rsidRPr="00E80090">
        <w:rPr>
          <w:rFonts w:asciiTheme="majorHAnsi" w:hAnsiTheme="majorHAnsi" w:cs="Cambria"/>
          <w:lang w:val="en-GB" w:eastAsia="en-US"/>
        </w:rPr>
        <w:t xml:space="preserve">the </w:t>
      </w:r>
      <w:r w:rsidR="00C606E0" w:rsidRPr="00E80090">
        <w:rPr>
          <w:rFonts w:asciiTheme="majorHAnsi" w:hAnsiTheme="majorHAnsi" w:cs="Cambria"/>
          <w:lang w:val="en-GB" w:eastAsia="en-US"/>
        </w:rPr>
        <w:t xml:space="preserve">other </w:t>
      </w:r>
      <w:r w:rsidR="00A822DD" w:rsidRPr="00E80090">
        <w:rPr>
          <w:rFonts w:asciiTheme="majorHAnsi" w:hAnsiTheme="majorHAnsi" w:cs="Cambria"/>
          <w:lang w:val="en-GB" w:eastAsia="en-US"/>
        </w:rPr>
        <w:t xml:space="preserve">Sun Chemical subsidiaries in the </w:t>
      </w:r>
      <w:r w:rsidR="00C606E0" w:rsidRPr="00E80090">
        <w:rPr>
          <w:rFonts w:asciiTheme="majorHAnsi" w:hAnsiTheme="majorHAnsi" w:cs="Cambria"/>
          <w:lang w:val="en-GB" w:eastAsia="en-US"/>
        </w:rPr>
        <w:t>CEE</w:t>
      </w:r>
      <w:r w:rsidR="00A822DD" w:rsidRPr="00E80090">
        <w:rPr>
          <w:rFonts w:asciiTheme="majorHAnsi" w:hAnsiTheme="majorHAnsi" w:cs="Cambria"/>
          <w:lang w:val="en-GB" w:eastAsia="en-US"/>
        </w:rPr>
        <w:t xml:space="preserve"> region</w:t>
      </w:r>
      <w:r w:rsidR="00C606E0" w:rsidRPr="00E80090">
        <w:rPr>
          <w:rFonts w:asciiTheme="majorHAnsi" w:hAnsiTheme="majorHAnsi" w:cs="Cambria"/>
          <w:lang w:val="en-GB" w:eastAsia="en-US"/>
        </w:rPr>
        <w:t xml:space="preserve">. It seems that the goals that the company has set for the project would be achieved with greater benefits if the venture includes all of the CEE </w:t>
      </w:r>
      <w:r w:rsidR="00C606E0" w:rsidRPr="00E80090">
        <w:rPr>
          <w:rFonts w:asciiTheme="majorHAnsi" w:hAnsiTheme="majorHAnsi" w:cs="Cambria"/>
          <w:lang w:val="en-GB" w:eastAsia="en-US"/>
        </w:rPr>
        <w:lastRenderedPageBreak/>
        <w:t xml:space="preserve">entities that are still using local banks. Therefore, the same study can be performed for </w:t>
      </w:r>
      <w:r w:rsidR="00FB1D2C" w:rsidRPr="00E80090">
        <w:rPr>
          <w:rFonts w:asciiTheme="majorHAnsi" w:hAnsiTheme="majorHAnsi" w:cs="Cambria"/>
          <w:lang w:val="en-GB" w:eastAsia="en-US"/>
        </w:rPr>
        <w:t>the branches in Croatia, Hungary and the Czech Republic</w:t>
      </w:r>
      <w:r w:rsidR="00C606E0" w:rsidRPr="00E80090">
        <w:rPr>
          <w:rFonts w:asciiTheme="majorHAnsi" w:hAnsiTheme="majorHAnsi" w:cs="Cambria"/>
          <w:lang w:val="en-GB" w:eastAsia="en-US"/>
        </w:rPr>
        <w:t xml:space="preserve"> as well in the future.</w:t>
      </w:r>
    </w:p>
    <w:p w14:paraId="6E584368" w14:textId="77777777" w:rsidR="00A822DD" w:rsidRPr="00E80090" w:rsidRDefault="00573479" w:rsidP="00D31F0A">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Moreover</w:t>
      </w:r>
      <w:r w:rsidR="00FF438C" w:rsidRPr="00E80090">
        <w:rPr>
          <w:rFonts w:asciiTheme="majorHAnsi" w:hAnsiTheme="majorHAnsi" w:cs="Cambria"/>
          <w:lang w:val="en-GB" w:eastAsia="en-US"/>
        </w:rPr>
        <w:t xml:space="preserve">, it could </w:t>
      </w:r>
      <w:r w:rsidR="000F5540" w:rsidRPr="00E80090">
        <w:rPr>
          <w:rFonts w:asciiTheme="majorHAnsi" w:hAnsiTheme="majorHAnsi" w:cs="Cambria"/>
          <w:lang w:val="en-GB" w:eastAsia="en-US"/>
        </w:rPr>
        <w:t>b</w:t>
      </w:r>
      <w:r w:rsidR="00FF438C" w:rsidRPr="00E80090">
        <w:rPr>
          <w:rFonts w:asciiTheme="majorHAnsi" w:hAnsiTheme="majorHAnsi" w:cs="Cambria"/>
          <w:lang w:val="en-GB" w:eastAsia="en-US"/>
        </w:rPr>
        <w:t>e i</w:t>
      </w:r>
      <w:r w:rsidR="00001664" w:rsidRPr="00E80090">
        <w:rPr>
          <w:rFonts w:asciiTheme="majorHAnsi" w:hAnsiTheme="majorHAnsi" w:cs="Cambria"/>
          <w:lang w:val="en-GB" w:eastAsia="en-US"/>
        </w:rPr>
        <w:t>nvestigate</w:t>
      </w:r>
      <w:r w:rsidR="000F5540" w:rsidRPr="00E80090">
        <w:rPr>
          <w:rFonts w:asciiTheme="majorHAnsi" w:hAnsiTheme="majorHAnsi" w:cs="Cambria"/>
          <w:lang w:val="en-GB" w:eastAsia="en-US"/>
        </w:rPr>
        <w:t>d</w:t>
      </w:r>
      <w:r w:rsidR="00001664" w:rsidRPr="00E80090">
        <w:rPr>
          <w:rFonts w:asciiTheme="majorHAnsi" w:hAnsiTheme="majorHAnsi" w:cs="Cambria"/>
          <w:lang w:val="en-GB" w:eastAsia="en-US"/>
        </w:rPr>
        <w:t xml:space="preserve"> why international banks are not present in Albania and Macedonia</w:t>
      </w:r>
      <w:r w:rsidR="00FF438C" w:rsidRPr="00E80090">
        <w:rPr>
          <w:rFonts w:asciiTheme="majorHAnsi" w:hAnsiTheme="majorHAnsi" w:cs="Cambria"/>
          <w:lang w:val="en-GB" w:eastAsia="en-US"/>
        </w:rPr>
        <w:t xml:space="preserve">. </w:t>
      </w:r>
      <w:r w:rsidR="00674B7F" w:rsidRPr="00E80090">
        <w:rPr>
          <w:rFonts w:asciiTheme="majorHAnsi" w:hAnsiTheme="majorHAnsi" w:cs="Cambria"/>
          <w:lang w:val="en-GB" w:eastAsia="en-US"/>
        </w:rPr>
        <w:t>A</w:t>
      </w:r>
      <w:r w:rsidR="0017311E" w:rsidRPr="00E80090">
        <w:rPr>
          <w:rFonts w:asciiTheme="majorHAnsi" w:hAnsiTheme="majorHAnsi" w:cs="Cambria"/>
          <w:lang w:val="en-GB" w:eastAsia="en-US"/>
        </w:rPr>
        <w:t>s the company wants to centralis</w:t>
      </w:r>
      <w:r w:rsidR="00674B7F" w:rsidRPr="00E80090">
        <w:rPr>
          <w:rFonts w:asciiTheme="majorHAnsi" w:hAnsiTheme="majorHAnsi" w:cs="Cambria"/>
          <w:lang w:val="en-GB" w:eastAsia="en-US"/>
        </w:rPr>
        <w:t xml:space="preserve">e all its banking relations not only in the CEE region but globally, having </w:t>
      </w:r>
      <w:r w:rsidR="008C130E" w:rsidRPr="00E80090">
        <w:rPr>
          <w:rFonts w:asciiTheme="majorHAnsi" w:hAnsiTheme="majorHAnsi" w:cs="Cambria"/>
          <w:lang w:val="en-GB" w:eastAsia="en-US"/>
        </w:rPr>
        <w:t>local</w:t>
      </w:r>
      <w:r w:rsidR="00674B7F" w:rsidRPr="00E80090">
        <w:rPr>
          <w:rFonts w:asciiTheme="majorHAnsi" w:hAnsiTheme="majorHAnsi" w:cs="Cambria"/>
          <w:lang w:val="en-GB" w:eastAsia="en-US"/>
        </w:rPr>
        <w:t xml:space="preserve"> banks anywhere is an issue. Finding out the reasons for international banks to avoid the region, may give suggestions for ways to deal with the problem. For</w:t>
      </w:r>
      <w:r w:rsidR="00C40D28" w:rsidRPr="00E80090">
        <w:rPr>
          <w:rFonts w:asciiTheme="majorHAnsi" w:hAnsiTheme="majorHAnsi" w:cs="Cambria"/>
          <w:lang w:val="en-GB" w:eastAsia="en-US"/>
        </w:rPr>
        <w:t xml:space="preserve"> instance,</w:t>
      </w:r>
      <w:r w:rsidR="00674B7F" w:rsidRPr="00E80090">
        <w:rPr>
          <w:rFonts w:asciiTheme="majorHAnsi" w:hAnsiTheme="majorHAnsi" w:cs="Cambria"/>
          <w:lang w:val="en-GB" w:eastAsia="en-US"/>
        </w:rPr>
        <w:t xml:space="preserve"> such study can </w:t>
      </w:r>
      <w:r w:rsidR="00C40D28" w:rsidRPr="00E80090">
        <w:rPr>
          <w:rFonts w:asciiTheme="majorHAnsi" w:hAnsiTheme="majorHAnsi" w:cs="Cambria"/>
          <w:lang w:val="en-GB" w:eastAsia="en-US"/>
        </w:rPr>
        <w:t xml:space="preserve">find out reasons for restructuring the local business or ways to </w:t>
      </w:r>
      <w:r w:rsidR="00500B5F" w:rsidRPr="00E80090">
        <w:rPr>
          <w:rFonts w:asciiTheme="majorHAnsi" w:hAnsiTheme="majorHAnsi" w:cs="Cambria"/>
          <w:lang w:val="en-GB" w:eastAsia="en-US"/>
        </w:rPr>
        <w:t xml:space="preserve">go </w:t>
      </w:r>
      <w:r w:rsidR="00C40D28" w:rsidRPr="00E80090">
        <w:rPr>
          <w:rFonts w:asciiTheme="majorHAnsi" w:hAnsiTheme="majorHAnsi" w:cs="Cambria"/>
          <w:lang w:val="en-GB" w:eastAsia="en-US"/>
        </w:rPr>
        <w:t xml:space="preserve">through the bank branch in a close by country. </w:t>
      </w:r>
      <w:bookmarkStart w:id="196" w:name="_Toc359145844"/>
    </w:p>
    <w:p w14:paraId="6E584369" w14:textId="77777777" w:rsidR="00573479" w:rsidRPr="00E80090" w:rsidRDefault="00573479" w:rsidP="00D31F0A">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Finally, it may be beneficial for the company to invest in research on all costs that the project involves. As Sun Chemical has conducted several similar project and there is the possibility that more may come up in the future it is important for the company to gain an understanding on their financial impact.</w:t>
      </w:r>
      <w:r w:rsidR="00B61E6B" w:rsidRPr="00E80090">
        <w:rPr>
          <w:rFonts w:asciiTheme="majorHAnsi" w:hAnsiTheme="majorHAnsi" w:cs="Cambria"/>
          <w:lang w:val="en-GB" w:eastAsia="en-US"/>
        </w:rPr>
        <w:t xml:space="preserve"> The costs and benefits from the project need to be determined and it had to be evaluated if it is beneficial for the company to execute it. The research may also show where costs can be cut or advantages maximized. </w:t>
      </w:r>
    </w:p>
    <w:p w14:paraId="6E58436A" w14:textId="77777777" w:rsidR="00001664" w:rsidRPr="00E80090" w:rsidRDefault="00F364D9" w:rsidP="00261CC3">
      <w:pPr>
        <w:pStyle w:val="Kop1"/>
        <w:numPr>
          <w:ilvl w:val="0"/>
          <w:numId w:val="10"/>
        </w:numPr>
        <w:rPr>
          <w:rFonts w:asciiTheme="majorHAnsi" w:hAnsiTheme="majorHAnsi"/>
          <w:lang w:val="en-GB" w:eastAsia="en-US"/>
        </w:rPr>
      </w:pPr>
      <w:bookmarkStart w:id="197" w:name="_Toc360633043"/>
      <w:bookmarkStart w:id="198" w:name="_Toc368290378"/>
      <w:r w:rsidRPr="00E80090">
        <w:rPr>
          <w:rFonts w:asciiTheme="majorHAnsi" w:hAnsiTheme="majorHAnsi"/>
          <w:lang w:val="en-GB" w:eastAsia="en-US"/>
        </w:rPr>
        <w:t>R</w:t>
      </w:r>
      <w:r w:rsidR="00001664" w:rsidRPr="00E80090">
        <w:rPr>
          <w:rFonts w:asciiTheme="majorHAnsi" w:hAnsiTheme="majorHAnsi"/>
          <w:lang w:val="en-GB" w:eastAsia="en-US"/>
        </w:rPr>
        <w:t>ecommendations</w:t>
      </w:r>
      <w:bookmarkEnd w:id="197"/>
      <w:bookmarkEnd w:id="198"/>
      <w:r w:rsidR="00001664" w:rsidRPr="00E80090">
        <w:rPr>
          <w:rFonts w:asciiTheme="majorHAnsi" w:hAnsiTheme="majorHAnsi"/>
          <w:lang w:val="en-GB" w:eastAsia="en-US"/>
        </w:rPr>
        <w:t xml:space="preserve"> </w:t>
      </w:r>
      <w:bookmarkEnd w:id="185"/>
      <w:bookmarkEnd w:id="196"/>
    </w:p>
    <w:p w14:paraId="6E58436B" w14:textId="77777777" w:rsidR="00E402F2" w:rsidRPr="00E80090" w:rsidRDefault="00E402F2" w:rsidP="00E402F2">
      <w:pPr>
        <w:rPr>
          <w:rFonts w:asciiTheme="majorHAnsi" w:hAnsiTheme="majorHAnsi"/>
          <w:lang w:val="en-GB" w:eastAsia="en-US"/>
        </w:rPr>
      </w:pPr>
    </w:p>
    <w:p w14:paraId="6E58436C" w14:textId="77777777" w:rsidR="00D25059" w:rsidRPr="00E80090" w:rsidRDefault="004E0765" w:rsidP="0004114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As the research </w:t>
      </w:r>
      <w:r w:rsidR="00000DEA" w:rsidRPr="00E80090">
        <w:rPr>
          <w:rFonts w:asciiTheme="majorHAnsi" w:hAnsiTheme="majorHAnsi" w:cs="Cambria"/>
          <w:lang w:val="en-GB" w:eastAsia="en-US"/>
        </w:rPr>
        <w:t>question asks</w:t>
      </w:r>
      <w:r w:rsidRPr="00E80090">
        <w:rPr>
          <w:rFonts w:asciiTheme="majorHAnsi" w:hAnsiTheme="majorHAnsi" w:cs="Cambria"/>
          <w:lang w:val="en-GB" w:eastAsia="en-US"/>
        </w:rPr>
        <w:t xml:space="preserve"> how Sun Chemical should </w:t>
      </w:r>
      <w:r w:rsidR="0017311E" w:rsidRPr="00E80090">
        <w:rPr>
          <w:rFonts w:asciiTheme="majorHAnsi" w:hAnsiTheme="majorHAnsi" w:cs="Cambria"/>
          <w:lang w:val="en-GB" w:eastAsia="en-US"/>
        </w:rPr>
        <w:t>centralis</w:t>
      </w:r>
      <w:r w:rsidR="007F75D5" w:rsidRPr="00E80090">
        <w:rPr>
          <w:rFonts w:asciiTheme="majorHAnsi" w:hAnsiTheme="majorHAnsi" w:cs="Cambria"/>
          <w:lang w:val="en-GB" w:eastAsia="en-US"/>
        </w:rPr>
        <w:t xml:space="preserve">e its banking relations </w:t>
      </w:r>
      <w:r w:rsidRPr="00E80090">
        <w:rPr>
          <w:rFonts w:asciiTheme="majorHAnsi" w:hAnsiTheme="majorHAnsi" w:cs="Cambria"/>
          <w:lang w:val="en-GB" w:eastAsia="en-US"/>
        </w:rPr>
        <w:t xml:space="preserve">in the CEE region in order to improve the security of its local operations, </w:t>
      </w:r>
      <w:r w:rsidR="00000DEA" w:rsidRPr="00E80090">
        <w:rPr>
          <w:rFonts w:asciiTheme="majorHAnsi" w:hAnsiTheme="majorHAnsi" w:cs="Cambria"/>
          <w:lang w:val="en-GB" w:eastAsia="en-US"/>
        </w:rPr>
        <w:t>it implies that the goal</w:t>
      </w:r>
      <w:r w:rsidR="009420DA" w:rsidRPr="00E80090">
        <w:rPr>
          <w:rFonts w:asciiTheme="majorHAnsi" w:hAnsiTheme="majorHAnsi" w:cs="Cambria"/>
          <w:lang w:val="en-GB" w:eastAsia="en-US"/>
        </w:rPr>
        <w:t xml:space="preserve"> for </w:t>
      </w:r>
      <w:r w:rsidR="00D25059" w:rsidRPr="00E80090">
        <w:rPr>
          <w:rFonts w:asciiTheme="majorHAnsi" w:hAnsiTheme="majorHAnsi" w:cs="Cambria"/>
          <w:lang w:val="en-GB" w:eastAsia="en-US"/>
        </w:rPr>
        <w:t>strengthening</w:t>
      </w:r>
      <w:r w:rsidR="009420DA" w:rsidRPr="00E80090">
        <w:rPr>
          <w:rFonts w:asciiTheme="majorHAnsi" w:hAnsiTheme="majorHAnsi" w:cs="Cambria"/>
          <w:lang w:val="en-GB" w:eastAsia="en-US"/>
        </w:rPr>
        <w:t xml:space="preserve"> security and </w:t>
      </w:r>
      <w:r w:rsidR="00D25059" w:rsidRPr="00E80090">
        <w:rPr>
          <w:rFonts w:asciiTheme="majorHAnsi" w:hAnsiTheme="majorHAnsi" w:cs="Cambria"/>
          <w:lang w:val="en-GB" w:eastAsia="en-US"/>
        </w:rPr>
        <w:t xml:space="preserve">control </w:t>
      </w:r>
      <w:r w:rsidR="009420DA" w:rsidRPr="00E80090">
        <w:rPr>
          <w:rFonts w:asciiTheme="majorHAnsi" w:hAnsiTheme="majorHAnsi" w:cs="Cambria"/>
          <w:lang w:val="en-GB" w:eastAsia="en-US"/>
        </w:rPr>
        <w:t>need</w:t>
      </w:r>
      <w:r w:rsidR="00D25059" w:rsidRPr="00E80090">
        <w:rPr>
          <w:rFonts w:asciiTheme="majorHAnsi" w:hAnsiTheme="majorHAnsi" w:cs="Cambria"/>
          <w:lang w:val="en-GB" w:eastAsia="en-US"/>
        </w:rPr>
        <w:t>s</w:t>
      </w:r>
      <w:r w:rsidR="009420DA" w:rsidRPr="00E80090">
        <w:rPr>
          <w:rFonts w:asciiTheme="majorHAnsi" w:hAnsiTheme="majorHAnsi" w:cs="Cambria"/>
          <w:lang w:val="en-GB" w:eastAsia="en-US"/>
        </w:rPr>
        <w:t xml:space="preserve"> to be met fo</w:t>
      </w:r>
      <w:r w:rsidR="00D25059" w:rsidRPr="00E80090">
        <w:rPr>
          <w:rFonts w:asciiTheme="majorHAnsi" w:hAnsiTheme="majorHAnsi" w:cs="Cambria"/>
          <w:lang w:val="en-GB" w:eastAsia="en-US"/>
        </w:rPr>
        <w:t xml:space="preserve">r the project to be successful. Thus, when migrating </w:t>
      </w:r>
      <w:r w:rsidR="003A4ECE" w:rsidRPr="00E80090">
        <w:rPr>
          <w:rFonts w:asciiTheme="majorHAnsi" w:hAnsiTheme="majorHAnsi" w:cs="Cambria"/>
          <w:lang w:val="en-GB" w:eastAsia="en-US"/>
        </w:rPr>
        <w:t>branches</w:t>
      </w:r>
      <w:r w:rsidR="00D25059" w:rsidRPr="00E80090">
        <w:rPr>
          <w:rFonts w:asciiTheme="majorHAnsi" w:hAnsiTheme="majorHAnsi" w:cs="Cambria"/>
          <w:lang w:val="en-GB" w:eastAsia="en-US"/>
        </w:rPr>
        <w:t xml:space="preserve"> to a new bank it is essential to find ways to increase the transparency </w:t>
      </w:r>
      <w:r w:rsidR="0055257C" w:rsidRPr="00E80090">
        <w:rPr>
          <w:rFonts w:asciiTheme="majorHAnsi" w:hAnsiTheme="majorHAnsi" w:cs="Cambria"/>
          <w:lang w:val="en-GB" w:eastAsia="en-US"/>
        </w:rPr>
        <w:t xml:space="preserve">and control </w:t>
      </w:r>
      <w:r w:rsidR="00D25059" w:rsidRPr="00E80090">
        <w:rPr>
          <w:rFonts w:asciiTheme="majorHAnsi" w:hAnsiTheme="majorHAnsi" w:cs="Cambria"/>
          <w:lang w:val="en-GB" w:eastAsia="en-US"/>
        </w:rPr>
        <w:t>within the company.</w:t>
      </w:r>
      <w:r w:rsidR="00C5416A" w:rsidRPr="00E80090">
        <w:rPr>
          <w:rFonts w:asciiTheme="majorHAnsi" w:hAnsiTheme="majorHAnsi" w:cs="Cambria"/>
          <w:lang w:val="en-GB" w:eastAsia="en-US"/>
        </w:rPr>
        <w:t xml:space="preserve"> </w:t>
      </w:r>
      <w:r w:rsidR="003A4ECE" w:rsidRPr="00E80090">
        <w:rPr>
          <w:rFonts w:asciiTheme="majorHAnsi" w:hAnsiTheme="majorHAnsi" w:cs="Cambria"/>
          <w:lang w:val="en-GB" w:eastAsia="en-US"/>
        </w:rPr>
        <w:t>Therefore</w:t>
      </w:r>
      <w:r w:rsidR="00C5416A" w:rsidRPr="00E80090">
        <w:rPr>
          <w:rFonts w:asciiTheme="majorHAnsi" w:hAnsiTheme="majorHAnsi" w:cs="Cambria"/>
          <w:lang w:val="en-GB" w:eastAsia="en-US"/>
        </w:rPr>
        <w:t xml:space="preserve">, there are </w:t>
      </w:r>
      <w:r w:rsidR="00DB2229" w:rsidRPr="00E80090">
        <w:rPr>
          <w:rFonts w:asciiTheme="majorHAnsi" w:hAnsiTheme="majorHAnsi" w:cs="Cambria"/>
          <w:lang w:val="en-GB" w:eastAsia="en-US"/>
        </w:rPr>
        <w:t>five</w:t>
      </w:r>
      <w:r w:rsidR="00C5416A" w:rsidRPr="00E80090">
        <w:rPr>
          <w:rFonts w:asciiTheme="majorHAnsi" w:hAnsiTheme="majorHAnsi" w:cs="Cambria"/>
          <w:color w:val="FF0000"/>
          <w:lang w:val="en-GB" w:eastAsia="en-US"/>
        </w:rPr>
        <w:t xml:space="preserve"> </w:t>
      </w:r>
      <w:r w:rsidR="00C5416A" w:rsidRPr="00E80090">
        <w:rPr>
          <w:rFonts w:asciiTheme="majorHAnsi" w:hAnsiTheme="majorHAnsi" w:cs="Cambria"/>
          <w:lang w:val="en-GB" w:eastAsia="en-US"/>
        </w:rPr>
        <w:t xml:space="preserve">recommendations </w:t>
      </w:r>
      <w:r w:rsidR="00C635A0" w:rsidRPr="00E80090">
        <w:rPr>
          <w:rFonts w:asciiTheme="majorHAnsi" w:hAnsiTheme="majorHAnsi" w:cs="Cambria"/>
          <w:lang w:val="en-GB" w:eastAsia="en-US"/>
        </w:rPr>
        <w:t xml:space="preserve">on how to execute the project in order to </w:t>
      </w:r>
      <w:r w:rsidR="00032EFD" w:rsidRPr="00E80090">
        <w:rPr>
          <w:rFonts w:asciiTheme="majorHAnsi" w:hAnsiTheme="majorHAnsi" w:cs="Cambria"/>
          <w:lang w:val="en-GB" w:eastAsia="en-US"/>
        </w:rPr>
        <w:t>achieve</w:t>
      </w:r>
      <w:r w:rsidR="00821FF3" w:rsidRPr="00E80090">
        <w:rPr>
          <w:rFonts w:asciiTheme="majorHAnsi" w:hAnsiTheme="majorHAnsi" w:cs="Cambria"/>
          <w:lang w:val="en-GB" w:eastAsia="en-US"/>
        </w:rPr>
        <w:t xml:space="preserve"> this</w:t>
      </w:r>
      <w:r w:rsidR="00C5416A" w:rsidRPr="00E80090">
        <w:rPr>
          <w:rFonts w:asciiTheme="majorHAnsi" w:hAnsiTheme="majorHAnsi" w:cs="Cambria"/>
          <w:lang w:val="en-GB" w:eastAsia="en-US"/>
        </w:rPr>
        <w:t xml:space="preserve"> goal.</w:t>
      </w:r>
    </w:p>
    <w:p w14:paraId="6E58436D" w14:textId="77777777" w:rsidR="0070728D" w:rsidRPr="00E80090" w:rsidRDefault="0017311E" w:rsidP="0070728D">
      <w:pPr>
        <w:pStyle w:val="Lijstalinea"/>
        <w:numPr>
          <w:ilvl w:val="3"/>
          <w:numId w:val="10"/>
        </w:numPr>
        <w:spacing w:line="360" w:lineRule="auto"/>
        <w:jc w:val="both"/>
        <w:rPr>
          <w:rFonts w:asciiTheme="majorHAnsi" w:hAnsiTheme="majorHAnsi" w:cs="Cambria"/>
          <w:sz w:val="24"/>
          <w:lang w:val="en-GB"/>
        </w:rPr>
      </w:pPr>
      <w:r w:rsidRPr="00E80090">
        <w:rPr>
          <w:rFonts w:asciiTheme="majorHAnsi" w:hAnsiTheme="majorHAnsi" w:cs="Cambria"/>
          <w:sz w:val="24"/>
          <w:lang w:val="en-GB"/>
        </w:rPr>
        <w:t xml:space="preserve">Do not </w:t>
      </w:r>
      <w:r w:rsidR="00276D26" w:rsidRPr="00E80090">
        <w:rPr>
          <w:rFonts w:asciiTheme="majorHAnsi" w:hAnsiTheme="majorHAnsi" w:cs="Cambria"/>
          <w:sz w:val="24"/>
          <w:lang w:val="en-GB"/>
        </w:rPr>
        <w:t xml:space="preserve">centralize banking relations </w:t>
      </w:r>
      <w:r w:rsidR="00695CE0" w:rsidRPr="00E80090">
        <w:rPr>
          <w:rFonts w:asciiTheme="majorHAnsi" w:hAnsiTheme="majorHAnsi" w:cs="Cambria"/>
          <w:sz w:val="24"/>
          <w:lang w:val="en-GB"/>
        </w:rPr>
        <w:t xml:space="preserve">in </w:t>
      </w:r>
      <w:r w:rsidR="0082791B" w:rsidRPr="00E80090">
        <w:rPr>
          <w:rFonts w:asciiTheme="majorHAnsi" w:hAnsiTheme="majorHAnsi" w:cs="Cambria"/>
          <w:sz w:val="24"/>
          <w:lang w:val="en-GB"/>
        </w:rPr>
        <w:t>Slovakia</w:t>
      </w:r>
      <w:r w:rsidR="00A06E00" w:rsidRPr="00E80090">
        <w:rPr>
          <w:rFonts w:asciiTheme="majorHAnsi" w:hAnsiTheme="majorHAnsi" w:cs="Cambria"/>
          <w:sz w:val="24"/>
          <w:lang w:val="en-GB"/>
        </w:rPr>
        <w:t xml:space="preserve"> and Slovenia.</w:t>
      </w:r>
    </w:p>
    <w:p w14:paraId="6E58436E" w14:textId="77777777" w:rsidR="0070728D" w:rsidRPr="00E80090" w:rsidRDefault="0070728D" w:rsidP="0070728D">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When it comes to transferring the branches in Slovenia and Slovakia to UniCredit group it seems that Sun Chemical will not achieve its</w:t>
      </w:r>
      <w:r w:rsidRPr="00E80090">
        <w:rPr>
          <w:rFonts w:asciiTheme="majorHAnsi" w:hAnsiTheme="majorHAnsi" w:cs="Cambria"/>
          <w:b/>
          <w:lang w:val="en-GB" w:eastAsia="en-US"/>
        </w:rPr>
        <w:t xml:space="preserve"> </w:t>
      </w:r>
      <w:r w:rsidRPr="00E80090">
        <w:rPr>
          <w:rFonts w:asciiTheme="majorHAnsi" w:hAnsiTheme="majorHAnsi" w:cs="Cambria"/>
          <w:lang w:val="en-GB" w:eastAsia="en-US"/>
        </w:rPr>
        <w:t xml:space="preserve">goal for improving security. Therefore, at this stage it is not advisable that the company goes forward with the </w:t>
      </w:r>
      <w:r w:rsidR="00A06E00" w:rsidRPr="00E80090">
        <w:rPr>
          <w:rFonts w:asciiTheme="majorHAnsi" w:hAnsiTheme="majorHAnsi" w:cs="Cambria"/>
          <w:lang w:val="en-GB" w:eastAsia="en-US"/>
        </w:rPr>
        <w:t>project for the</w:t>
      </w:r>
      <w:r w:rsidRPr="00E80090">
        <w:rPr>
          <w:rFonts w:asciiTheme="majorHAnsi" w:hAnsiTheme="majorHAnsi" w:cs="Cambria"/>
          <w:lang w:val="en-GB" w:eastAsia="en-US"/>
        </w:rPr>
        <w:t xml:space="preserve">se entities. It is recommended that further research is conducted on other banks in the region that may be able to provide a better service and thus allow for reaching the </w:t>
      </w:r>
      <w:r w:rsidR="00A06E00" w:rsidRPr="00E80090">
        <w:rPr>
          <w:rFonts w:asciiTheme="majorHAnsi" w:hAnsiTheme="majorHAnsi" w:cs="Cambria"/>
          <w:lang w:val="en-GB" w:eastAsia="en-US"/>
        </w:rPr>
        <w:t>corporate</w:t>
      </w:r>
      <w:r w:rsidRPr="00E80090">
        <w:rPr>
          <w:rFonts w:asciiTheme="majorHAnsi" w:hAnsiTheme="majorHAnsi" w:cs="Cambria"/>
          <w:lang w:val="en-GB" w:eastAsia="en-US"/>
        </w:rPr>
        <w:t xml:space="preserve"> objectives. Therefore, the company also needs to evaluate the importance of the project internally and to consider whether moving </w:t>
      </w:r>
      <w:r w:rsidR="00A06E00" w:rsidRPr="00E80090">
        <w:rPr>
          <w:rFonts w:asciiTheme="majorHAnsi" w:hAnsiTheme="majorHAnsi" w:cs="Cambria"/>
          <w:lang w:val="en-GB" w:eastAsia="en-US"/>
        </w:rPr>
        <w:t xml:space="preserve">the entities to UniCredit </w:t>
      </w:r>
      <w:r w:rsidRPr="00E80090">
        <w:rPr>
          <w:rFonts w:asciiTheme="majorHAnsi" w:hAnsiTheme="majorHAnsi" w:cs="Cambria"/>
          <w:lang w:val="en-GB" w:eastAsia="en-US"/>
        </w:rPr>
        <w:t>would be more beneficial than leaving them with their current banks.</w:t>
      </w:r>
    </w:p>
    <w:p w14:paraId="6E58436F" w14:textId="77777777" w:rsidR="004B6FDE" w:rsidRPr="00E80090" w:rsidRDefault="00DC43EF" w:rsidP="004B6FDE">
      <w:pPr>
        <w:pStyle w:val="Lijstalinea"/>
        <w:numPr>
          <w:ilvl w:val="3"/>
          <w:numId w:val="10"/>
        </w:numPr>
        <w:spacing w:line="360" w:lineRule="auto"/>
        <w:jc w:val="both"/>
        <w:rPr>
          <w:rFonts w:asciiTheme="majorHAnsi" w:hAnsiTheme="majorHAnsi" w:cs="Cambria"/>
          <w:sz w:val="24"/>
          <w:lang w:val="en-GB"/>
        </w:rPr>
      </w:pPr>
      <w:r w:rsidRPr="00E80090">
        <w:rPr>
          <w:rFonts w:asciiTheme="majorHAnsi" w:hAnsiTheme="majorHAnsi" w:cs="Cambria"/>
          <w:sz w:val="24"/>
          <w:lang w:val="en-GB"/>
        </w:rPr>
        <w:lastRenderedPageBreak/>
        <w:t>Use payment templates in Bulgaria and Romania to execute payments securely.</w:t>
      </w:r>
    </w:p>
    <w:p w14:paraId="6E584370" w14:textId="77777777" w:rsidR="00952E5D" w:rsidRPr="00E80090" w:rsidRDefault="00171829" w:rsidP="00952E5D">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Transparency regarding payment execution can be increased with the creation of preforma</w:t>
      </w:r>
      <w:r w:rsidR="00032EFD" w:rsidRPr="00E80090">
        <w:rPr>
          <w:rFonts w:asciiTheme="majorHAnsi" w:hAnsiTheme="majorHAnsi" w:cs="Cambria"/>
          <w:lang w:val="en-GB" w:eastAsia="en-US"/>
        </w:rPr>
        <w:t>ts for all vendors and employees in Bulgaria and Romania</w:t>
      </w:r>
      <w:r w:rsidRPr="00E80090">
        <w:rPr>
          <w:rFonts w:asciiTheme="majorHAnsi" w:hAnsiTheme="majorHAnsi" w:cs="Cambria"/>
          <w:lang w:val="en-GB" w:eastAsia="en-US"/>
        </w:rPr>
        <w:t xml:space="preserve">. </w:t>
      </w:r>
      <w:r w:rsidR="0066118E" w:rsidRPr="00E80090">
        <w:rPr>
          <w:rFonts w:asciiTheme="majorHAnsi" w:hAnsiTheme="majorHAnsi" w:cs="Cambria"/>
          <w:lang w:val="en-GB" w:eastAsia="en-US"/>
        </w:rPr>
        <w:t xml:space="preserve">The templates </w:t>
      </w:r>
      <w:r w:rsidR="00C13989" w:rsidRPr="00E80090">
        <w:rPr>
          <w:rFonts w:asciiTheme="majorHAnsi" w:hAnsiTheme="majorHAnsi" w:cs="Cambria"/>
          <w:lang w:val="en-GB" w:eastAsia="en-US"/>
        </w:rPr>
        <w:t xml:space="preserve">can be created locally in the electronic banking system of Citibank and </w:t>
      </w:r>
      <w:r w:rsidR="0066118E" w:rsidRPr="00E80090">
        <w:rPr>
          <w:rFonts w:asciiTheme="majorHAnsi" w:hAnsiTheme="majorHAnsi" w:cs="Cambria"/>
          <w:lang w:val="en-GB" w:eastAsia="en-US"/>
        </w:rPr>
        <w:t xml:space="preserve">should be approved by Treasury. </w:t>
      </w:r>
      <w:r w:rsidR="00C37202" w:rsidRPr="00E80090">
        <w:rPr>
          <w:rFonts w:asciiTheme="majorHAnsi" w:hAnsiTheme="majorHAnsi" w:cs="Cambria"/>
          <w:lang w:val="en-GB" w:eastAsia="en-US"/>
        </w:rPr>
        <w:t xml:space="preserve">In this way the workers instructing the payments will be limited solely </w:t>
      </w:r>
      <w:r w:rsidR="00A04347" w:rsidRPr="00E80090">
        <w:rPr>
          <w:rFonts w:asciiTheme="majorHAnsi" w:hAnsiTheme="majorHAnsi" w:cs="Cambria"/>
          <w:lang w:val="en-GB" w:eastAsia="en-US"/>
        </w:rPr>
        <w:t>to the authorized transactions and possibilities for fraud and error will be minimized.</w:t>
      </w:r>
      <w:r w:rsidR="00952E5D" w:rsidRPr="00E80090">
        <w:rPr>
          <w:rFonts w:asciiTheme="majorHAnsi" w:hAnsiTheme="majorHAnsi" w:cs="Cambria"/>
          <w:lang w:val="en-GB" w:eastAsia="en-US"/>
        </w:rPr>
        <w:t xml:space="preserve"> </w:t>
      </w:r>
    </w:p>
    <w:p w14:paraId="6E584371" w14:textId="77777777" w:rsidR="004B6FDE" w:rsidRPr="00E80090" w:rsidRDefault="004B6FDE" w:rsidP="004B6FDE">
      <w:pPr>
        <w:pStyle w:val="Lijstalinea"/>
        <w:numPr>
          <w:ilvl w:val="3"/>
          <w:numId w:val="10"/>
        </w:numPr>
        <w:spacing w:line="360" w:lineRule="auto"/>
        <w:jc w:val="both"/>
        <w:rPr>
          <w:rFonts w:asciiTheme="majorHAnsi" w:hAnsiTheme="majorHAnsi" w:cs="Cambria"/>
          <w:sz w:val="24"/>
          <w:lang w:val="en-GB"/>
        </w:rPr>
      </w:pPr>
      <w:r w:rsidRPr="00E80090">
        <w:rPr>
          <w:rFonts w:asciiTheme="majorHAnsi" w:hAnsiTheme="majorHAnsi" w:cs="Cambria"/>
          <w:sz w:val="24"/>
          <w:lang w:val="en-GB"/>
        </w:rPr>
        <w:t>Open a separate payroll account in Romania</w:t>
      </w:r>
    </w:p>
    <w:p w14:paraId="6E584372" w14:textId="77777777" w:rsidR="002E46D0" w:rsidRPr="00E80090" w:rsidRDefault="00386C11" w:rsidP="0004114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To limit the visibility of payroll </w:t>
      </w:r>
      <w:r w:rsidR="00B6465A" w:rsidRPr="00E80090">
        <w:rPr>
          <w:rFonts w:asciiTheme="majorHAnsi" w:hAnsiTheme="majorHAnsi" w:cs="Cambria"/>
          <w:lang w:val="en-GB" w:eastAsia="en-US"/>
        </w:rPr>
        <w:t>payments</w:t>
      </w:r>
      <w:r w:rsidRPr="00E80090">
        <w:rPr>
          <w:rFonts w:asciiTheme="majorHAnsi" w:hAnsiTheme="majorHAnsi" w:cs="Cambria"/>
          <w:lang w:val="en-GB" w:eastAsia="en-US"/>
        </w:rPr>
        <w:t xml:space="preserve"> in Romania, it is recommended that a separate bank</w:t>
      </w:r>
      <w:r w:rsidR="006B3529" w:rsidRPr="00E80090">
        <w:rPr>
          <w:rFonts w:asciiTheme="majorHAnsi" w:hAnsiTheme="majorHAnsi" w:cs="Cambria"/>
          <w:lang w:val="en-GB" w:eastAsia="en-US"/>
        </w:rPr>
        <w:t xml:space="preserve"> account is opened </w:t>
      </w:r>
      <w:r w:rsidR="00F37ABB" w:rsidRPr="00E80090">
        <w:rPr>
          <w:rFonts w:asciiTheme="majorHAnsi" w:hAnsiTheme="majorHAnsi" w:cs="Cambria"/>
          <w:lang w:val="en-GB" w:eastAsia="en-US"/>
        </w:rPr>
        <w:t xml:space="preserve">only </w:t>
      </w:r>
      <w:r w:rsidR="006B3529" w:rsidRPr="00E80090">
        <w:rPr>
          <w:rFonts w:asciiTheme="majorHAnsi" w:hAnsiTheme="majorHAnsi" w:cs="Cambria"/>
          <w:lang w:val="en-GB" w:eastAsia="en-US"/>
        </w:rPr>
        <w:t xml:space="preserve">for </w:t>
      </w:r>
      <w:r w:rsidR="007F66E9" w:rsidRPr="00E80090">
        <w:rPr>
          <w:rFonts w:asciiTheme="majorHAnsi" w:hAnsiTheme="majorHAnsi" w:cs="Cambria"/>
          <w:lang w:val="en-GB" w:eastAsia="en-US"/>
        </w:rPr>
        <w:t xml:space="preserve">the executions of </w:t>
      </w:r>
      <w:r w:rsidR="00B6465A" w:rsidRPr="00E80090">
        <w:rPr>
          <w:rFonts w:asciiTheme="majorHAnsi" w:hAnsiTheme="majorHAnsi" w:cs="Cambria"/>
          <w:lang w:val="en-GB" w:eastAsia="en-US"/>
        </w:rPr>
        <w:t>th</w:t>
      </w:r>
      <w:r w:rsidR="00D869F2" w:rsidRPr="00E80090">
        <w:rPr>
          <w:rFonts w:asciiTheme="majorHAnsi" w:hAnsiTheme="majorHAnsi" w:cs="Cambria"/>
          <w:lang w:val="en-GB" w:eastAsia="en-US"/>
        </w:rPr>
        <w:t>e</w:t>
      </w:r>
      <w:r w:rsidR="00B6465A" w:rsidRPr="00E80090">
        <w:rPr>
          <w:rFonts w:asciiTheme="majorHAnsi" w:hAnsiTheme="majorHAnsi" w:cs="Cambria"/>
          <w:lang w:val="en-GB" w:eastAsia="en-US"/>
        </w:rPr>
        <w:t>se transactions</w:t>
      </w:r>
      <w:r w:rsidRPr="00E80090">
        <w:rPr>
          <w:rFonts w:asciiTheme="majorHAnsi" w:hAnsiTheme="majorHAnsi" w:cs="Cambria"/>
          <w:lang w:val="en-GB" w:eastAsia="en-US"/>
        </w:rPr>
        <w:t xml:space="preserve">. </w:t>
      </w:r>
      <w:r w:rsidR="00E0052D" w:rsidRPr="00E80090">
        <w:rPr>
          <w:rFonts w:asciiTheme="majorHAnsi" w:hAnsiTheme="majorHAnsi" w:cs="Cambria"/>
          <w:lang w:val="en-GB" w:eastAsia="en-US"/>
        </w:rPr>
        <w:t xml:space="preserve">In this way </w:t>
      </w:r>
      <w:r w:rsidR="002E46D0" w:rsidRPr="00E80090">
        <w:rPr>
          <w:rFonts w:asciiTheme="majorHAnsi" w:hAnsiTheme="majorHAnsi" w:cs="Cambria"/>
          <w:lang w:val="en-GB" w:eastAsia="en-US"/>
        </w:rPr>
        <w:t>the account statement</w:t>
      </w:r>
      <w:r w:rsidR="00D349F8" w:rsidRPr="00E80090">
        <w:rPr>
          <w:rFonts w:asciiTheme="majorHAnsi" w:hAnsiTheme="majorHAnsi" w:cs="Cambria"/>
          <w:lang w:val="en-GB" w:eastAsia="en-US"/>
        </w:rPr>
        <w:t>s</w:t>
      </w:r>
      <w:r w:rsidR="002E46D0" w:rsidRPr="00E80090">
        <w:rPr>
          <w:rFonts w:asciiTheme="majorHAnsi" w:hAnsiTheme="majorHAnsi" w:cs="Cambria"/>
          <w:lang w:val="en-GB" w:eastAsia="en-US"/>
        </w:rPr>
        <w:t xml:space="preserve"> would show only the lump sum that was transferred, without the details of each employee’</w:t>
      </w:r>
      <w:r w:rsidR="00F37ABB" w:rsidRPr="00E80090">
        <w:rPr>
          <w:rFonts w:asciiTheme="majorHAnsi" w:hAnsiTheme="majorHAnsi" w:cs="Cambria"/>
          <w:lang w:val="en-GB" w:eastAsia="en-US"/>
        </w:rPr>
        <w:t>s wage</w:t>
      </w:r>
      <w:r w:rsidR="000E2413" w:rsidRPr="00E80090">
        <w:rPr>
          <w:rFonts w:asciiTheme="majorHAnsi" w:hAnsiTheme="majorHAnsi" w:cs="Cambria"/>
          <w:lang w:val="en-GB" w:eastAsia="en-US"/>
        </w:rPr>
        <w:t>. T</w:t>
      </w:r>
      <w:r w:rsidR="006C1419" w:rsidRPr="00E80090">
        <w:rPr>
          <w:rFonts w:asciiTheme="majorHAnsi" w:hAnsiTheme="majorHAnsi" w:cs="Cambria"/>
          <w:lang w:val="en-GB" w:eastAsia="en-US"/>
        </w:rPr>
        <w:t>hus</w:t>
      </w:r>
      <w:r w:rsidR="000E2413" w:rsidRPr="00E80090">
        <w:rPr>
          <w:rFonts w:asciiTheme="majorHAnsi" w:hAnsiTheme="majorHAnsi" w:cs="Cambria"/>
          <w:lang w:val="en-GB" w:eastAsia="en-US"/>
        </w:rPr>
        <w:t>, the level of transparency regarding local transaction would be improved while still</w:t>
      </w:r>
      <w:r w:rsidR="006C1419" w:rsidRPr="00E80090">
        <w:rPr>
          <w:rFonts w:asciiTheme="majorHAnsi" w:hAnsiTheme="majorHAnsi" w:cs="Cambria"/>
          <w:lang w:val="en-GB" w:eastAsia="en-US"/>
        </w:rPr>
        <w:t xml:space="preserve"> </w:t>
      </w:r>
      <w:r w:rsidR="00D349F8" w:rsidRPr="00E80090">
        <w:rPr>
          <w:rFonts w:asciiTheme="majorHAnsi" w:hAnsiTheme="majorHAnsi" w:cs="Cambria"/>
          <w:lang w:val="en-GB" w:eastAsia="en-US"/>
        </w:rPr>
        <w:t>protecting the</w:t>
      </w:r>
      <w:r w:rsidR="00D869F2" w:rsidRPr="00E80090">
        <w:rPr>
          <w:rFonts w:asciiTheme="majorHAnsi" w:hAnsiTheme="majorHAnsi" w:cs="Cambria"/>
          <w:lang w:val="en-GB" w:eastAsia="en-US"/>
        </w:rPr>
        <w:t xml:space="preserve"> privacy</w:t>
      </w:r>
      <w:r w:rsidR="000E2413" w:rsidRPr="00E80090">
        <w:rPr>
          <w:rFonts w:asciiTheme="majorHAnsi" w:hAnsiTheme="majorHAnsi" w:cs="Cambria"/>
          <w:lang w:val="en-GB" w:eastAsia="en-US"/>
        </w:rPr>
        <w:t xml:space="preserve"> of the employees</w:t>
      </w:r>
      <w:r w:rsidR="006C1419" w:rsidRPr="00E80090">
        <w:rPr>
          <w:rFonts w:asciiTheme="majorHAnsi" w:hAnsiTheme="majorHAnsi" w:cs="Cambria"/>
          <w:lang w:val="en-GB" w:eastAsia="en-US"/>
        </w:rPr>
        <w:t>.</w:t>
      </w:r>
    </w:p>
    <w:p w14:paraId="6E584373" w14:textId="77777777" w:rsidR="004B6FDE" w:rsidRPr="00E80090" w:rsidRDefault="004B6FDE" w:rsidP="004B6FDE">
      <w:pPr>
        <w:pStyle w:val="Lijstalinea"/>
        <w:numPr>
          <w:ilvl w:val="3"/>
          <w:numId w:val="10"/>
        </w:numPr>
        <w:spacing w:line="360" w:lineRule="auto"/>
        <w:jc w:val="both"/>
        <w:rPr>
          <w:rFonts w:asciiTheme="majorHAnsi" w:hAnsiTheme="majorHAnsi" w:cs="Cambria"/>
          <w:lang w:val="en-GB"/>
        </w:rPr>
      </w:pPr>
      <w:r w:rsidRPr="00E80090">
        <w:rPr>
          <w:rFonts w:asciiTheme="majorHAnsi" w:hAnsiTheme="majorHAnsi" w:cs="Cambria"/>
          <w:sz w:val="24"/>
          <w:lang w:val="en-GB"/>
        </w:rPr>
        <w:t>Substitute petty cash with credit cards and/or expense reports</w:t>
      </w:r>
    </w:p>
    <w:p w14:paraId="6E584374" w14:textId="77777777" w:rsidR="003013D9" w:rsidRPr="00E80090" w:rsidRDefault="009506D5" w:rsidP="0004114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A</w:t>
      </w:r>
      <w:r w:rsidR="00E0052D" w:rsidRPr="00E80090">
        <w:rPr>
          <w:rFonts w:asciiTheme="majorHAnsi" w:hAnsiTheme="majorHAnsi" w:cs="Cambria"/>
          <w:lang w:val="en-GB" w:eastAsia="en-US"/>
        </w:rPr>
        <w:t xml:space="preserve">s the company finds the use of petty cash </w:t>
      </w:r>
      <w:r w:rsidR="00913936" w:rsidRPr="00E80090">
        <w:rPr>
          <w:rFonts w:asciiTheme="majorHAnsi" w:hAnsiTheme="majorHAnsi" w:cs="Cambria"/>
          <w:lang w:val="en-GB" w:eastAsia="en-US"/>
        </w:rPr>
        <w:t xml:space="preserve">insecure and </w:t>
      </w:r>
      <w:r w:rsidR="00E0052D" w:rsidRPr="00E80090">
        <w:rPr>
          <w:rFonts w:asciiTheme="majorHAnsi" w:hAnsiTheme="majorHAnsi" w:cs="Cambria"/>
          <w:lang w:val="en-GB" w:eastAsia="en-US"/>
        </w:rPr>
        <w:t xml:space="preserve">hard to monitor </w:t>
      </w:r>
      <w:r w:rsidR="00D44629" w:rsidRPr="00E80090">
        <w:rPr>
          <w:rFonts w:asciiTheme="majorHAnsi" w:hAnsiTheme="majorHAnsi" w:cs="Cambria"/>
          <w:lang w:val="en-GB" w:eastAsia="en-US"/>
        </w:rPr>
        <w:t xml:space="preserve">it is recommended that this payment method is substituted by corporate credit cards </w:t>
      </w:r>
      <w:r w:rsidR="00E71D8C" w:rsidRPr="00E80090">
        <w:rPr>
          <w:rFonts w:asciiTheme="majorHAnsi" w:hAnsiTheme="majorHAnsi" w:cs="Cambria"/>
          <w:lang w:val="en-GB" w:eastAsia="en-US"/>
        </w:rPr>
        <w:t>or</w:t>
      </w:r>
      <w:r w:rsidR="00D44629" w:rsidRPr="00E80090">
        <w:rPr>
          <w:rFonts w:asciiTheme="majorHAnsi" w:hAnsiTheme="majorHAnsi" w:cs="Cambria"/>
          <w:lang w:val="en-GB" w:eastAsia="en-US"/>
        </w:rPr>
        <w:t xml:space="preserve"> expense reports.</w:t>
      </w:r>
      <w:r w:rsidR="00831294" w:rsidRPr="00E80090">
        <w:rPr>
          <w:rFonts w:asciiTheme="majorHAnsi" w:hAnsiTheme="majorHAnsi" w:cs="Cambria"/>
          <w:lang w:val="en-GB" w:eastAsia="en-US"/>
        </w:rPr>
        <w:t xml:space="preserve"> </w:t>
      </w:r>
      <w:r w:rsidR="00087A99" w:rsidRPr="00E80090">
        <w:rPr>
          <w:rFonts w:asciiTheme="majorHAnsi" w:hAnsiTheme="majorHAnsi" w:cs="Cambria"/>
          <w:lang w:val="en-GB" w:eastAsia="en-US"/>
        </w:rPr>
        <w:t>In Bulgaria where the volume of cash transactions is low</w:t>
      </w:r>
      <w:r w:rsidR="00EB43F3" w:rsidRPr="00E80090">
        <w:rPr>
          <w:rFonts w:asciiTheme="majorHAnsi" w:hAnsiTheme="majorHAnsi" w:cs="Cambria"/>
          <w:lang w:val="en-GB" w:eastAsia="en-US"/>
        </w:rPr>
        <w:t xml:space="preserve"> and local practices do not allow for all payment</w:t>
      </w:r>
      <w:r w:rsidR="0070728D" w:rsidRPr="00E80090">
        <w:rPr>
          <w:rFonts w:asciiTheme="majorHAnsi" w:hAnsiTheme="majorHAnsi" w:cs="Cambria"/>
          <w:lang w:val="en-GB" w:eastAsia="en-US"/>
        </w:rPr>
        <w:t>s</w:t>
      </w:r>
      <w:r w:rsidR="00EB43F3" w:rsidRPr="00E80090">
        <w:rPr>
          <w:rFonts w:asciiTheme="majorHAnsi" w:hAnsiTheme="majorHAnsi" w:cs="Cambria"/>
          <w:lang w:val="en-GB" w:eastAsia="en-US"/>
        </w:rPr>
        <w:t xml:space="preserve"> to be executed through a credit or debit card, expense reports are found the be the more suitable solution. The</w:t>
      </w:r>
      <w:r w:rsidR="00087A99" w:rsidRPr="00E80090">
        <w:rPr>
          <w:rFonts w:asciiTheme="majorHAnsi" w:hAnsiTheme="majorHAnsi" w:cs="Cambria"/>
          <w:lang w:val="en-GB" w:eastAsia="en-US"/>
        </w:rPr>
        <w:t xml:space="preserve"> employee can pay</w:t>
      </w:r>
      <w:r w:rsidR="006E025D" w:rsidRPr="00E80090">
        <w:rPr>
          <w:rFonts w:asciiTheme="majorHAnsi" w:hAnsiTheme="majorHAnsi" w:cs="Cambria"/>
          <w:lang w:val="en-GB" w:eastAsia="en-US"/>
        </w:rPr>
        <w:t xml:space="preserve"> for such local expenses herself and ask for reimbursement at the end of each month. The compensation </w:t>
      </w:r>
      <w:r w:rsidR="00716785" w:rsidRPr="00E80090">
        <w:rPr>
          <w:rFonts w:asciiTheme="majorHAnsi" w:hAnsiTheme="majorHAnsi" w:cs="Cambria"/>
          <w:lang w:val="en-GB" w:eastAsia="en-US"/>
        </w:rPr>
        <w:t>can</w:t>
      </w:r>
      <w:r w:rsidR="006E025D" w:rsidRPr="00E80090">
        <w:rPr>
          <w:rFonts w:asciiTheme="majorHAnsi" w:hAnsiTheme="majorHAnsi" w:cs="Cambria"/>
          <w:lang w:val="en-GB" w:eastAsia="en-US"/>
        </w:rPr>
        <w:t xml:space="preserve"> be delivered through a bank transfer in order to avoid the cash transaction for the company.</w:t>
      </w:r>
      <w:r w:rsidR="00851338" w:rsidRPr="00E80090">
        <w:rPr>
          <w:rFonts w:asciiTheme="majorHAnsi" w:hAnsiTheme="majorHAnsi" w:cs="Cambria"/>
          <w:lang w:val="en-GB" w:eastAsia="en-US"/>
        </w:rPr>
        <w:t xml:space="preserve"> </w:t>
      </w:r>
    </w:p>
    <w:p w14:paraId="6E584375" w14:textId="77777777" w:rsidR="00716785" w:rsidRPr="00E80090" w:rsidRDefault="00716785" w:rsidP="0004114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In Romania the amount of cash transactions is much higher</w:t>
      </w:r>
      <w:r w:rsidR="00D21428" w:rsidRPr="00E80090">
        <w:rPr>
          <w:rFonts w:asciiTheme="majorHAnsi" w:hAnsiTheme="majorHAnsi" w:cs="Cambria"/>
          <w:lang w:val="en-GB" w:eastAsia="en-US"/>
        </w:rPr>
        <w:t xml:space="preserve"> than in Bulgaria</w:t>
      </w:r>
      <w:r w:rsidRPr="00E80090">
        <w:rPr>
          <w:rFonts w:asciiTheme="majorHAnsi" w:hAnsiTheme="majorHAnsi" w:cs="Cambria"/>
          <w:lang w:val="en-GB" w:eastAsia="en-US"/>
        </w:rPr>
        <w:t xml:space="preserve"> and it is proposed that a corporate credit card is issued for one employee in the office. </w:t>
      </w:r>
      <w:r w:rsidR="00263714" w:rsidRPr="00E80090">
        <w:rPr>
          <w:rFonts w:asciiTheme="majorHAnsi" w:hAnsiTheme="majorHAnsi" w:cs="Cambria"/>
          <w:lang w:val="en-GB" w:eastAsia="en-US"/>
        </w:rPr>
        <w:t xml:space="preserve">A credit card from Citibank will be linked to the global corporate plan of Sun Chemical and will be easily monitored by Treasury. </w:t>
      </w:r>
      <w:r w:rsidR="008945E4" w:rsidRPr="00E80090">
        <w:rPr>
          <w:rFonts w:asciiTheme="majorHAnsi" w:hAnsiTheme="majorHAnsi" w:cs="Cambria"/>
          <w:lang w:val="en-GB" w:eastAsia="en-US"/>
        </w:rPr>
        <w:t>For transactions that cannot be executed with the card, expense reports can be used analogically to the recommend</w:t>
      </w:r>
      <w:r w:rsidR="001136CC" w:rsidRPr="00E80090">
        <w:rPr>
          <w:rFonts w:asciiTheme="majorHAnsi" w:hAnsiTheme="majorHAnsi" w:cs="Cambria"/>
          <w:lang w:val="en-GB" w:eastAsia="en-US"/>
        </w:rPr>
        <w:t>ed once</w:t>
      </w:r>
      <w:r w:rsidR="008945E4" w:rsidRPr="00E80090">
        <w:rPr>
          <w:rFonts w:asciiTheme="majorHAnsi" w:hAnsiTheme="majorHAnsi" w:cs="Cambria"/>
          <w:lang w:val="en-GB" w:eastAsia="en-US"/>
        </w:rPr>
        <w:t xml:space="preserve"> for Bulgaria.</w:t>
      </w:r>
      <w:r w:rsidR="0055257C" w:rsidRPr="00E80090">
        <w:rPr>
          <w:rFonts w:asciiTheme="majorHAnsi" w:hAnsiTheme="majorHAnsi" w:cs="Cambria"/>
          <w:lang w:val="en-GB" w:eastAsia="en-US"/>
        </w:rPr>
        <w:t xml:space="preserve"> In addition, the Romanian branch collects the larger part of its receivables through cheques. </w:t>
      </w:r>
      <w:r w:rsidR="0083680D" w:rsidRPr="00E80090">
        <w:rPr>
          <w:rFonts w:asciiTheme="majorHAnsi" w:hAnsiTheme="majorHAnsi" w:cs="Cambria"/>
          <w:lang w:val="en-GB" w:eastAsia="en-US"/>
        </w:rPr>
        <w:t xml:space="preserve">It is recommended that the company sets up a lockbox with Citibank, where these payment instruments can be stored securely. </w:t>
      </w:r>
      <w:r w:rsidR="00BF032E" w:rsidRPr="00E80090">
        <w:rPr>
          <w:rFonts w:asciiTheme="majorHAnsi" w:hAnsiTheme="majorHAnsi" w:cs="Cambria"/>
          <w:lang w:val="en-GB" w:eastAsia="en-US"/>
        </w:rPr>
        <w:t>In this way the possibility of having cheques stolen and falsified would be limited.</w:t>
      </w:r>
    </w:p>
    <w:p w14:paraId="6E584376" w14:textId="77777777" w:rsidR="004B6FDE" w:rsidRPr="00E80090" w:rsidRDefault="004B6FDE" w:rsidP="004B6FDE">
      <w:pPr>
        <w:pStyle w:val="Lijstalinea"/>
        <w:numPr>
          <w:ilvl w:val="3"/>
          <w:numId w:val="10"/>
        </w:numPr>
        <w:spacing w:line="360" w:lineRule="auto"/>
        <w:jc w:val="both"/>
        <w:rPr>
          <w:rFonts w:asciiTheme="majorHAnsi" w:hAnsiTheme="majorHAnsi" w:cs="Cambria"/>
          <w:lang w:val="en-GB"/>
        </w:rPr>
      </w:pPr>
      <w:r w:rsidRPr="00E80090">
        <w:rPr>
          <w:rFonts w:asciiTheme="majorHAnsi" w:hAnsiTheme="majorHAnsi" w:cs="Cambria"/>
          <w:sz w:val="24"/>
          <w:lang w:val="en-GB"/>
        </w:rPr>
        <w:t>Install the FXall trading platform for the branch in Romania</w:t>
      </w:r>
    </w:p>
    <w:p w14:paraId="6E584377" w14:textId="77777777" w:rsidR="003600CE" w:rsidRPr="00E80090" w:rsidRDefault="0070728D" w:rsidP="00372404">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lastRenderedPageBreak/>
        <w:t>I</w:t>
      </w:r>
      <w:r w:rsidR="000178AB" w:rsidRPr="00E80090">
        <w:rPr>
          <w:rFonts w:asciiTheme="majorHAnsi" w:hAnsiTheme="majorHAnsi" w:cs="Cambria"/>
          <w:lang w:val="en-GB" w:eastAsia="en-US"/>
        </w:rPr>
        <w:t xml:space="preserve">n order to improve the security of the local FX trading it is recommended that a trading platform is </w:t>
      </w:r>
      <w:r w:rsidR="00ED40B9" w:rsidRPr="00E80090">
        <w:rPr>
          <w:rFonts w:asciiTheme="majorHAnsi" w:hAnsiTheme="majorHAnsi" w:cs="Cambria"/>
          <w:lang w:val="en-GB" w:eastAsia="en-US"/>
        </w:rPr>
        <w:t>set up</w:t>
      </w:r>
      <w:r w:rsidR="000178AB" w:rsidRPr="00E80090">
        <w:rPr>
          <w:rFonts w:asciiTheme="majorHAnsi" w:hAnsiTheme="majorHAnsi" w:cs="Cambria"/>
          <w:lang w:val="en-GB" w:eastAsia="en-US"/>
        </w:rPr>
        <w:t xml:space="preserve"> </w:t>
      </w:r>
      <w:r w:rsidR="00621F3E" w:rsidRPr="00E80090">
        <w:rPr>
          <w:rFonts w:asciiTheme="majorHAnsi" w:hAnsiTheme="majorHAnsi" w:cs="Cambria"/>
          <w:lang w:val="en-GB" w:eastAsia="en-US"/>
        </w:rPr>
        <w:t>at the Romanian branch</w:t>
      </w:r>
      <w:r w:rsidR="000178AB" w:rsidRPr="00E80090">
        <w:rPr>
          <w:rFonts w:asciiTheme="majorHAnsi" w:hAnsiTheme="majorHAnsi" w:cs="Cambria"/>
          <w:lang w:val="en-GB" w:eastAsia="en-US"/>
        </w:rPr>
        <w:t xml:space="preserve">. </w:t>
      </w:r>
      <w:r w:rsidR="00D21428" w:rsidRPr="00E80090">
        <w:rPr>
          <w:rFonts w:asciiTheme="majorHAnsi" w:hAnsiTheme="majorHAnsi" w:cs="Cambria"/>
          <w:lang w:val="en-GB" w:eastAsia="en-US"/>
        </w:rPr>
        <w:t xml:space="preserve">Such a solution is not needed in the other countries as they </w:t>
      </w:r>
      <w:r w:rsidR="00C01D76" w:rsidRPr="00E80090">
        <w:rPr>
          <w:rFonts w:asciiTheme="majorHAnsi" w:hAnsiTheme="majorHAnsi" w:cs="Cambria"/>
          <w:lang w:val="en-GB" w:eastAsia="en-US"/>
        </w:rPr>
        <w:t xml:space="preserve">do not face exchange rate risk. </w:t>
      </w:r>
      <w:r w:rsidR="00923E2A" w:rsidRPr="00E80090">
        <w:rPr>
          <w:rFonts w:asciiTheme="majorHAnsi" w:hAnsiTheme="majorHAnsi" w:cs="Cambria"/>
          <w:lang w:val="en-GB" w:eastAsia="en-US"/>
        </w:rPr>
        <w:t xml:space="preserve">However, because of the volatility of the Romanian leu </w:t>
      </w:r>
      <w:r w:rsidR="00ED40B9" w:rsidRPr="00E80090">
        <w:rPr>
          <w:rFonts w:asciiTheme="majorHAnsi" w:hAnsiTheme="majorHAnsi" w:cs="Cambria"/>
          <w:lang w:val="en-GB" w:eastAsia="en-US"/>
        </w:rPr>
        <w:t>against the e</w:t>
      </w:r>
      <w:r w:rsidR="007D3A45" w:rsidRPr="00E80090">
        <w:rPr>
          <w:rFonts w:asciiTheme="majorHAnsi" w:hAnsiTheme="majorHAnsi" w:cs="Cambria"/>
          <w:lang w:val="en-GB" w:eastAsia="en-US"/>
        </w:rPr>
        <w:t xml:space="preserve">uro </w:t>
      </w:r>
      <w:r w:rsidR="00923E2A" w:rsidRPr="00E80090">
        <w:rPr>
          <w:rFonts w:asciiTheme="majorHAnsi" w:hAnsiTheme="majorHAnsi" w:cs="Cambria"/>
          <w:lang w:val="en-GB" w:eastAsia="en-US"/>
        </w:rPr>
        <w:t xml:space="preserve">it is advisable that the company hedges its exposure. </w:t>
      </w:r>
      <w:r w:rsidR="00DF7D7D" w:rsidRPr="00E80090">
        <w:rPr>
          <w:rFonts w:asciiTheme="majorHAnsi" w:hAnsiTheme="majorHAnsi" w:cs="Cambria"/>
          <w:lang w:val="en-GB" w:eastAsia="en-US"/>
        </w:rPr>
        <w:t>T</w:t>
      </w:r>
      <w:r w:rsidR="00172F62" w:rsidRPr="00E80090">
        <w:rPr>
          <w:rFonts w:asciiTheme="majorHAnsi" w:hAnsiTheme="majorHAnsi" w:cs="Cambria"/>
          <w:lang w:val="en-GB" w:eastAsia="en-US"/>
        </w:rPr>
        <w:t>he use of the FXall t</w:t>
      </w:r>
      <w:r w:rsidR="00DC39E9" w:rsidRPr="00E80090">
        <w:rPr>
          <w:rFonts w:asciiTheme="majorHAnsi" w:hAnsiTheme="majorHAnsi" w:cs="Cambria"/>
          <w:lang w:val="en-GB" w:eastAsia="en-US"/>
        </w:rPr>
        <w:t xml:space="preserve">rading platform is recommended because </w:t>
      </w:r>
      <w:r w:rsidR="00B6360A" w:rsidRPr="00E80090">
        <w:rPr>
          <w:rFonts w:asciiTheme="majorHAnsi" w:hAnsiTheme="majorHAnsi" w:cs="Cambria"/>
          <w:lang w:val="en-GB" w:eastAsia="en-US"/>
        </w:rPr>
        <w:t xml:space="preserve">it allows for trading forwards as well as spots and </w:t>
      </w:r>
      <w:r w:rsidR="00DC39E9" w:rsidRPr="00E80090">
        <w:rPr>
          <w:rFonts w:asciiTheme="majorHAnsi" w:hAnsiTheme="majorHAnsi" w:cs="Cambria"/>
          <w:lang w:val="en-GB" w:eastAsia="en-US"/>
        </w:rPr>
        <w:t>the company can monitor</w:t>
      </w:r>
      <w:r w:rsidR="00DC39E9" w:rsidRPr="00E80090">
        <w:rPr>
          <w:rFonts w:asciiTheme="majorHAnsi" w:hAnsiTheme="majorHAnsi" w:cs="Cambria"/>
          <w:color w:val="FF0000"/>
          <w:lang w:val="en-GB" w:eastAsia="en-US"/>
        </w:rPr>
        <w:t xml:space="preserve"> </w:t>
      </w:r>
      <w:r w:rsidR="00DC39E9" w:rsidRPr="00E80090">
        <w:rPr>
          <w:rFonts w:asciiTheme="majorHAnsi" w:hAnsiTheme="majorHAnsi" w:cs="Cambria"/>
          <w:lang w:val="en-GB" w:eastAsia="en-US"/>
        </w:rPr>
        <w:t xml:space="preserve">the local transactions. Additionally, FXall is </w:t>
      </w:r>
      <w:r w:rsidR="00B45C5B" w:rsidRPr="00E80090">
        <w:rPr>
          <w:rFonts w:asciiTheme="majorHAnsi" w:hAnsiTheme="majorHAnsi" w:cs="Cambria"/>
          <w:lang w:val="en-GB" w:eastAsia="en-US"/>
        </w:rPr>
        <w:t xml:space="preserve">a </w:t>
      </w:r>
      <w:r w:rsidR="00DC39E9" w:rsidRPr="00E80090">
        <w:rPr>
          <w:rFonts w:asciiTheme="majorHAnsi" w:hAnsiTheme="majorHAnsi" w:cs="Cambria"/>
          <w:lang w:val="en-GB" w:eastAsia="en-US"/>
        </w:rPr>
        <w:t xml:space="preserve">multi-bank platform and as such allows for comparison of the prices of different banks. In this way it would help the entity reduce its costs of trading. </w:t>
      </w:r>
    </w:p>
    <w:p w14:paraId="6E584378" w14:textId="77777777" w:rsidR="00F364D9" w:rsidRPr="00E80090" w:rsidRDefault="00F364D9" w:rsidP="00F364D9">
      <w:pPr>
        <w:pStyle w:val="Kop1"/>
        <w:numPr>
          <w:ilvl w:val="0"/>
          <w:numId w:val="10"/>
        </w:numPr>
        <w:rPr>
          <w:rFonts w:asciiTheme="majorHAnsi" w:hAnsiTheme="majorHAnsi"/>
          <w:lang w:val="en-GB" w:eastAsia="en-US"/>
        </w:rPr>
      </w:pPr>
      <w:bookmarkStart w:id="199" w:name="_Toc368290379"/>
      <w:r w:rsidRPr="00E80090">
        <w:rPr>
          <w:rFonts w:asciiTheme="majorHAnsi" w:hAnsiTheme="majorHAnsi"/>
          <w:lang w:val="en-GB" w:eastAsia="en-US"/>
        </w:rPr>
        <w:t>Conclusion</w:t>
      </w:r>
      <w:bookmarkEnd w:id="199"/>
    </w:p>
    <w:p w14:paraId="6E584379" w14:textId="77777777" w:rsidR="00F364D9" w:rsidRPr="00E80090" w:rsidRDefault="00F364D9" w:rsidP="00F364D9">
      <w:pPr>
        <w:rPr>
          <w:lang w:val="en-GB" w:eastAsia="en-US"/>
        </w:rPr>
      </w:pPr>
    </w:p>
    <w:p w14:paraId="6E58437A" w14:textId="77777777" w:rsidR="00522587" w:rsidRPr="00E80090" w:rsidRDefault="00E647D8" w:rsidP="009E0454">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main question for the research is “H</w:t>
      </w:r>
      <w:r w:rsidR="0017311E" w:rsidRPr="00E80090">
        <w:rPr>
          <w:rFonts w:asciiTheme="majorHAnsi" w:hAnsiTheme="majorHAnsi" w:cs="Cambria"/>
          <w:lang w:val="en-GB" w:eastAsia="en-US"/>
        </w:rPr>
        <w:t>ow should Sun Chemical centralis</w:t>
      </w:r>
      <w:r w:rsidRPr="00E80090">
        <w:rPr>
          <w:rFonts w:asciiTheme="majorHAnsi" w:hAnsiTheme="majorHAnsi" w:cs="Cambria"/>
          <w:lang w:val="en-GB" w:eastAsia="en-US"/>
        </w:rPr>
        <w:t xml:space="preserve">e its banking relations in the CEE region in order to improve the security of its local operations?” </w:t>
      </w:r>
      <w:r w:rsidR="00A57DDD" w:rsidRPr="00E80090">
        <w:rPr>
          <w:rFonts w:asciiTheme="majorHAnsi" w:hAnsiTheme="majorHAnsi" w:cs="Cambria"/>
          <w:lang w:val="en-GB" w:eastAsia="en-US"/>
        </w:rPr>
        <w:t xml:space="preserve">The </w:t>
      </w:r>
      <w:r w:rsidR="00DC5A61" w:rsidRPr="00E80090">
        <w:rPr>
          <w:rFonts w:asciiTheme="majorHAnsi" w:hAnsiTheme="majorHAnsi" w:cs="Cambria"/>
          <w:lang w:val="en-GB" w:eastAsia="en-US"/>
        </w:rPr>
        <w:t>leading</w:t>
      </w:r>
      <w:r w:rsidR="00A57DDD" w:rsidRPr="00E80090">
        <w:rPr>
          <w:rFonts w:asciiTheme="majorHAnsi" w:hAnsiTheme="majorHAnsi" w:cs="Cambria"/>
          <w:lang w:val="en-GB" w:eastAsia="en-US"/>
        </w:rPr>
        <w:t xml:space="preserve"> goal of the company is to increase </w:t>
      </w:r>
      <w:r w:rsidR="00CB0B76" w:rsidRPr="00E80090">
        <w:rPr>
          <w:rFonts w:asciiTheme="majorHAnsi" w:hAnsiTheme="majorHAnsi" w:cs="Cambria"/>
          <w:lang w:val="en-GB" w:eastAsia="en-US"/>
        </w:rPr>
        <w:t xml:space="preserve">its </w:t>
      </w:r>
      <w:r w:rsidR="00A57DDD" w:rsidRPr="00E80090">
        <w:rPr>
          <w:rFonts w:asciiTheme="majorHAnsi" w:hAnsiTheme="majorHAnsi" w:cs="Cambria"/>
          <w:lang w:val="en-GB" w:eastAsia="en-US"/>
        </w:rPr>
        <w:t xml:space="preserve">control over the subsidiaries in the CEE region and to enhance the transparency when electronic banking and foreign exchange trading are concerned. </w:t>
      </w:r>
    </w:p>
    <w:p w14:paraId="6E58437B" w14:textId="77777777" w:rsidR="00522587" w:rsidRPr="00E80090" w:rsidRDefault="00A57DDD" w:rsidP="009E0454">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findings have shown that </w:t>
      </w:r>
      <w:r w:rsidR="00522587" w:rsidRPr="00E80090">
        <w:rPr>
          <w:rFonts w:asciiTheme="majorHAnsi" w:hAnsiTheme="majorHAnsi" w:cs="Cambria"/>
          <w:lang w:val="en-GB" w:eastAsia="en-US"/>
        </w:rPr>
        <w:t xml:space="preserve">the CEE </w:t>
      </w:r>
      <w:r w:rsidR="00CC3CA5" w:rsidRPr="00E80090">
        <w:rPr>
          <w:rFonts w:asciiTheme="majorHAnsi" w:hAnsiTheme="majorHAnsi" w:cs="Cambria"/>
          <w:lang w:val="en-GB" w:eastAsia="en-US"/>
        </w:rPr>
        <w:t xml:space="preserve">countries cannot be considered as one homogeneous block. The </w:t>
      </w:r>
      <w:r w:rsidR="00522587" w:rsidRPr="00E80090">
        <w:rPr>
          <w:rFonts w:asciiTheme="majorHAnsi" w:hAnsiTheme="majorHAnsi" w:cs="Cambria"/>
          <w:lang w:val="en-GB" w:eastAsia="en-US"/>
        </w:rPr>
        <w:t>branches differ in the products they require</w:t>
      </w:r>
      <w:r w:rsidR="00CC3CA5" w:rsidRPr="00E80090">
        <w:rPr>
          <w:rFonts w:asciiTheme="majorHAnsi" w:hAnsiTheme="majorHAnsi" w:cs="Cambria"/>
          <w:lang w:val="en-GB" w:eastAsia="en-US"/>
        </w:rPr>
        <w:t xml:space="preserve"> and the selected banks – in what they can deliver. </w:t>
      </w:r>
      <w:r w:rsidR="000950C1" w:rsidRPr="00E80090">
        <w:rPr>
          <w:rFonts w:asciiTheme="majorHAnsi" w:hAnsiTheme="majorHAnsi" w:cs="Cambria"/>
          <w:lang w:val="en-GB" w:eastAsia="en-US"/>
        </w:rPr>
        <w:t xml:space="preserve"> </w:t>
      </w:r>
      <w:r w:rsidR="00792D0C" w:rsidRPr="00E80090">
        <w:rPr>
          <w:rFonts w:asciiTheme="majorHAnsi" w:hAnsiTheme="majorHAnsi" w:cs="Cambria"/>
          <w:lang w:val="en-GB" w:eastAsia="en-US"/>
        </w:rPr>
        <w:t xml:space="preserve">Because of that the project needs to be executed differently for each subsidiary. </w:t>
      </w:r>
    </w:p>
    <w:p w14:paraId="6E58437C" w14:textId="77777777" w:rsidR="007155D5" w:rsidRPr="00E80090" w:rsidRDefault="00803653" w:rsidP="007155D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Furthermore, </w:t>
      </w:r>
      <w:r w:rsidR="00D13BA6" w:rsidRPr="00E80090">
        <w:rPr>
          <w:rFonts w:asciiTheme="majorHAnsi" w:hAnsiTheme="majorHAnsi" w:cs="Cambria"/>
          <w:lang w:val="en-GB" w:eastAsia="en-US"/>
        </w:rPr>
        <w:t>it seems that cost reductions in bank fees</w:t>
      </w:r>
      <w:r w:rsidR="00F3794A" w:rsidRPr="00E80090">
        <w:rPr>
          <w:rFonts w:asciiTheme="majorHAnsi" w:hAnsiTheme="majorHAnsi" w:cs="Cambria"/>
          <w:lang w:val="en-GB" w:eastAsia="en-US"/>
        </w:rPr>
        <w:t xml:space="preserve"> can be realized </w:t>
      </w:r>
      <w:r w:rsidR="00D13BA6" w:rsidRPr="00E80090">
        <w:rPr>
          <w:rFonts w:asciiTheme="majorHAnsi" w:hAnsiTheme="majorHAnsi" w:cs="Cambria"/>
          <w:lang w:val="en-GB" w:eastAsia="en-US"/>
        </w:rPr>
        <w:t xml:space="preserve">with both banks if better terms are negotiated in Bulgaria and Slovakia. However, </w:t>
      </w:r>
      <w:r w:rsidRPr="00E80090">
        <w:rPr>
          <w:rFonts w:asciiTheme="majorHAnsi" w:hAnsiTheme="majorHAnsi" w:cs="Cambria"/>
          <w:lang w:val="en-GB" w:eastAsia="en-US"/>
        </w:rPr>
        <w:t>t</w:t>
      </w:r>
      <w:r w:rsidR="004B6FDE" w:rsidRPr="00E80090">
        <w:rPr>
          <w:rFonts w:asciiTheme="majorHAnsi" w:hAnsiTheme="majorHAnsi" w:cs="Cambria"/>
          <w:lang w:val="en-GB" w:eastAsia="en-US"/>
        </w:rPr>
        <w:t>h</w:t>
      </w:r>
      <w:r w:rsidRPr="00E80090">
        <w:rPr>
          <w:rFonts w:asciiTheme="majorHAnsi" w:hAnsiTheme="majorHAnsi" w:cs="Cambria"/>
          <w:lang w:val="en-GB" w:eastAsia="en-US"/>
        </w:rPr>
        <w:t>e</w:t>
      </w:r>
      <w:r w:rsidR="004B6FDE" w:rsidRPr="00E80090">
        <w:rPr>
          <w:rFonts w:asciiTheme="majorHAnsi" w:hAnsiTheme="majorHAnsi" w:cs="Cambria"/>
          <w:lang w:val="en-GB" w:eastAsia="en-US"/>
        </w:rPr>
        <w:t xml:space="preserve"> </w:t>
      </w:r>
      <w:r w:rsidR="00A769BC" w:rsidRPr="00E80090">
        <w:rPr>
          <w:rFonts w:asciiTheme="majorHAnsi" w:hAnsiTheme="majorHAnsi" w:cs="Cambria"/>
          <w:lang w:val="en-GB" w:eastAsia="en-US"/>
        </w:rPr>
        <w:t xml:space="preserve">main </w:t>
      </w:r>
      <w:r w:rsidR="00CB0B76" w:rsidRPr="00E80090">
        <w:rPr>
          <w:rFonts w:asciiTheme="majorHAnsi" w:hAnsiTheme="majorHAnsi" w:cs="Cambria"/>
          <w:lang w:val="en-GB" w:eastAsia="en-US"/>
        </w:rPr>
        <w:t xml:space="preserve">corporate </w:t>
      </w:r>
      <w:r w:rsidR="004B6FDE" w:rsidRPr="00E80090">
        <w:rPr>
          <w:rFonts w:asciiTheme="majorHAnsi" w:hAnsiTheme="majorHAnsi" w:cs="Cambria"/>
          <w:lang w:val="en-GB" w:eastAsia="en-US"/>
        </w:rPr>
        <w:t xml:space="preserve">goal </w:t>
      </w:r>
      <w:r w:rsidR="00A46B2D" w:rsidRPr="00E80090">
        <w:rPr>
          <w:rFonts w:asciiTheme="majorHAnsi" w:hAnsiTheme="majorHAnsi" w:cs="Cambria"/>
          <w:lang w:val="en-GB" w:eastAsia="en-US"/>
        </w:rPr>
        <w:t xml:space="preserve">for security improvement </w:t>
      </w:r>
      <w:r w:rsidR="00D13BA6" w:rsidRPr="00E80090">
        <w:rPr>
          <w:rFonts w:asciiTheme="majorHAnsi" w:hAnsiTheme="majorHAnsi" w:cs="Cambria"/>
          <w:lang w:val="en-GB" w:eastAsia="en-US"/>
        </w:rPr>
        <w:t>can</w:t>
      </w:r>
      <w:r w:rsidR="004B6FDE" w:rsidRPr="00E80090">
        <w:rPr>
          <w:rFonts w:asciiTheme="majorHAnsi" w:hAnsiTheme="majorHAnsi" w:cs="Cambria"/>
          <w:lang w:val="en-GB" w:eastAsia="en-US"/>
        </w:rPr>
        <w:t xml:space="preserve"> </w:t>
      </w:r>
      <w:r w:rsidR="00F3794A" w:rsidRPr="00E80090">
        <w:rPr>
          <w:rFonts w:asciiTheme="majorHAnsi" w:hAnsiTheme="majorHAnsi" w:cs="Cambria"/>
          <w:lang w:val="en-GB" w:eastAsia="en-US"/>
        </w:rPr>
        <w:t xml:space="preserve">only </w:t>
      </w:r>
      <w:r w:rsidR="004B6FDE" w:rsidRPr="00E80090">
        <w:rPr>
          <w:rFonts w:asciiTheme="majorHAnsi" w:hAnsiTheme="majorHAnsi" w:cs="Cambria"/>
          <w:lang w:val="en-GB" w:eastAsia="en-US"/>
        </w:rPr>
        <w:t>be achiev</w:t>
      </w:r>
      <w:r w:rsidR="00D13BA6" w:rsidRPr="00E80090">
        <w:rPr>
          <w:rFonts w:asciiTheme="majorHAnsi" w:hAnsiTheme="majorHAnsi" w:cs="Cambria"/>
          <w:lang w:val="en-GB" w:eastAsia="en-US"/>
        </w:rPr>
        <w:t xml:space="preserve">ed </w:t>
      </w:r>
      <w:r w:rsidR="00F3794A" w:rsidRPr="00E80090">
        <w:rPr>
          <w:rFonts w:asciiTheme="majorHAnsi" w:hAnsiTheme="majorHAnsi" w:cs="Cambria"/>
          <w:lang w:val="en-GB" w:eastAsia="en-US"/>
        </w:rPr>
        <w:t xml:space="preserve">for the </w:t>
      </w:r>
      <w:r w:rsidR="00586D47" w:rsidRPr="00E80090">
        <w:rPr>
          <w:rFonts w:asciiTheme="majorHAnsi" w:hAnsiTheme="majorHAnsi" w:cs="Cambria"/>
          <w:lang w:val="en-GB" w:eastAsia="en-US"/>
        </w:rPr>
        <w:t>subsidiaries</w:t>
      </w:r>
      <w:r w:rsidR="00F3794A" w:rsidRPr="00E80090">
        <w:rPr>
          <w:rFonts w:asciiTheme="majorHAnsi" w:hAnsiTheme="majorHAnsi" w:cs="Cambria"/>
          <w:lang w:val="en-GB" w:eastAsia="en-US"/>
        </w:rPr>
        <w:t xml:space="preserve"> migrating to</w:t>
      </w:r>
      <w:r w:rsidR="00ED448F" w:rsidRPr="00E80090">
        <w:rPr>
          <w:rFonts w:asciiTheme="majorHAnsi" w:hAnsiTheme="majorHAnsi" w:cs="Cambria"/>
          <w:lang w:val="en-GB" w:eastAsia="en-US"/>
        </w:rPr>
        <w:t xml:space="preserve"> Citibank</w:t>
      </w:r>
      <w:r w:rsidR="00A769BC" w:rsidRPr="00E80090">
        <w:rPr>
          <w:rFonts w:asciiTheme="majorHAnsi" w:hAnsiTheme="majorHAnsi" w:cs="Cambria"/>
          <w:lang w:val="en-GB" w:eastAsia="en-US"/>
        </w:rPr>
        <w:t xml:space="preserve">. </w:t>
      </w:r>
      <w:r w:rsidR="00D13BA6" w:rsidRPr="00E80090">
        <w:rPr>
          <w:rFonts w:asciiTheme="majorHAnsi" w:hAnsiTheme="majorHAnsi" w:cs="Cambria"/>
          <w:lang w:val="en-GB" w:eastAsia="en-US"/>
        </w:rPr>
        <w:t>T</w:t>
      </w:r>
      <w:r w:rsidR="00A46B2D" w:rsidRPr="00E80090">
        <w:rPr>
          <w:rFonts w:asciiTheme="majorHAnsi" w:hAnsiTheme="majorHAnsi" w:cs="Cambria"/>
          <w:lang w:val="en-GB" w:eastAsia="en-US"/>
        </w:rPr>
        <w:t>he findings show</w:t>
      </w:r>
      <w:r w:rsidR="007155D5" w:rsidRPr="00E80090">
        <w:rPr>
          <w:rFonts w:asciiTheme="majorHAnsi" w:hAnsiTheme="majorHAnsi" w:cs="Cambria"/>
          <w:lang w:val="en-GB" w:eastAsia="en-US"/>
        </w:rPr>
        <w:t xml:space="preserve"> that </w:t>
      </w:r>
      <w:r w:rsidR="00586D47" w:rsidRPr="00E80090">
        <w:rPr>
          <w:rFonts w:asciiTheme="majorHAnsi" w:hAnsiTheme="majorHAnsi" w:cs="Cambria"/>
          <w:lang w:val="en-GB" w:eastAsia="en-US"/>
        </w:rPr>
        <w:t>it can</w:t>
      </w:r>
      <w:r w:rsidR="007155D5" w:rsidRPr="00E80090">
        <w:rPr>
          <w:rFonts w:asciiTheme="majorHAnsi" w:hAnsiTheme="majorHAnsi" w:cs="Cambria"/>
          <w:lang w:val="en-GB" w:eastAsia="en-US"/>
        </w:rPr>
        <w:t>no</w:t>
      </w:r>
      <w:r w:rsidR="00A46B2D" w:rsidRPr="00E80090">
        <w:rPr>
          <w:rFonts w:asciiTheme="majorHAnsi" w:hAnsiTheme="majorHAnsi" w:cs="Cambria"/>
          <w:lang w:val="en-GB" w:eastAsia="en-US"/>
        </w:rPr>
        <w:t xml:space="preserve">t </w:t>
      </w:r>
      <w:r w:rsidR="00586D47" w:rsidRPr="00E80090">
        <w:rPr>
          <w:rFonts w:asciiTheme="majorHAnsi" w:hAnsiTheme="majorHAnsi" w:cs="Cambria"/>
          <w:lang w:val="en-GB" w:eastAsia="en-US"/>
        </w:rPr>
        <w:t xml:space="preserve">be </w:t>
      </w:r>
      <w:r w:rsidR="00A46B2D" w:rsidRPr="00E80090">
        <w:rPr>
          <w:rFonts w:asciiTheme="majorHAnsi" w:hAnsiTheme="majorHAnsi" w:cs="Cambria"/>
          <w:lang w:val="en-GB" w:eastAsia="en-US"/>
        </w:rPr>
        <w:t>accomplish</w:t>
      </w:r>
      <w:r w:rsidR="00586D47" w:rsidRPr="00E80090">
        <w:rPr>
          <w:rFonts w:asciiTheme="majorHAnsi" w:hAnsiTheme="majorHAnsi" w:cs="Cambria"/>
          <w:lang w:val="en-GB" w:eastAsia="en-US"/>
        </w:rPr>
        <w:t>ed</w:t>
      </w:r>
      <w:r w:rsidR="007155D5" w:rsidRPr="00E80090">
        <w:rPr>
          <w:rFonts w:asciiTheme="majorHAnsi" w:hAnsiTheme="majorHAnsi" w:cs="Cambria"/>
          <w:lang w:val="en-GB" w:eastAsia="en-US"/>
        </w:rPr>
        <w:t xml:space="preserve"> </w:t>
      </w:r>
      <w:r w:rsidR="00ED10F2" w:rsidRPr="00E80090">
        <w:rPr>
          <w:rFonts w:asciiTheme="majorHAnsi" w:hAnsiTheme="majorHAnsi" w:cs="Cambria"/>
          <w:lang w:val="en-GB" w:eastAsia="en-US"/>
        </w:rPr>
        <w:t xml:space="preserve">for the Slovakian and Slovenian branches </w:t>
      </w:r>
      <w:r w:rsidR="007155D5" w:rsidRPr="00E80090">
        <w:rPr>
          <w:rFonts w:asciiTheme="majorHAnsi" w:hAnsiTheme="majorHAnsi" w:cs="Cambria"/>
          <w:lang w:val="en-GB" w:eastAsia="en-US"/>
        </w:rPr>
        <w:t xml:space="preserve">if </w:t>
      </w:r>
      <w:r w:rsidR="00ED10F2" w:rsidRPr="00E80090">
        <w:rPr>
          <w:rFonts w:asciiTheme="majorHAnsi" w:hAnsiTheme="majorHAnsi" w:cs="Cambria"/>
          <w:lang w:val="en-GB" w:eastAsia="en-US"/>
        </w:rPr>
        <w:t>they are transferred</w:t>
      </w:r>
      <w:r w:rsidR="007155D5" w:rsidRPr="00E80090">
        <w:rPr>
          <w:rFonts w:asciiTheme="majorHAnsi" w:hAnsiTheme="majorHAnsi" w:cs="Cambria"/>
          <w:lang w:val="en-GB" w:eastAsia="en-US"/>
        </w:rPr>
        <w:t xml:space="preserve"> to UniCredit. Instead </w:t>
      </w:r>
      <w:r w:rsidR="00DF5C6A" w:rsidRPr="00E80090">
        <w:rPr>
          <w:rFonts w:asciiTheme="majorHAnsi" w:hAnsiTheme="majorHAnsi" w:cs="Cambria"/>
          <w:lang w:val="en-GB" w:eastAsia="en-US"/>
        </w:rPr>
        <w:t>Sun Chemical</w:t>
      </w:r>
      <w:r w:rsidR="007155D5" w:rsidRPr="00E80090">
        <w:rPr>
          <w:rFonts w:asciiTheme="majorHAnsi" w:hAnsiTheme="majorHAnsi" w:cs="Cambria"/>
          <w:lang w:val="en-GB" w:eastAsia="en-US"/>
        </w:rPr>
        <w:t xml:space="preserve"> should search for a more suitable bank or other ways to increase its control over the local entities.</w:t>
      </w:r>
      <w:r w:rsidR="00A46B2D" w:rsidRPr="00E80090">
        <w:rPr>
          <w:rFonts w:asciiTheme="majorHAnsi" w:hAnsiTheme="majorHAnsi" w:cs="Cambria"/>
          <w:lang w:val="en-GB" w:eastAsia="en-US"/>
        </w:rPr>
        <w:t xml:space="preserve"> </w:t>
      </w:r>
    </w:p>
    <w:p w14:paraId="6E58437D" w14:textId="77777777" w:rsidR="00046833" w:rsidRPr="00E80090" w:rsidRDefault="00A7013E" w:rsidP="00A769BC">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In order to improve the security of its operations in Bulgaria and Romania, Sun Chemical needs to set up controls in the local electronic banking systems and link them to its global CitiDirect platform. </w:t>
      </w:r>
      <w:r w:rsidR="00046833" w:rsidRPr="00E80090">
        <w:rPr>
          <w:rFonts w:asciiTheme="majorHAnsi" w:hAnsiTheme="majorHAnsi" w:cs="Cambria"/>
          <w:lang w:val="en-GB" w:eastAsia="en-US"/>
        </w:rPr>
        <w:t>Moreover, paper-based payment instruments are not preferred by the company as they are hard to monitor. To i</w:t>
      </w:r>
      <w:r w:rsidR="0066785F" w:rsidRPr="00E80090">
        <w:rPr>
          <w:rFonts w:asciiTheme="majorHAnsi" w:hAnsiTheme="majorHAnsi" w:cs="Cambria"/>
          <w:lang w:val="en-GB" w:eastAsia="en-US"/>
        </w:rPr>
        <w:t>ncreas</w:t>
      </w:r>
      <w:r w:rsidR="00046833" w:rsidRPr="00E80090">
        <w:rPr>
          <w:rFonts w:asciiTheme="majorHAnsi" w:hAnsiTheme="majorHAnsi" w:cs="Cambria"/>
          <w:lang w:val="en-GB" w:eastAsia="en-US"/>
        </w:rPr>
        <w:t xml:space="preserve">e the </w:t>
      </w:r>
      <w:r w:rsidRPr="00E80090">
        <w:rPr>
          <w:rFonts w:asciiTheme="majorHAnsi" w:hAnsiTheme="majorHAnsi" w:cs="Cambria"/>
          <w:lang w:val="en-GB" w:eastAsia="en-US"/>
        </w:rPr>
        <w:t>control over</w:t>
      </w:r>
      <w:r w:rsidR="00046833" w:rsidRPr="00E80090">
        <w:rPr>
          <w:rFonts w:asciiTheme="majorHAnsi" w:hAnsiTheme="majorHAnsi" w:cs="Cambria"/>
          <w:lang w:val="en-GB" w:eastAsia="en-US"/>
        </w:rPr>
        <w:t xml:space="preserve"> the local branch petty cash usage can be substituted with credit cards and expense reports. </w:t>
      </w:r>
      <w:r w:rsidR="00046833" w:rsidRPr="00E80090">
        <w:rPr>
          <w:rFonts w:asciiTheme="majorHAnsi" w:hAnsiTheme="majorHAnsi" w:cs="Cambria"/>
          <w:lang w:val="en-GB" w:eastAsia="en-US"/>
        </w:rPr>
        <w:lastRenderedPageBreak/>
        <w:t>On the other hand, checks can be stored at a lockbox at the bank to minimize the possibility that they get stolen and falsified.</w:t>
      </w:r>
    </w:p>
    <w:p w14:paraId="6E58437E" w14:textId="77777777" w:rsidR="004D1237" w:rsidRPr="00E80090" w:rsidRDefault="00A7013E" w:rsidP="007B394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company</w:t>
      </w:r>
      <w:r w:rsidR="00A769BC" w:rsidRPr="00E80090">
        <w:rPr>
          <w:rFonts w:asciiTheme="majorHAnsi" w:hAnsiTheme="majorHAnsi" w:cs="Cambria"/>
          <w:lang w:val="en-GB" w:eastAsia="en-US"/>
        </w:rPr>
        <w:t xml:space="preserve"> would also need to install an FX trading platform in Romania, to lessen the exchange rate risk and to increase the control over the local transactions. In this way transparency of local operations will be improved.</w:t>
      </w:r>
      <w:r w:rsidR="009A0BEE" w:rsidRPr="00E80090">
        <w:rPr>
          <w:rFonts w:asciiTheme="majorHAnsi" w:hAnsiTheme="majorHAnsi" w:cs="Cambria"/>
          <w:lang w:val="en-GB" w:eastAsia="en-US"/>
        </w:rPr>
        <w:t xml:space="preserve"> </w:t>
      </w:r>
      <w:r w:rsidR="002A68B9" w:rsidRPr="00E80090">
        <w:rPr>
          <w:rFonts w:asciiTheme="majorHAnsi" w:hAnsiTheme="majorHAnsi" w:cs="Cambria"/>
          <w:lang w:val="en-GB" w:eastAsia="en-US"/>
        </w:rPr>
        <w:t>The increase in t</w:t>
      </w:r>
      <w:r w:rsidR="007A249A" w:rsidRPr="00E80090">
        <w:rPr>
          <w:rFonts w:asciiTheme="majorHAnsi" w:hAnsiTheme="majorHAnsi" w:cs="Cambria"/>
          <w:lang w:val="en-GB" w:eastAsia="en-US"/>
        </w:rPr>
        <w:t>ransparency would require the company to also consider issues regarding the privacy of employees.</w:t>
      </w:r>
      <w:r w:rsidR="002A68B9" w:rsidRPr="00E80090">
        <w:rPr>
          <w:rFonts w:asciiTheme="majorHAnsi" w:hAnsiTheme="majorHAnsi" w:cs="Cambria"/>
          <w:lang w:val="en-GB" w:eastAsia="en-US"/>
        </w:rPr>
        <w:t xml:space="preserve"> In Romania payroll details will become visible to a greater audience if no measures are taken. </w:t>
      </w:r>
      <w:r w:rsidR="00213796" w:rsidRPr="00E80090">
        <w:rPr>
          <w:rFonts w:asciiTheme="majorHAnsi" w:hAnsiTheme="majorHAnsi" w:cs="Cambria"/>
          <w:lang w:val="en-GB" w:eastAsia="en-US"/>
        </w:rPr>
        <w:t>In this respect a separate bank account can be opened exclusively for payroll, showing only the lump sum of the transaction in the account statement.</w:t>
      </w:r>
      <w:r w:rsidR="007155D5" w:rsidRPr="00E80090">
        <w:rPr>
          <w:rFonts w:asciiTheme="majorHAnsi" w:hAnsiTheme="majorHAnsi" w:cs="Cambria"/>
          <w:lang w:val="en-GB" w:eastAsia="en-US"/>
        </w:rPr>
        <w:t xml:space="preserve"> </w:t>
      </w:r>
    </w:p>
    <w:bookmarkStart w:id="200" w:name="_Toc368290380" w:displacedByCustomXml="next"/>
    <w:bookmarkStart w:id="201" w:name="_Toc360633049" w:displacedByCustomXml="next"/>
    <w:sdt>
      <w:sdtPr>
        <w:rPr>
          <w:rFonts w:asciiTheme="majorHAnsi" w:hAnsiTheme="majorHAnsi" w:cs="Times New Roman"/>
          <w:b w:val="0"/>
          <w:bCs w:val="0"/>
          <w:color w:val="auto"/>
          <w:sz w:val="23"/>
          <w:szCs w:val="23"/>
          <w:lang w:val="en-GB"/>
        </w:rPr>
        <w:id w:val="42800242"/>
        <w:docPartObj>
          <w:docPartGallery w:val="Bibliographies"/>
          <w:docPartUnique/>
        </w:docPartObj>
      </w:sdtPr>
      <w:sdtEndPr/>
      <w:sdtContent>
        <w:p w14:paraId="6E58437F" w14:textId="77777777" w:rsidR="006844E4" w:rsidRPr="00E80090" w:rsidRDefault="006844E4">
          <w:pPr>
            <w:pStyle w:val="Kop1"/>
            <w:rPr>
              <w:rFonts w:asciiTheme="majorHAnsi" w:hAnsiTheme="majorHAnsi"/>
              <w:szCs w:val="23"/>
              <w:lang w:val="en-GB"/>
            </w:rPr>
          </w:pPr>
          <w:r w:rsidRPr="00E80090">
            <w:rPr>
              <w:rFonts w:asciiTheme="majorHAnsi" w:hAnsiTheme="majorHAnsi"/>
              <w:szCs w:val="23"/>
              <w:lang w:val="en-GB"/>
            </w:rPr>
            <w:t>Bibliography</w:t>
          </w:r>
          <w:bookmarkEnd w:id="200"/>
        </w:p>
        <w:p w14:paraId="6E584380" w14:textId="77777777" w:rsidR="007D44C9" w:rsidRPr="00E80090" w:rsidRDefault="007D44C9" w:rsidP="007D44C9">
          <w:pPr>
            <w:rPr>
              <w:rFonts w:asciiTheme="majorHAnsi" w:hAnsiTheme="majorHAnsi"/>
              <w:sz w:val="23"/>
              <w:szCs w:val="23"/>
              <w:lang w:val="en-GB"/>
            </w:rPr>
          </w:pPr>
        </w:p>
        <w:sdt>
          <w:sdtPr>
            <w:rPr>
              <w:rFonts w:asciiTheme="majorHAnsi" w:hAnsiTheme="majorHAnsi" w:cs="Times New Roman"/>
              <w:sz w:val="23"/>
              <w:szCs w:val="23"/>
              <w:lang w:val="en-US" w:eastAsia="ja-JP"/>
            </w:rPr>
            <w:id w:val="111145805"/>
            <w:bibliography/>
          </w:sdtPr>
          <w:sdtEndPr/>
          <w:sdtContent>
            <w:p w14:paraId="6E584381" w14:textId="77777777" w:rsidR="004D1237" w:rsidRPr="00E80090" w:rsidRDefault="006844E4" w:rsidP="004D1237">
              <w:pPr>
                <w:pStyle w:val="Bibliografie"/>
                <w:ind w:left="720" w:hanging="720"/>
                <w:rPr>
                  <w:rFonts w:asciiTheme="majorHAnsi" w:hAnsiTheme="majorHAnsi"/>
                  <w:noProof/>
                </w:rPr>
              </w:pPr>
              <w:r w:rsidRPr="00E80090">
                <w:rPr>
                  <w:rFonts w:asciiTheme="majorHAnsi" w:hAnsiTheme="majorHAnsi"/>
                  <w:sz w:val="23"/>
                  <w:szCs w:val="23"/>
                </w:rPr>
                <w:fldChar w:fldCharType="begin"/>
              </w:r>
              <w:r w:rsidRPr="00E80090">
                <w:rPr>
                  <w:rFonts w:asciiTheme="majorHAnsi" w:hAnsiTheme="majorHAnsi"/>
                  <w:sz w:val="23"/>
                  <w:szCs w:val="23"/>
                </w:rPr>
                <w:instrText xml:space="preserve"> BIBLIOGRAPHY </w:instrText>
              </w:r>
              <w:r w:rsidRPr="00E80090">
                <w:rPr>
                  <w:rFonts w:asciiTheme="majorHAnsi" w:hAnsiTheme="majorHAnsi"/>
                  <w:sz w:val="23"/>
                  <w:szCs w:val="23"/>
                </w:rPr>
                <w:fldChar w:fldCharType="separate"/>
              </w:r>
              <w:r w:rsidR="004D1237" w:rsidRPr="00E80090">
                <w:rPr>
                  <w:rFonts w:asciiTheme="majorHAnsi" w:hAnsiTheme="majorHAnsi"/>
                  <w:noProof/>
                </w:rPr>
                <w:t xml:space="preserve">Alden, L. (2005). </w:t>
              </w:r>
              <w:r w:rsidR="004D1237" w:rsidRPr="00E80090">
                <w:rPr>
                  <w:rFonts w:asciiTheme="majorHAnsi" w:hAnsiTheme="majorHAnsi"/>
                  <w:i/>
                  <w:iCs/>
                  <w:noProof/>
                </w:rPr>
                <w:t>Opportunity Cost:A Primer</w:t>
              </w:r>
              <w:r w:rsidR="004D1237" w:rsidRPr="00E80090">
                <w:rPr>
                  <w:rFonts w:asciiTheme="majorHAnsi" w:hAnsiTheme="majorHAnsi"/>
                  <w:noProof/>
                </w:rPr>
                <w:t>. Retrieved Sep 30, 2013, from econoclass.com: http://www.econoclass.com/opportunitycost.html</w:t>
              </w:r>
            </w:p>
            <w:p w14:paraId="6E584382"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Berthiaume, D. (2012, Nov 27). </w:t>
              </w:r>
              <w:r w:rsidRPr="00E80090">
                <w:rPr>
                  <w:rFonts w:asciiTheme="majorHAnsi" w:hAnsiTheme="majorHAnsi"/>
                  <w:i/>
                  <w:iCs/>
                  <w:noProof/>
                </w:rPr>
                <w:t>Shared Services Offer Strong Return</w:t>
              </w:r>
              <w:r w:rsidRPr="00E80090">
                <w:rPr>
                  <w:rFonts w:asciiTheme="majorHAnsi" w:hAnsiTheme="majorHAnsi"/>
                  <w:noProof/>
                </w:rPr>
                <w:t>. Retrieved Sep 30, 2013, from BPO Outcomes: http://bpooutcomes.com/shared-services-strong-return/</w:t>
              </w:r>
            </w:p>
            <w:p w14:paraId="6E584383"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Collier, P., Cooke, T., &amp; Glynn, J. (1989). </w:t>
              </w:r>
              <w:r w:rsidRPr="00E80090">
                <w:rPr>
                  <w:rFonts w:asciiTheme="majorHAnsi" w:hAnsiTheme="majorHAnsi"/>
                  <w:i/>
                  <w:iCs/>
                  <w:noProof/>
                </w:rPr>
                <w:t>Financial and Treasury Management.</w:t>
              </w:r>
              <w:r w:rsidRPr="00E80090">
                <w:rPr>
                  <w:rFonts w:asciiTheme="majorHAnsi" w:hAnsiTheme="majorHAnsi"/>
                  <w:noProof/>
                </w:rPr>
                <w:t xml:space="preserve"> Oxford: Heinemann Professional Publishing Ltd.</w:t>
              </w:r>
            </w:p>
            <w:p w14:paraId="6E584384"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Euromoney. (2009). UniCredit makes breakthrough in CEE liquidity management. </w:t>
              </w:r>
              <w:r w:rsidRPr="00E80090">
                <w:rPr>
                  <w:rFonts w:asciiTheme="majorHAnsi" w:hAnsiTheme="majorHAnsi"/>
                  <w:i/>
                  <w:iCs/>
                  <w:noProof/>
                </w:rPr>
                <w:t>Euromoney</w:t>
              </w:r>
              <w:r w:rsidRPr="00E80090">
                <w:rPr>
                  <w:rFonts w:asciiTheme="majorHAnsi" w:hAnsiTheme="majorHAnsi"/>
                  <w:noProof/>
                </w:rPr>
                <w:t>, 26-29.</w:t>
              </w:r>
            </w:p>
            <w:p w14:paraId="6E584385"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Foddy, W. (1994). </w:t>
              </w:r>
              <w:r w:rsidRPr="00E80090">
                <w:rPr>
                  <w:rFonts w:asciiTheme="majorHAnsi" w:hAnsiTheme="majorHAnsi"/>
                  <w:i/>
                  <w:iCs/>
                  <w:noProof/>
                </w:rPr>
                <w:t>Constructing Questions for Interviews and Questionnaires.</w:t>
              </w:r>
              <w:r w:rsidRPr="00E80090">
                <w:rPr>
                  <w:rFonts w:asciiTheme="majorHAnsi" w:hAnsiTheme="majorHAnsi"/>
                  <w:noProof/>
                </w:rPr>
                <w:t xml:space="preserve"> Cambridge: Cambridge University Press.</w:t>
              </w:r>
            </w:p>
            <w:p w14:paraId="6E584386"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Geiger, S. (2013, Jul 3). </w:t>
              </w:r>
              <w:r w:rsidRPr="00E80090">
                <w:rPr>
                  <w:rFonts w:asciiTheme="majorHAnsi" w:hAnsiTheme="majorHAnsi"/>
                  <w:i/>
                  <w:iCs/>
                  <w:noProof/>
                </w:rPr>
                <w:t>Double Endorsed Checks: What is the Risk?</w:t>
              </w:r>
              <w:r w:rsidRPr="00E80090">
                <w:rPr>
                  <w:rFonts w:asciiTheme="majorHAnsi" w:hAnsiTheme="majorHAnsi"/>
                  <w:noProof/>
                </w:rPr>
                <w:t xml:space="preserve"> Retrieved Aug 19, 2013, from P and G Associates: https://www.pandgassociates.com/index.php?id=933</w:t>
              </w:r>
            </w:p>
            <w:p w14:paraId="6E584387"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Institutional Investor Journal. (2010). Chapter 2: The CEE region: recovery is on the horizon. </w:t>
              </w:r>
              <w:r w:rsidRPr="00E80090">
                <w:rPr>
                  <w:rFonts w:asciiTheme="majorHAnsi" w:hAnsiTheme="majorHAnsi"/>
                  <w:i/>
                  <w:iCs/>
                  <w:noProof/>
                </w:rPr>
                <w:t>Institutional Investor, 44</w:t>
              </w:r>
              <w:r w:rsidRPr="00E80090">
                <w:rPr>
                  <w:rFonts w:asciiTheme="majorHAnsi" w:hAnsiTheme="majorHAnsi"/>
                  <w:noProof/>
                </w:rPr>
                <w:t>(7), 5-6.</w:t>
              </w:r>
            </w:p>
            <w:p w14:paraId="6E584388"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Madura, J., &amp; Fox, R. (2011). </w:t>
              </w:r>
              <w:r w:rsidRPr="00E80090">
                <w:rPr>
                  <w:rFonts w:asciiTheme="majorHAnsi" w:hAnsiTheme="majorHAnsi"/>
                  <w:i/>
                  <w:iCs/>
                  <w:noProof/>
                </w:rPr>
                <w:t>International Financial Management</w:t>
              </w:r>
              <w:r w:rsidRPr="00E80090">
                <w:rPr>
                  <w:rFonts w:asciiTheme="majorHAnsi" w:hAnsiTheme="majorHAnsi"/>
                  <w:noProof/>
                </w:rPr>
                <w:t xml:space="preserve"> (2nd Revised ed.). Andover: Cengage Learning EMEA.</w:t>
              </w:r>
            </w:p>
            <w:p w14:paraId="6E584389"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McMillan, D., &amp; Camara, O. (2012). Dynamic capital structure adjustment: US MNCs &amp; DCs. </w:t>
              </w:r>
              <w:r w:rsidRPr="00E80090">
                <w:rPr>
                  <w:rFonts w:asciiTheme="majorHAnsi" w:hAnsiTheme="majorHAnsi"/>
                  <w:i/>
                  <w:iCs/>
                  <w:noProof/>
                </w:rPr>
                <w:t>Journal of Multinational Financial Management, 22</w:t>
              </w:r>
              <w:r w:rsidRPr="00E80090">
                <w:rPr>
                  <w:rFonts w:asciiTheme="majorHAnsi" w:hAnsiTheme="majorHAnsi"/>
                  <w:noProof/>
                </w:rPr>
                <w:t>(5), 278-301.</w:t>
              </w:r>
            </w:p>
            <w:p w14:paraId="6E58438A"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Mulligan, E. (2001). Treasury management organisation: an examination of centralised versus decentralised approaches. </w:t>
              </w:r>
              <w:r w:rsidRPr="00E80090">
                <w:rPr>
                  <w:rFonts w:asciiTheme="majorHAnsi" w:hAnsiTheme="majorHAnsi"/>
                  <w:i/>
                  <w:iCs/>
                  <w:noProof/>
                </w:rPr>
                <w:t>Irish Journal of Management, 22</w:t>
              </w:r>
              <w:r w:rsidRPr="00E80090">
                <w:rPr>
                  <w:rFonts w:asciiTheme="majorHAnsi" w:hAnsiTheme="majorHAnsi"/>
                  <w:noProof/>
                </w:rPr>
                <w:t>(1), 7-33.</w:t>
              </w:r>
            </w:p>
            <w:p w14:paraId="6E58438B"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Neuman, W. (2005). </w:t>
              </w:r>
              <w:r w:rsidRPr="00E80090">
                <w:rPr>
                  <w:rFonts w:asciiTheme="majorHAnsi" w:hAnsiTheme="majorHAnsi"/>
                  <w:i/>
                  <w:iCs/>
                  <w:noProof/>
                </w:rPr>
                <w:t>Social Research Methods</w:t>
              </w:r>
              <w:r w:rsidRPr="00E80090">
                <w:rPr>
                  <w:rFonts w:asciiTheme="majorHAnsi" w:hAnsiTheme="majorHAnsi"/>
                  <w:noProof/>
                </w:rPr>
                <w:t xml:space="preserve"> (6th ed.). London: Pearson.</w:t>
              </w:r>
            </w:p>
            <w:p w14:paraId="6E58438C"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Nowack, K. (1900). Getting them out and getting them back on. </w:t>
              </w:r>
              <w:r w:rsidRPr="00E80090">
                <w:rPr>
                  <w:rFonts w:asciiTheme="majorHAnsi" w:hAnsiTheme="majorHAnsi"/>
                  <w:i/>
                  <w:iCs/>
                  <w:noProof/>
                </w:rPr>
                <w:t>Training and Development Journal</w:t>
              </w:r>
              <w:r w:rsidRPr="00E80090">
                <w:rPr>
                  <w:rFonts w:asciiTheme="majorHAnsi" w:hAnsiTheme="majorHAnsi"/>
                  <w:noProof/>
                </w:rPr>
                <w:t>, 82-85.</w:t>
              </w:r>
            </w:p>
            <w:p w14:paraId="6E58438D"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lastRenderedPageBreak/>
                <w:t xml:space="preserve">OANDA. (2013). </w:t>
              </w:r>
              <w:r w:rsidRPr="00E80090">
                <w:rPr>
                  <w:rFonts w:asciiTheme="majorHAnsi" w:hAnsiTheme="majorHAnsi"/>
                  <w:i/>
                  <w:iCs/>
                  <w:noProof/>
                </w:rPr>
                <w:t>Historical Exchange Rates EUR/RON.</w:t>
              </w:r>
              <w:r w:rsidRPr="00E80090">
                <w:rPr>
                  <w:rFonts w:asciiTheme="majorHAnsi" w:hAnsiTheme="majorHAnsi"/>
                  <w:noProof/>
                </w:rPr>
                <w:t xml:space="preserve"> Retrieved Jun 20, 2013, from oanda.com: http://www.oanda.com/currency/historical-rates/</w:t>
              </w:r>
            </w:p>
            <w:p w14:paraId="6E58438E"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Patton, M. (2002). </w:t>
              </w:r>
              <w:r w:rsidRPr="00E80090">
                <w:rPr>
                  <w:rFonts w:asciiTheme="majorHAnsi" w:hAnsiTheme="majorHAnsi"/>
                  <w:i/>
                  <w:iCs/>
                  <w:noProof/>
                </w:rPr>
                <w:t>Qualitative Research and Evaluation Methods</w:t>
              </w:r>
              <w:r w:rsidRPr="00E80090">
                <w:rPr>
                  <w:rFonts w:asciiTheme="majorHAnsi" w:hAnsiTheme="majorHAnsi"/>
                  <w:noProof/>
                </w:rPr>
                <w:t xml:space="preserve"> (3rd ed.). Thousand Oaks, CA: Sage.</w:t>
              </w:r>
            </w:p>
            <w:p w14:paraId="6E58438F"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Polák, P., &amp; Klusáček, I. (2010). </w:t>
              </w:r>
              <w:r w:rsidRPr="00E80090">
                <w:rPr>
                  <w:rFonts w:asciiTheme="majorHAnsi" w:hAnsiTheme="majorHAnsi"/>
                  <w:i/>
                  <w:iCs/>
                  <w:noProof/>
                </w:rPr>
                <w:t>Centralization of Treasury Management.</w:t>
              </w:r>
              <w:r w:rsidRPr="00E80090">
                <w:rPr>
                  <w:rFonts w:asciiTheme="majorHAnsi" w:hAnsiTheme="majorHAnsi"/>
                  <w:noProof/>
                </w:rPr>
                <w:t xml:space="preserve"> Sumy: Business Perspectives.</w:t>
              </w:r>
            </w:p>
            <w:p w14:paraId="6E584390"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Price Waterhouse. (1995). </w:t>
              </w:r>
              <w:r w:rsidRPr="00E80090">
                <w:rPr>
                  <w:rFonts w:asciiTheme="majorHAnsi" w:hAnsiTheme="majorHAnsi"/>
                  <w:i/>
                  <w:iCs/>
                  <w:noProof/>
                </w:rPr>
                <w:t>Corporate Treasury Control and Performance Standards.</w:t>
              </w:r>
              <w:r w:rsidRPr="00E80090">
                <w:rPr>
                  <w:rFonts w:asciiTheme="majorHAnsi" w:hAnsiTheme="majorHAnsi"/>
                  <w:noProof/>
                </w:rPr>
                <w:t xml:space="preserve"> Price Waterhouse.</w:t>
              </w:r>
            </w:p>
            <w:p w14:paraId="6E584391"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Ross, B. (1990). </w:t>
              </w:r>
              <w:r w:rsidRPr="00E80090">
                <w:rPr>
                  <w:rFonts w:asciiTheme="majorHAnsi" w:hAnsiTheme="majorHAnsi"/>
                  <w:i/>
                  <w:iCs/>
                  <w:noProof/>
                </w:rPr>
                <w:t>Financial Analysis.</w:t>
              </w:r>
              <w:r w:rsidRPr="00E80090">
                <w:rPr>
                  <w:rFonts w:asciiTheme="majorHAnsi" w:hAnsiTheme="majorHAnsi"/>
                  <w:noProof/>
                </w:rPr>
                <w:t xml:space="preserve"> London: Prentice Hall.</w:t>
              </w:r>
            </w:p>
            <w:p w14:paraId="6E584392"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Rungta, K. (2010, Nov 25). </w:t>
              </w:r>
              <w:r w:rsidRPr="00E80090">
                <w:rPr>
                  <w:rFonts w:asciiTheme="majorHAnsi" w:hAnsiTheme="majorHAnsi"/>
                  <w:i/>
                  <w:iCs/>
                  <w:noProof/>
                </w:rPr>
                <w:t>What is SAP? Definition of SAP ERP Software</w:t>
              </w:r>
              <w:r w:rsidRPr="00E80090">
                <w:rPr>
                  <w:rFonts w:asciiTheme="majorHAnsi" w:hAnsiTheme="majorHAnsi"/>
                  <w:noProof/>
                </w:rPr>
                <w:t>. Retrieved Aug 20, 2013, from SAP Training Hub: http://www.saptraininghub.com/what-is-sap-definition-of-sap-erp-software/</w:t>
              </w:r>
            </w:p>
            <w:p w14:paraId="6E584393"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Saunders, M., Lewis, P., &amp; Thornhill, A. (2009). </w:t>
              </w:r>
              <w:r w:rsidRPr="00E80090">
                <w:rPr>
                  <w:rFonts w:asciiTheme="majorHAnsi" w:hAnsiTheme="majorHAnsi"/>
                  <w:i/>
                  <w:iCs/>
                  <w:noProof/>
                </w:rPr>
                <w:t>Research Methods for Business Students</w:t>
              </w:r>
              <w:r w:rsidRPr="00E80090">
                <w:rPr>
                  <w:rFonts w:asciiTheme="majorHAnsi" w:hAnsiTheme="majorHAnsi"/>
                  <w:noProof/>
                </w:rPr>
                <w:t xml:space="preserve"> (Fifth ed.). Harlow: Pearson Education.</w:t>
              </w:r>
            </w:p>
            <w:p w14:paraId="6E584394"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Shapiro, A. (1989). </w:t>
              </w:r>
              <w:r w:rsidRPr="00E80090">
                <w:rPr>
                  <w:rFonts w:asciiTheme="majorHAnsi" w:hAnsiTheme="majorHAnsi"/>
                  <w:i/>
                  <w:iCs/>
                  <w:noProof/>
                </w:rPr>
                <w:t>Multinational Financial Management</w:t>
              </w:r>
              <w:r w:rsidRPr="00E80090">
                <w:rPr>
                  <w:rFonts w:asciiTheme="majorHAnsi" w:hAnsiTheme="majorHAnsi"/>
                  <w:noProof/>
                </w:rPr>
                <w:t xml:space="preserve"> (3rd ed.). Boston: Allyn and Bacon.</w:t>
              </w:r>
            </w:p>
            <w:p w14:paraId="6E584395"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Sheedy, J. (1993). </w:t>
              </w:r>
              <w:r w:rsidRPr="00E80090">
                <w:rPr>
                  <w:rFonts w:asciiTheme="majorHAnsi" w:hAnsiTheme="majorHAnsi"/>
                  <w:i/>
                  <w:iCs/>
                  <w:noProof/>
                </w:rPr>
                <w:t>Corporate Treasury Management in Ireland - The Current Practice.</w:t>
              </w:r>
              <w:r w:rsidRPr="00E80090">
                <w:rPr>
                  <w:rFonts w:asciiTheme="majorHAnsi" w:hAnsiTheme="majorHAnsi"/>
                  <w:noProof/>
                </w:rPr>
                <w:t xml:space="preserve"> Dublin: University College Dublin.</w:t>
              </w:r>
            </w:p>
            <w:p w14:paraId="6E584396"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Slother, W. (1993). </w:t>
              </w:r>
              <w:r w:rsidRPr="00E80090">
                <w:rPr>
                  <w:rFonts w:asciiTheme="majorHAnsi" w:hAnsiTheme="majorHAnsi"/>
                  <w:i/>
                  <w:iCs/>
                  <w:noProof/>
                </w:rPr>
                <w:t>Contralisation versus Decentralisation.</w:t>
              </w:r>
              <w:r w:rsidRPr="00E80090">
                <w:rPr>
                  <w:rFonts w:asciiTheme="majorHAnsi" w:hAnsiTheme="majorHAnsi"/>
                  <w:noProof/>
                </w:rPr>
                <w:t xml:space="preserve"> London: Brunel University.</w:t>
              </w:r>
            </w:p>
            <w:p w14:paraId="6E584397"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SunChemical. (2012). </w:t>
              </w:r>
              <w:r w:rsidRPr="00E80090">
                <w:rPr>
                  <w:rFonts w:asciiTheme="majorHAnsi" w:hAnsiTheme="majorHAnsi"/>
                  <w:i/>
                  <w:iCs/>
                  <w:noProof/>
                </w:rPr>
                <w:t>Overview.</w:t>
              </w:r>
              <w:r w:rsidRPr="00E80090">
                <w:rPr>
                  <w:rFonts w:asciiTheme="majorHAnsi" w:hAnsiTheme="majorHAnsi"/>
                  <w:noProof/>
                </w:rPr>
                <w:t xml:space="preserve"> Retrieved Feb 7, 2012, from SunChemical.com: http://www.sunchemical.com/our-company/overview</w:t>
              </w:r>
            </w:p>
            <w:p w14:paraId="6E584398"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Walton, K. (1995). Treasury systems: Meeting the business requirements of a centralised treasury. </w:t>
              </w:r>
              <w:r w:rsidRPr="00E80090">
                <w:rPr>
                  <w:rFonts w:asciiTheme="majorHAnsi" w:hAnsiTheme="majorHAnsi"/>
                  <w:i/>
                  <w:iCs/>
                  <w:noProof/>
                </w:rPr>
                <w:t>Treasury Management International</w:t>
              </w:r>
              <w:r w:rsidRPr="00E80090">
                <w:rPr>
                  <w:rFonts w:asciiTheme="majorHAnsi" w:hAnsiTheme="majorHAnsi"/>
                  <w:noProof/>
                </w:rPr>
                <w:t>, 36-43.</w:t>
              </w:r>
            </w:p>
            <w:p w14:paraId="6E584399" w14:textId="77777777" w:rsidR="004D1237" w:rsidRPr="00E80090" w:rsidRDefault="004D1237" w:rsidP="004D1237">
              <w:pPr>
                <w:pStyle w:val="Bibliografie"/>
                <w:ind w:left="720" w:hanging="720"/>
                <w:rPr>
                  <w:rFonts w:asciiTheme="majorHAnsi" w:hAnsiTheme="majorHAnsi"/>
                  <w:noProof/>
                </w:rPr>
              </w:pPr>
              <w:r w:rsidRPr="00E80090">
                <w:rPr>
                  <w:rFonts w:asciiTheme="majorHAnsi" w:hAnsiTheme="majorHAnsi"/>
                  <w:noProof/>
                </w:rPr>
                <w:t xml:space="preserve">Wells, P. (1994). Ethics in business and management research. In V. Wass, &amp; P. Wells, </w:t>
              </w:r>
              <w:r w:rsidRPr="00E80090">
                <w:rPr>
                  <w:rFonts w:asciiTheme="majorHAnsi" w:hAnsiTheme="majorHAnsi"/>
                  <w:i/>
                  <w:iCs/>
                  <w:noProof/>
                </w:rPr>
                <w:t>Principles and Practice in Business and Management Research</w:t>
              </w:r>
              <w:r w:rsidRPr="00E80090">
                <w:rPr>
                  <w:rFonts w:asciiTheme="majorHAnsi" w:hAnsiTheme="majorHAnsi"/>
                  <w:noProof/>
                </w:rPr>
                <w:t xml:space="preserve"> (pp. 277-97). Aldershot: Dartmouth.</w:t>
              </w:r>
            </w:p>
            <w:p w14:paraId="6E58439A" w14:textId="77777777" w:rsidR="006844E4" w:rsidRPr="00E80090" w:rsidRDefault="006844E4" w:rsidP="004D1237">
              <w:pPr>
                <w:rPr>
                  <w:rFonts w:asciiTheme="majorHAnsi" w:hAnsiTheme="majorHAnsi"/>
                  <w:lang w:val="en-GB"/>
                </w:rPr>
              </w:pPr>
              <w:r w:rsidRPr="00E80090">
                <w:rPr>
                  <w:rFonts w:asciiTheme="majorHAnsi" w:hAnsiTheme="majorHAnsi"/>
                  <w:b/>
                  <w:bCs/>
                  <w:sz w:val="23"/>
                  <w:szCs w:val="23"/>
                  <w:lang w:val="en-GB"/>
                </w:rPr>
                <w:fldChar w:fldCharType="end"/>
              </w:r>
            </w:p>
          </w:sdtContent>
        </w:sdt>
      </w:sdtContent>
    </w:sdt>
    <w:p w14:paraId="6E58439B" w14:textId="77777777" w:rsidR="006844E4" w:rsidRPr="00E80090" w:rsidRDefault="006844E4">
      <w:pPr>
        <w:rPr>
          <w:rFonts w:asciiTheme="majorHAnsi" w:hAnsiTheme="majorHAnsi" w:cs="Cambria"/>
          <w:b/>
          <w:bCs/>
          <w:color w:val="365F91"/>
          <w:sz w:val="28"/>
          <w:szCs w:val="28"/>
          <w:lang w:val="en-GB" w:eastAsia="en-US"/>
        </w:rPr>
      </w:pPr>
      <w:r w:rsidRPr="00E80090">
        <w:rPr>
          <w:rFonts w:asciiTheme="majorHAnsi" w:hAnsiTheme="majorHAnsi"/>
          <w:lang w:val="en-GB" w:eastAsia="en-US"/>
        </w:rPr>
        <w:br w:type="page"/>
      </w:r>
    </w:p>
    <w:p w14:paraId="6E58439C" w14:textId="77777777" w:rsidR="00001664" w:rsidRPr="00E80090" w:rsidRDefault="009C6273" w:rsidP="009C6273">
      <w:pPr>
        <w:pStyle w:val="Kop1"/>
        <w:rPr>
          <w:rFonts w:asciiTheme="majorHAnsi" w:hAnsiTheme="majorHAnsi"/>
          <w:lang w:val="en-GB" w:eastAsia="en-US"/>
        </w:rPr>
      </w:pPr>
      <w:bookmarkStart w:id="202" w:name="_Toc368290381"/>
      <w:r w:rsidRPr="00E80090">
        <w:rPr>
          <w:rFonts w:asciiTheme="majorHAnsi" w:hAnsiTheme="majorHAnsi"/>
          <w:lang w:val="en-GB" w:eastAsia="en-US"/>
        </w:rPr>
        <w:lastRenderedPageBreak/>
        <w:t>Appendix 1</w:t>
      </w:r>
      <w:bookmarkEnd w:id="202"/>
      <w:bookmarkEnd w:id="201"/>
      <w:r w:rsidR="008711D7" w:rsidRPr="00E80090">
        <w:rPr>
          <w:rFonts w:asciiTheme="majorHAnsi" w:hAnsiTheme="majorHAnsi"/>
          <w:lang w:val="en-GB" w:eastAsia="en-US"/>
        </w:rPr>
        <w:t>: EURRON F</w:t>
      </w:r>
      <w:r w:rsidR="00941DB8" w:rsidRPr="00E80090">
        <w:rPr>
          <w:rFonts w:asciiTheme="majorHAnsi" w:hAnsiTheme="majorHAnsi"/>
          <w:lang w:val="en-GB" w:eastAsia="en-US"/>
        </w:rPr>
        <w:t>luctuations</w:t>
      </w:r>
    </w:p>
    <w:p w14:paraId="6E58439D" w14:textId="77777777" w:rsidR="006844E4" w:rsidRPr="00E80090" w:rsidRDefault="006844E4" w:rsidP="006844E4">
      <w:pPr>
        <w:rPr>
          <w:rFonts w:asciiTheme="majorHAnsi" w:hAnsiTheme="majorHAnsi"/>
          <w:lang w:val="en-GB" w:eastAsia="en-US"/>
        </w:rPr>
      </w:pPr>
    </w:p>
    <w:p w14:paraId="6E58439E" w14:textId="77777777" w:rsidR="00F96409" w:rsidRPr="00E80090" w:rsidRDefault="006A094B" w:rsidP="002C467C">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The graph below shows the exchange rate movement of the Romanian new le</w:t>
      </w:r>
      <w:r w:rsidR="00360DF9" w:rsidRPr="00E80090">
        <w:rPr>
          <w:rFonts w:asciiTheme="majorHAnsi" w:hAnsiTheme="majorHAnsi" w:cs="Cambria"/>
          <w:lang w:val="en-GB" w:eastAsia="en-US"/>
        </w:rPr>
        <w:t>i</w:t>
      </w:r>
      <w:r w:rsidRPr="00E80090">
        <w:rPr>
          <w:rFonts w:asciiTheme="majorHAnsi" w:hAnsiTheme="majorHAnsi" w:cs="Cambria"/>
          <w:lang w:val="en-GB" w:eastAsia="en-US"/>
        </w:rPr>
        <w:t xml:space="preserve"> against the Euro for the period of one year</w:t>
      </w:r>
      <w:r w:rsidR="000D3627" w:rsidRPr="00E80090">
        <w:rPr>
          <w:rFonts w:asciiTheme="majorHAnsi" w:hAnsiTheme="majorHAnsi" w:cs="Cambria"/>
          <w:lang w:val="en-GB" w:eastAsia="en-US"/>
        </w:rPr>
        <w:t>,</w:t>
      </w:r>
      <w:r w:rsidRPr="00E80090">
        <w:rPr>
          <w:rFonts w:asciiTheme="majorHAnsi" w:hAnsiTheme="majorHAnsi" w:cs="Cambria"/>
          <w:lang w:val="en-GB" w:eastAsia="en-US"/>
        </w:rPr>
        <w:t xml:space="preserve"> starting June 25, 2012 and ending June 16, 2013.</w:t>
      </w:r>
      <w:r w:rsidR="000D3627" w:rsidRPr="00E80090">
        <w:rPr>
          <w:rFonts w:asciiTheme="majorHAnsi" w:hAnsiTheme="majorHAnsi" w:cs="Cambria"/>
          <w:lang w:val="en-GB" w:eastAsia="en-US"/>
        </w:rPr>
        <w:t xml:space="preserve"> Looking at the figure, it is noticeable that </w:t>
      </w:r>
      <w:r w:rsidR="00360DF9" w:rsidRPr="00E80090">
        <w:rPr>
          <w:rFonts w:asciiTheme="majorHAnsi" w:hAnsiTheme="majorHAnsi" w:cs="Cambria"/>
          <w:lang w:val="en-GB" w:eastAsia="en-US"/>
        </w:rPr>
        <w:t xml:space="preserve">the exchange rate of the currency pair shows certain </w:t>
      </w:r>
      <w:r w:rsidR="00FF1B7C" w:rsidRPr="00E80090">
        <w:rPr>
          <w:rFonts w:asciiTheme="majorHAnsi" w:hAnsiTheme="majorHAnsi" w:cs="Cambria"/>
          <w:lang w:val="en-GB" w:eastAsia="en-US"/>
        </w:rPr>
        <w:t>variability</w:t>
      </w:r>
      <w:r w:rsidR="00360DF9" w:rsidRPr="00E80090">
        <w:rPr>
          <w:rFonts w:asciiTheme="majorHAnsi" w:hAnsiTheme="majorHAnsi" w:cs="Cambria"/>
          <w:lang w:val="en-GB" w:eastAsia="en-US"/>
        </w:rPr>
        <w:t xml:space="preserve">. The fluctuation of the rate </w:t>
      </w:r>
      <w:r w:rsidR="00FF1B7C" w:rsidRPr="00E80090">
        <w:rPr>
          <w:rFonts w:asciiTheme="majorHAnsi" w:hAnsiTheme="majorHAnsi" w:cs="Cambria"/>
          <w:lang w:val="en-GB" w:eastAsia="en-US"/>
        </w:rPr>
        <w:t>varies from</w:t>
      </w:r>
      <w:r w:rsidR="00360DF9" w:rsidRPr="00E80090">
        <w:rPr>
          <w:rFonts w:asciiTheme="majorHAnsi" w:hAnsiTheme="majorHAnsi" w:cs="Cambria"/>
          <w:lang w:val="en-GB" w:eastAsia="en-US"/>
        </w:rPr>
        <w:t xml:space="preserve"> a low of 4.3083 to a high of 4.6099.</w:t>
      </w:r>
      <w:r w:rsidR="00FF1B7C" w:rsidRPr="00E80090">
        <w:rPr>
          <w:rFonts w:asciiTheme="majorHAnsi" w:hAnsiTheme="majorHAnsi" w:cs="Cambria"/>
          <w:lang w:val="en-GB" w:eastAsia="en-US"/>
        </w:rPr>
        <w:t xml:space="preserve"> As a result, the entity in Romania that receives Lei and pays </w:t>
      </w:r>
      <w:r w:rsidR="006673C1" w:rsidRPr="00E80090">
        <w:rPr>
          <w:rFonts w:asciiTheme="majorHAnsi" w:hAnsiTheme="majorHAnsi" w:cs="Cambria"/>
          <w:lang w:val="en-GB" w:eastAsia="en-US"/>
        </w:rPr>
        <w:t>Euro</w:t>
      </w:r>
      <w:r w:rsidR="00FF1B7C" w:rsidRPr="00E80090">
        <w:rPr>
          <w:rFonts w:asciiTheme="majorHAnsi" w:hAnsiTheme="majorHAnsi" w:cs="Cambria"/>
          <w:lang w:val="en-GB" w:eastAsia="en-US"/>
        </w:rPr>
        <w:t xml:space="preserve"> is exposed to exchange rate risk. </w:t>
      </w:r>
    </w:p>
    <w:p w14:paraId="6E58439F" w14:textId="77777777" w:rsidR="002C467C" w:rsidRPr="00E80090" w:rsidRDefault="002C467C" w:rsidP="002C467C">
      <w:pPr>
        <w:spacing w:after="200" w:line="360" w:lineRule="auto"/>
        <w:jc w:val="both"/>
        <w:rPr>
          <w:rFonts w:asciiTheme="majorHAnsi" w:hAnsiTheme="majorHAnsi" w:cs="Cambria"/>
          <w:sz w:val="28"/>
          <w:szCs w:val="28"/>
          <w:u w:val="single"/>
          <w:lang w:val="en-GB" w:eastAsia="en-US"/>
        </w:rPr>
      </w:pPr>
    </w:p>
    <w:p w14:paraId="6E5843A0" w14:textId="77777777" w:rsidR="00816C2B" w:rsidRPr="00E80090" w:rsidRDefault="00F96409" w:rsidP="00F96409">
      <w:pPr>
        <w:pStyle w:val="Bijschrift"/>
        <w:keepNext/>
        <w:jc w:val="center"/>
        <w:rPr>
          <w:rFonts w:asciiTheme="majorHAnsi" w:hAnsiTheme="majorHAnsi"/>
          <w:lang w:val="en-GB"/>
        </w:rPr>
      </w:pPr>
      <w:r w:rsidRPr="00E80090">
        <w:rPr>
          <w:rFonts w:asciiTheme="majorHAnsi" w:hAnsiTheme="majorHAnsi"/>
          <w:lang w:val="en-GB"/>
        </w:rPr>
        <w:t xml:space="preserve">              </w:t>
      </w:r>
      <w:r w:rsidR="00816C2B" w:rsidRPr="00E80090">
        <w:rPr>
          <w:rFonts w:asciiTheme="majorHAnsi" w:hAnsiTheme="majorHAnsi"/>
          <w:lang w:val="en-GB"/>
        </w:rPr>
        <w:t xml:space="preserve">Figure </w:t>
      </w:r>
      <w:r w:rsidR="009F2B6B" w:rsidRPr="00E80090">
        <w:rPr>
          <w:rFonts w:asciiTheme="majorHAnsi" w:hAnsiTheme="majorHAnsi"/>
          <w:lang w:val="en-GB"/>
        </w:rPr>
        <w:fldChar w:fldCharType="begin"/>
      </w:r>
      <w:r w:rsidR="009F2B6B" w:rsidRPr="00E80090">
        <w:rPr>
          <w:rFonts w:asciiTheme="majorHAnsi" w:hAnsiTheme="majorHAnsi"/>
          <w:lang w:val="en-GB"/>
        </w:rPr>
        <w:instrText xml:space="preserve"> SEQ Figure \* ARABIC </w:instrText>
      </w:r>
      <w:r w:rsidR="009F2B6B" w:rsidRPr="00E80090">
        <w:rPr>
          <w:rFonts w:asciiTheme="majorHAnsi" w:hAnsiTheme="majorHAnsi"/>
          <w:lang w:val="en-GB"/>
        </w:rPr>
        <w:fldChar w:fldCharType="separate"/>
      </w:r>
      <w:r w:rsidR="00E80090">
        <w:rPr>
          <w:rFonts w:asciiTheme="majorHAnsi" w:hAnsiTheme="majorHAnsi"/>
          <w:noProof/>
          <w:lang w:val="en-GB"/>
        </w:rPr>
        <w:t>1</w:t>
      </w:r>
      <w:r w:rsidR="009F2B6B" w:rsidRPr="00E80090">
        <w:rPr>
          <w:rFonts w:asciiTheme="majorHAnsi" w:hAnsiTheme="majorHAnsi"/>
          <w:lang w:val="en-GB"/>
        </w:rPr>
        <w:fldChar w:fldCharType="end"/>
      </w:r>
      <w:r w:rsidR="00816C2B" w:rsidRPr="00E80090">
        <w:rPr>
          <w:rFonts w:asciiTheme="majorHAnsi" w:hAnsiTheme="majorHAnsi"/>
          <w:lang w:val="en-GB"/>
        </w:rPr>
        <w:t>: EUR/RON exchange rate movement June 25, 2012 - June 16, 2013</w:t>
      </w:r>
    </w:p>
    <w:p w14:paraId="6E5843A1" w14:textId="77777777" w:rsidR="00F96409" w:rsidRPr="00E80090" w:rsidRDefault="00F96409" w:rsidP="00F96409">
      <w:pPr>
        <w:rPr>
          <w:rFonts w:asciiTheme="majorHAnsi" w:hAnsiTheme="majorHAnsi"/>
          <w:lang w:val="en-GB"/>
        </w:rPr>
      </w:pPr>
    </w:p>
    <w:p w14:paraId="6E5843A2" w14:textId="77777777" w:rsidR="00816C2B" w:rsidRPr="00E80090" w:rsidRDefault="00A13779" w:rsidP="00816C2B">
      <w:pPr>
        <w:keepNext/>
        <w:ind w:right="236" w:firstLine="720"/>
        <w:jc w:val="center"/>
        <w:rPr>
          <w:rFonts w:asciiTheme="majorHAnsi" w:hAnsiTheme="majorHAnsi"/>
          <w:lang w:val="en-GB"/>
        </w:rPr>
      </w:pPr>
      <w:r w:rsidRPr="00E80090">
        <w:rPr>
          <w:rFonts w:asciiTheme="majorHAnsi" w:hAnsiTheme="majorHAnsi"/>
          <w:noProof/>
          <w:lang w:val="nl-NL" w:eastAsia="nl-NL"/>
        </w:rPr>
        <w:drawing>
          <wp:inline distT="0" distB="0" distL="0" distR="0" wp14:anchorId="6E5844F4" wp14:editId="6E5844F5">
            <wp:extent cx="5105400" cy="24707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5342" t="22635" r="24207" b="31697"/>
                    <a:stretch>
                      <a:fillRect/>
                    </a:stretch>
                  </pic:blipFill>
                  <pic:spPr bwMode="auto">
                    <a:xfrm>
                      <a:off x="0" y="0"/>
                      <a:ext cx="5105400" cy="2470785"/>
                    </a:xfrm>
                    <a:prstGeom prst="rect">
                      <a:avLst/>
                    </a:prstGeom>
                    <a:noFill/>
                    <a:ln>
                      <a:noFill/>
                    </a:ln>
                  </pic:spPr>
                </pic:pic>
              </a:graphicData>
            </a:graphic>
          </wp:inline>
        </w:drawing>
      </w:r>
    </w:p>
    <w:p w14:paraId="6E5843A3" w14:textId="77777777" w:rsidR="00816C2B" w:rsidRPr="00E80090" w:rsidRDefault="00816C2B" w:rsidP="00816C2B">
      <w:pPr>
        <w:pStyle w:val="Bijschrift"/>
        <w:jc w:val="center"/>
        <w:rPr>
          <w:rFonts w:asciiTheme="majorHAnsi" w:hAnsiTheme="majorHAnsi"/>
          <w:lang w:val="en-GB"/>
        </w:rPr>
      </w:pPr>
      <w:r w:rsidRPr="00E80090">
        <w:rPr>
          <w:rFonts w:asciiTheme="majorHAnsi" w:hAnsiTheme="majorHAnsi"/>
          <w:lang w:val="en-GB"/>
        </w:rPr>
        <w:t xml:space="preserve">Source: </w:t>
      </w:r>
      <w:hyperlink r:id="rId15" w:history="1">
        <w:r w:rsidR="00C131C5" w:rsidRPr="00E80090">
          <w:rPr>
            <w:rStyle w:val="Hyperlink"/>
            <w:rFonts w:asciiTheme="majorHAnsi" w:hAnsiTheme="majorHAnsi"/>
            <w:lang w:val="en-GB"/>
          </w:rPr>
          <w:t>www.oanda.com</w:t>
        </w:r>
      </w:hyperlink>
    </w:p>
    <w:p w14:paraId="6E5843A4" w14:textId="77777777" w:rsidR="00C131C5" w:rsidRPr="00E80090" w:rsidRDefault="00C131C5" w:rsidP="00C131C5">
      <w:pPr>
        <w:rPr>
          <w:rFonts w:asciiTheme="majorHAnsi" w:hAnsiTheme="majorHAnsi"/>
          <w:lang w:val="en-GB"/>
        </w:rPr>
      </w:pPr>
    </w:p>
    <w:p w14:paraId="6E5843A5" w14:textId="77777777" w:rsidR="00C131C5" w:rsidRPr="00E80090" w:rsidRDefault="00C131C5" w:rsidP="00C131C5">
      <w:pPr>
        <w:rPr>
          <w:rFonts w:asciiTheme="majorHAnsi" w:hAnsiTheme="majorHAnsi"/>
          <w:lang w:val="en-GB"/>
        </w:rPr>
      </w:pPr>
    </w:p>
    <w:p w14:paraId="6E5843A6" w14:textId="77777777" w:rsidR="00C131C5" w:rsidRPr="00E80090" w:rsidRDefault="00C131C5">
      <w:pPr>
        <w:rPr>
          <w:rFonts w:asciiTheme="majorHAnsi" w:hAnsiTheme="majorHAnsi" w:cs="Cambria"/>
          <w:b/>
          <w:bCs/>
          <w:color w:val="365F91"/>
          <w:sz w:val="28"/>
          <w:szCs w:val="28"/>
          <w:lang w:val="en-GB" w:eastAsia="en-US"/>
        </w:rPr>
      </w:pPr>
      <w:r w:rsidRPr="00E80090">
        <w:rPr>
          <w:rFonts w:asciiTheme="majorHAnsi" w:hAnsiTheme="majorHAnsi"/>
          <w:lang w:val="en-GB" w:eastAsia="en-US"/>
        </w:rPr>
        <w:br w:type="page"/>
      </w:r>
    </w:p>
    <w:p w14:paraId="6E5843A7" w14:textId="77777777" w:rsidR="00C131C5" w:rsidRPr="00E80090" w:rsidRDefault="00C131C5" w:rsidP="00C131C5">
      <w:pPr>
        <w:pStyle w:val="Kop1"/>
        <w:rPr>
          <w:rFonts w:asciiTheme="majorHAnsi" w:hAnsiTheme="majorHAnsi"/>
          <w:lang w:val="en-GB" w:eastAsia="en-US"/>
        </w:rPr>
      </w:pPr>
      <w:bookmarkStart w:id="203" w:name="_Toc360633050"/>
      <w:bookmarkStart w:id="204" w:name="_Toc368290382"/>
      <w:r w:rsidRPr="00E80090">
        <w:rPr>
          <w:rFonts w:asciiTheme="majorHAnsi" w:hAnsiTheme="majorHAnsi"/>
          <w:lang w:val="en-GB" w:eastAsia="en-US"/>
        </w:rPr>
        <w:lastRenderedPageBreak/>
        <w:t>Appendix 2</w:t>
      </w:r>
      <w:bookmarkEnd w:id="203"/>
      <w:bookmarkEnd w:id="204"/>
      <w:r w:rsidR="00941DB8" w:rsidRPr="00E80090">
        <w:rPr>
          <w:rFonts w:asciiTheme="majorHAnsi" w:hAnsiTheme="majorHAnsi"/>
          <w:lang w:val="en-GB" w:eastAsia="en-US"/>
        </w:rPr>
        <w:t>: Cost Analysis Calculations</w:t>
      </w:r>
    </w:p>
    <w:p w14:paraId="6E5843A8" w14:textId="77777777" w:rsidR="001427A3" w:rsidRPr="00E80090" w:rsidRDefault="001427A3" w:rsidP="001427A3">
      <w:pPr>
        <w:rPr>
          <w:rFonts w:asciiTheme="majorHAnsi" w:hAnsiTheme="majorHAnsi"/>
          <w:lang w:val="en-GB" w:eastAsia="en-US"/>
        </w:rPr>
      </w:pPr>
    </w:p>
    <w:p w14:paraId="6E5843A9" w14:textId="77777777" w:rsidR="00156355" w:rsidRPr="00E80090" w:rsidRDefault="00156355" w:rsidP="0015635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tables below present the current and proposed </w:t>
      </w:r>
      <w:r w:rsidR="00522587" w:rsidRPr="00E80090">
        <w:rPr>
          <w:rFonts w:asciiTheme="majorHAnsi" w:hAnsiTheme="majorHAnsi" w:cs="Cambria"/>
          <w:lang w:val="en-GB" w:eastAsia="en-US"/>
        </w:rPr>
        <w:t>banking</w:t>
      </w:r>
      <w:r w:rsidR="00CD48FB" w:rsidRPr="00E80090">
        <w:rPr>
          <w:rFonts w:asciiTheme="majorHAnsi" w:hAnsiTheme="majorHAnsi" w:cs="Cambria"/>
          <w:lang w:val="en-GB" w:eastAsia="en-US"/>
        </w:rPr>
        <w:t xml:space="preserve"> costs for each entity. Those were calculated</w:t>
      </w:r>
      <w:r w:rsidRPr="00E80090">
        <w:rPr>
          <w:rFonts w:asciiTheme="majorHAnsi" w:hAnsiTheme="majorHAnsi" w:cs="Cambria"/>
          <w:lang w:val="en-GB" w:eastAsia="en-US"/>
        </w:rPr>
        <w:t xml:space="preserve"> based on the actual transaction volumes of the entities over 2012. </w:t>
      </w:r>
      <w:r w:rsidR="00B403AB" w:rsidRPr="00E80090">
        <w:rPr>
          <w:rFonts w:asciiTheme="majorHAnsi" w:hAnsiTheme="majorHAnsi" w:cs="Cambria"/>
          <w:lang w:val="en-GB" w:eastAsia="en-US"/>
        </w:rPr>
        <w:t>For fixed charges, the cost is estimated by multiplying the proposed bank fee by the specified volume. For variable charges the calculation differs depending on the particular fee. Those are explained below. Additionally, s</w:t>
      </w:r>
      <w:r w:rsidR="00742535" w:rsidRPr="00E80090">
        <w:rPr>
          <w:rFonts w:asciiTheme="majorHAnsi" w:hAnsiTheme="majorHAnsi" w:cs="Cambria"/>
          <w:lang w:val="en-GB" w:eastAsia="en-US"/>
        </w:rPr>
        <w:t>ome of the information on the actual volumes was not available for all countries. As a result</w:t>
      </w:r>
      <w:r w:rsidR="00F42590" w:rsidRPr="00E80090">
        <w:rPr>
          <w:rFonts w:asciiTheme="majorHAnsi" w:hAnsiTheme="majorHAnsi" w:cs="Cambria"/>
          <w:lang w:val="en-GB" w:eastAsia="en-US"/>
        </w:rPr>
        <w:t>,</w:t>
      </w:r>
      <w:r w:rsidR="00742535" w:rsidRPr="00E80090">
        <w:rPr>
          <w:rFonts w:asciiTheme="majorHAnsi" w:hAnsiTheme="majorHAnsi" w:cs="Cambria"/>
          <w:lang w:val="en-GB" w:eastAsia="en-US"/>
        </w:rPr>
        <w:t xml:space="preserve"> assumptions </w:t>
      </w:r>
      <w:r w:rsidR="00F42590" w:rsidRPr="00E80090">
        <w:rPr>
          <w:rFonts w:asciiTheme="majorHAnsi" w:hAnsiTheme="majorHAnsi" w:cs="Cambria"/>
          <w:lang w:val="en-GB" w:eastAsia="en-US"/>
        </w:rPr>
        <w:t>were</w:t>
      </w:r>
      <w:r w:rsidR="00C0370C" w:rsidRPr="00E80090">
        <w:rPr>
          <w:rFonts w:asciiTheme="majorHAnsi" w:hAnsiTheme="majorHAnsi" w:cs="Cambria"/>
          <w:lang w:val="en-GB" w:eastAsia="en-US"/>
        </w:rPr>
        <w:t xml:space="preserve"> made based on the </w:t>
      </w:r>
      <w:r w:rsidR="0010780B" w:rsidRPr="00E80090">
        <w:rPr>
          <w:rFonts w:asciiTheme="majorHAnsi" w:hAnsiTheme="majorHAnsi" w:cs="Cambria"/>
          <w:lang w:val="en-GB" w:eastAsia="en-US"/>
        </w:rPr>
        <w:t>data</w:t>
      </w:r>
      <w:r w:rsidR="00F42590" w:rsidRPr="00E80090">
        <w:rPr>
          <w:rFonts w:asciiTheme="majorHAnsi" w:hAnsiTheme="majorHAnsi" w:cs="Cambria"/>
          <w:lang w:val="en-GB" w:eastAsia="en-US"/>
        </w:rPr>
        <w:t xml:space="preserve"> that was </w:t>
      </w:r>
      <w:r w:rsidR="00C0370C" w:rsidRPr="00E80090">
        <w:rPr>
          <w:rFonts w:asciiTheme="majorHAnsi" w:hAnsiTheme="majorHAnsi" w:cs="Cambria"/>
          <w:lang w:val="en-GB" w:eastAsia="en-US"/>
        </w:rPr>
        <w:t>available.</w:t>
      </w:r>
    </w:p>
    <w:p w14:paraId="6E5843AA" w14:textId="77777777" w:rsidR="005F7A42" w:rsidRPr="00E80090" w:rsidRDefault="005F7A42" w:rsidP="005F7A42">
      <w:pPr>
        <w:pStyle w:val="Lijstalinea"/>
        <w:numPr>
          <w:ilvl w:val="0"/>
          <w:numId w:val="28"/>
        </w:numPr>
        <w:spacing w:line="360" w:lineRule="auto"/>
        <w:jc w:val="both"/>
        <w:rPr>
          <w:rFonts w:asciiTheme="majorHAnsi" w:hAnsiTheme="majorHAnsi" w:cs="Cambria"/>
          <w:b/>
          <w:sz w:val="26"/>
          <w:szCs w:val="26"/>
          <w:lang w:val="en-GB"/>
        </w:rPr>
      </w:pPr>
      <w:r w:rsidRPr="00E80090">
        <w:rPr>
          <w:rFonts w:asciiTheme="majorHAnsi" w:hAnsiTheme="majorHAnsi" w:cs="Cambria"/>
          <w:b/>
          <w:sz w:val="26"/>
          <w:szCs w:val="26"/>
          <w:lang w:val="en-GB"/>
        </w:rPr>
        <w:t>Bulgaria</w:t>
      </w:r>
    </w:p>
    <w:p w14:paraId="6E5843AB" w14:textId="77777777" w:rsidR="00C0370C" w:rsidRPr="00E80090" w:rsidRDefault="00C0370C" w:rsidP="00156355">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first table shows the calculated costs for the entity in Bulgaria. </w:t>
      </w:r>
      <w:r w:rsidR="000117C0" w:rsidRPr="00E80090">
        <w:rPr>
          <w:rFonts w:asciiTheme="majorHAnsi" w:hAnsiTheme="majorHAnsi" w:cs="Cambria"/>
          <w:lang w:val="en-GB" w:eastAsia="en-US"/>
        </w:rPr>
        <w:t xml:space="preserve">All data in the table depicts the actual information for 2012. </w:t>
      </w:r>
      <w:r w:rsidR="00843209" w:rsidRPr="00E80090">
        <w:rPr>
          <w:rFonts w:asciiTheme="majorHAnsi" w:hAnsiTheme="majorHAnsi" w:cs="Cambria"/>
          <w:lang w:val="en-GB" w:eastAsia="en-US"/>
        </w:rPr>
        <w:t xml:space="preserve">The costs are calculated in EUR as the comparison would be evaluated centrally. The conversion was made based on the EUR/BGN exchange rate of 1.9558 </w:t>
      </w:r>
      <w:r w:rsidR="00843209" w:rsidRPr="00E80090">
        <w:rPr>
          <w:rFonts w:asciiTheme="majorHAnsi" w:hAnsiTheme="majorHAnsi"/>
          <w:lang w:val="en-GB"/>
        </w:rPr>
        <w:t>(Bloomberg, 24 June 2013).</w:t>
      </w:r>
      <w:r w:rsidR="00450369" w:rsidRPr="00E80090">
        <w:rPr>
          <w:rFonts w:asciiTheme="majorHAnsi" w:hAnsiTheme="majorHAnsi"/>
          <w:lang w:val="en-GB"/>
        </w:rPr>
        <w:t xml:space="preserve"> </w:t>
      </w:r>
    </w:p>
    <w:tbl>
      <w:tblPr>
        <w:tblW w:w="9267" w:type="dxa"/>
        <w:tblInd w:w="108" w:type="dxa"/>
        <w:tblLook w:val="04A0" w:firstRow="1" w:lastRow="0" w:firstColumn="1" w:lastColumn="0" w:noHBand="0" w:noVBand="1"/>
      </w:tblPr>
      <w:tblGrid>
        <w:gridCol w:w="2250"/>
        <w:gridCol w:w="1710"/>
        <w:gridCol w:w="1620"/>
        <w:gridCol w:w="993"/>
        <w:gridCol w:w="1350"/>
        <w:gridCol w:w="1344"/>
      </w:tblGrid>
      <w:tr w:rsidR="00560226" w:rsidRPr="00E80090" w14:paraId="6E5843B2" w14:textId="77777777" w:rsidTr="00017B3F">
        <w:trPr>
          <w:trHeight w:val="254"/>
        </w:trPr>
        <w:tc>
          <w:tcPr>
            <w:tcW w:w="225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E5843AC" w14:textId="77777777" w:rsidR="00560226" w:rsidRPr="00E80090" w:rsidRDefault="00560226" w:rsidP="00560226">
            <w:pPr>
              <w:rPr>
                <w:rFonts w:asciiTheme="majorHAnsi" w:eastAsia="Times New Roman" w:hAnsiTheme="majorHAnsi" w:cs="Arial"/>
                <w:b/>
                <w:sz w:val="22"/>
                <w:szCs w:val="22"/>
                <w:lang w:val="en-GB" w:eastAsia="en-US"/>
              </w:rPr>
            </w:pPr>
            <w:r w:rsidRPr="00E80090">
              <w:rPr>
                <w:rFonts w:asciiTheme="majorHAnsi" w:eastAsia="Times New Roman" w:hAnsiTheme="majorHAnsi" w:cs="Arial"/>
                <w:b/>
                <w:sz w:val="22"/>
                <w:szCs w:val="22"/>
                <w:lang w:val="en-GB" w:eastAsia="en-US"/>
              </w:rPr>
              <w:t>Bulgaria</w:t>
            </w:r>
          </w:p>
        </w:tc>
        <w:tc>
          <w:tcPr>
            <w:tcW w:w="1710" w:type="dxa"/>
            <w:tcBorders>
              <w:top w:val="nil"/>
              <w:left w:val="nil"/>
              <w:bottom w:val="nil"/>
              <w:right w:val="nil"/>
            </w:tcBorders>
            <w:shd w:val="clear" w:color="auto" w:fill="auto"/>
            <w:noWrap/>
            <w:vAlign w:val="bottom"/>
            <w:hideMark/>
          </w:tcPr>
          <w:p w14:paraId="6E5843AD" w14:textId="77777777" w:rsidR="00560226" w:rsidRPr="00E80090" w:rsidRDefault="00560226" w:rsidP="00560226">
            <w:pPr>
              <w:rPr>
                <w:rFonts w:asciiTheme="majorHAnsi" w:eastAsia="Times New Roman" w:hAnsiTheme="majorHAnsi" w:cs="Arial"/>
                <w:sz w:val="22"/>
                <w:szCs w:val="22"/>
                <w:lang w:val="en-GB" w:eastAsia="en-US"/>
              </w:rPr>
            </w:pPr>
          </w:p>
        </w:tc>
        <w:tc>
          <w:tcPr>
            <w:tcW w:w="1620" w:type="dxa"/>
            <w:tcBorders>
              <w:top w:val="nil"/>
              <w:left w:val="nil"/>
              <w:bottom w:val="nil"/>
              <w:right w:val="nil"/>
            </w:tcBorders>
            <w:shd w:val="clear" w:color="auto" w:fill="auto"/>
            <w:noWrap/>
            <w:vAlign w:val="bottom"/>
            <w:hideMark/>
          </w:tcPr>
          <w:p w14:paraId="6E5843AE" w14:textId="77777777" w:rsidR="00560226" w:rsidRPr="00E80090" w:rsidRDefault="00560226" w:rsidP="00560226">
            <w:pPr>
              <w:rPr>
                <w:rFonts w:asciiTheme="majorHAnsi" w:eastAsia="Times New Roman" w:hAnsiTheme="majorHAnsi" w:cs="Arial"/>
                <w:sz w:val="22"/>
                <w:szCs w:val="22"/>
                <w:lang w:val="en-GB" w:eastAsia="en-US"/>
              </w:rPr>
            </w:pPr>
          </w:p>
        </w:tc>
        <w:tc>
          <w:tcPr>
            <w:tcW w:w="993" w:type="dxa"/>
            <w:tcBorders>
              <w:top w:val="nil"/>
              <w:left w:val="nil"/>
              <w:bottom w:val="nil"/>
              <w:right w:val="nil"/>
            </w:tcBorders>
            <w:shd w:val="clear" w:color="auto" w:fill="auto"/>
            <w:noWrap/>
            <w:vAlign w:val="bottom"/>
            <w:hideMark/>
          </w:tcPr>
          <w:p w14:paraId="6E5843AF" w14:textId="77777777" w:rsidR="00560226" w:rsidRPr="00E80090" w:rsidRDefault="00560226" w:rsidP="00560226">
            <w:pPr>
              <w:rPr>
                <w:rFonts w:asciiTheme="majorHAnsi" w:eastAsia="Times New Roman" w:hAnsiTheme="majorHAnsi" w:cs="Arial"/>
                <w:sz w:val="22"/>
                <w:szCs w:val="22"/>
                <w:lang w:val="en-GB" w:eastAsia="en-US"/>
              </w:rPr>
            </w:pPr>
          </w:p>
        </w:tc>
        <w:tc>
          <w:tcPr>
            <w:tcW w:w="1350" w:type="dxa"/>
            <w:tcBorders>
              <w:top w:val="nil"/>
              <w:left w:val="nil"/>
              <w:bottom w:val="nil"/>
              <w:right w:val="nil"/>
            </w:tcBorders>
            <w:shd w:val="clear" w:color="auto" w:fill="auto"/>
            <w:noWrap/>
            <w:vAlign w:val="bottom"/>
            <w:hideMark/>
          </w:tcPr>
          <w:p w14:paraId="6E5843B0" w14:textId="77777777" w:rsidR="00560226" w:rsidRPr="00E80090" w:rsidRDefault="00560226" w:rsidP="00560226">
            <w:pPr>
              <w:rPr>
                <w:rFonts w:asciiTheme="majorHAnsi" w:eastAsia="Times New Roman" w:hAnsiTheme="majorHAnsi" w:cs="Arial"/>
                <w:sz w:val="22"/>
                <w:szCs w:val="22"/>
                <w:lang w:val="en-GB" w:eastAsia="en-US"/>
              </w:rPr>
            </w:pPr>
          </w:p>
        </w:tc>
        <w:tc>
          <w:tcPr>
            <w:tcW w:w="1344" w:type="dxa"/>
            <w:tcBorders>
              <w:top w:val="nil"/>
              <w:left w:val="nil"/>
              <w:bottom w:val="single" w:sz="4" w:space="0" w:color="auto"/>
              <w:right w:val="nil"/>
            </w:tcBorders>
            <w:shd w:val="clear" w:color="auto" w:fill="auto"/>
            <w:noWrap/>
            <w:vAlign w:val="bottom"/>
            <w:hideMark/>
          </w:tcPr>
          <w:p w14:paraId="6E5843B1" w14:textId="77777777" w:rsidR="00560226" w:rsidRPr="00E80090" w:rsidRDefault="00560226" w:rsidP="00560226">
            <w:pPr>
              <w:rPr>
                <w:rFonts w:asciiTheme="majorHAnsi" w:eastAsia="Times New Roman" w:hAnsiTheme="majorHAnsi" w:cs="Arial"/>
                <w:sz w:val="22"/>
                <w:szCs w:val="22"/>
                <w:lang w:val="en-GB" w:eastAsia="en-US"/>
              </w:rPr>
            </w:pPr>
          </w:p>
        </w:tc>
      </w:tr>
      <w:tr w:rsidR="00560226" w:rsidRPr="00E80090" w14:paraId="6E5843B9" w14:textId="77777777" w:rsidTr="00017B3F">
        <w:trPr>
          <w:trHeight w:val="492"/>
        </w:trPr>
        <w:tc>
          <w:tcPr>
            <w:tcW w:w="2250" w:type="dxa"/>
            <w:tcBorders>
              <w:top w:val="nil"/>
              <w:left w:val="single" w:sz="4" w:space="0" w:color="auto"/>
              <w:bottom w:val="single" w:sz="4" w:space="0" w:color="auto"/>
              <w:right w:val="single" w:sz="4" w:space="0" w:color="auto"/>
            </w:tcBorders>
            <w:shd w:val="clear" w:color="000000" w:fill="99CCFF"/>
            <w:noWrap/>
            <w:vAlign w:val="center"/>
            <w:hideMark/>
          </w:tcPr>
          <w:p w14:paraId="6E5843B3" w14:textId="77777777" w:rsidR="00560226" w:rsidRPr="00E80090" w:rsidRDefault="00560226" w:rsidP="00560226">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Product:</w:t>
            </w:r>
          </w:p>
        </w:tc>
        <w:tc>
          <w:tcPr>
            <w:tcW w:w="1710" w:type="dxa"/>
            <w:tcBorders>
              <w:top w:val="single" w:sz="4" w:space="0" w:color="auto"/>
              <w:left w:val="nil"/>
              <w:bottom w:val="single" w:sz="4" w:space="0" w:color="auto"/>
              <w:right w:val="single" w:sz="4" w:space="0" w:color="auto"/>
            </w:tcBorders>
            <w:shd w:val="clear" w:color="000000" w:fill="99CCFF"/>
            <w:noWrap/>
            <w:vAlign w:val="center"/>
            <w:hideMark/>
          </w:tcPr>
          <w:p w14:paraId="6E5843B4" w14:textId="77777777" w:rsidR="00560226" w:rsidRPr="00E80090" w:rsidRDefault="00560226" w:rsidP="00AC2B3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 xml:space="preserve">ING </w:t>
            </w:r>
          </w:p>
        </w:tc>
        <w:tc>
          <w:tcPr>
            <w:tcW w:w="1620" w:type="dxa"/>
            <w:tcBorders>
              <w:top w:val="single" w:sz="4" w:space="0" w:color="auto"/>
              <w:left w:val="nil"/>
              <w:bottom w:val="single" w:sz="4" w:space="0" w:color="auto"/>
              <w:right w:val="single" w:sz="4" w:space="0" w:color="auto"/>
            </w:tcBorders>
            <w:shd w:val="clear" w:color="000000" w:fill="99CCFF"/>
            <w:noWrap/>
            <w:vAlign w:val="center"/>
            <w:hideMark/>
          </w:tcPr>
          <w:p w14:paraId="6E5843B5" w14:textId="77777777" w:rsidR="00560226" w:rsidRPr="00E80090" w:rsidRDefault="00560226" w:rsidP="00AC2B3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Citi</w:t>
            </w:r>
            <w:r w:rsidR="00AC2B35" w:rsidRPr="00E80090">
              <w:rPr>
                <w:rFonts w:asciiTheme="majorHAnsi" w:eastAsia="Times New Roman" w:hAnsiTheme="majorHAnsi" w:cs="Arial"/>
                <w:b/>
                <w:bCs/>
                <w:sz w:val="21"/>
                <w:szCs w:val="21"/>
                <w:lang w:val="en-GB" w:eastAsia="en-US"/>
              </w:rPr>
              <w:t>bank</w:t>
            </w:r>
          </w:p>
        </w:tc>
        <w:tc>
          <w:tcPr>
            <w:tcW w:w="993" w:type="dxa"/>
            <w:tcBorders>
              <w:top w:val="single" w:sz="4" w:space="0" w:color="auto"/>
              <w:left w:val="nil"/>
              <w:bottom w:val="single" w:sz="4" w:space="0" w:color="auto"/>
              <w:right w:val="single" w:sz="4" w:space="0" w:color="auto"/>
            </w:tcBorders>
            <w:shd w:val="clear" w:color="000000" w:fill="99CCFF"/>
            <w:noWrap/>
            <w:vAlign w:val="center"/>
            <w:hideMark/>
          </w:tcPr>
          <w:p w14:paraId="6E5843B6" w14:textId="77777777" w:rsidR="00560226" w:rsidRPr="00E80090" w:rsidRDefault="00560226" w:rsidP="00560226">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Annual Volume</w:t>
            </w:r>
          </w:p>
        </w:tc>
        <w:tc>
          <w:tcPr>
            <w:tcW w:w="1350" w:type="dxa"/>
            <w:tcBorders>
              <w:top w:val="single" w:sz="4" w:space="0" w:color="auto"/>
              <w:left w:val="nil"/>
              <w:bottom w:val="single" w:sz="4" w:space="0" w:color="auto"/>
              <w:right w:val="single" w:sz="4" w:space="0" w:color="auto"/>
            </w:tcBorders>
            <w:shd w:val="clear" w:color="000000" w:fill="99CCFF"/>
            <w:vAlign w:val="center"/>
            <w:hideMark/>
          </w:tcPr>
          <w:p w14:paraId="6E5843B7" w14:textId="77777777" w:rsidR="00560226" w:rsidRPr="00E80090" w:rsidRDefault="00560226" w:rsidP="00560226">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Costs ING</w:t>
            </w:r>
          </w:p>
        </w:tc>
        <w:tc>
          <w:tcPr>
            <w:tcW w:w="1344" w:type="dxa"/>
            <w:tcBorders>
              <w:top w:val="single" w:sz="4" w:space="0" w:color="auto"/>
              <w:left w:val="nil"/>
              <w:bottom w:val="single" w:sz="4" w:space="0" w:color="auto"/>
              <w:right w:val="single" w:sz="4" w:space="0" w:color="auto"/>
            </w:tcBorders>
            <w:shd w:val="clear" w:color="000000" w:fill="99CCFF"/>
            <w:vAlign w:val="center"/>
            <w:hideMark/>
          </w:tcPr>
          <w:p w14:paraId="6E5843B8" w14:textId="77777777" w:rsidR="00560226" w:rsidRPr="00E80090" w:rsidRDefault="00560226" w:rsidP="00560226">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Costs Citibank</w:t>
            </w:r>
          </w:p>
        </w:tc>
      </w:tr>
      <w:tr w:rsidR="00560226" w:rsidRPr="00E80090" w14:paraId="6E5843C0" w14:textId="77777777" w:rsidTr="00017B3F">
        <w:trPr>
          <w:trHeight w:val="25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E5843BA" w14:textId="77777777" w:rsidR="00560226" w:rsidRPr="00E80090" w:rsidRDefault="00560226" w:rsidP="0056022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Account maintenance (monthly)</w:t>
            </w:r>
          </w:p>
        </w:tc>
        <w:tc>
          <w:tcPr>
            <w:tcW w:w="1710" w:type="dxa"/>
            <w:tcBorders>
              <w:top w:val="nil"/>
              <w:left w:val="nil"/>
              <w:bottom w:val="single" w:sz="4" w:space="0" w:color="auto"/>
              <w:right w:val="single" w:sz="4" w:space="0" w:color="auto"/>
            </w:tcBorders>
            <w:shd w:val="clear" w:color="auto" w:fill="auto"/>
            <w:vAlign w:val="center"/>
            <w:hideMark/>
          </w:tcPr>
          <w:p w14:paraId="6E5843BB" w14:textId="77777777" w:rsidR="00560226" w:rsidRPr="00E80090" w:rsidRDefault="00560226"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BGN 30</w:t>
            </w:r>
          </w:p>
        </w:tc>
        <w:tc>
          <w:tcPr>
            <w:tcW w:w="1620" w:type="dxa"/>
            <w:tcBorders>
              <w:top w:val="nil"/>
              <w:left w:val="nil"/>
              <w:bottom w:val="single" w:sz="4" w:space="0" w:color="auto"/>
              <w:right w:val="single" w:sz="4" w:space="0" w:color="auto"/>
            </w:tcBorders>
            <w:shd w:val="clear" w:color="auto" w:fill="auto"/>
            <w:vAlign w:val="center"/>
            <w:hideMark/>
          </w:tcPr>
          <w:p w14:paraId="6E5843BC" w14:textId="77777777" w:rsidR="00560226" w:rsidRPr="00E80090" w:rsidRDefault="00560226"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of charge</w:t>
            </w:r>
          </w:p>
        </w:tc>
        <w:tc>
          <w:tcPr>
            <w:tcW w:w="993" w:type="dxa"/>
            <w:tcBorders>
              <w:top w:val="nil"/>
              <w:left w:val="nil"/>
              <w:bottom w:val="single" w:sz="4" w:space="0" w:color="auto"/>
              <w:right w:val="single" w:sz="4" w:space="0" w:color="auto"/>
            </w:tcBorders>
            <w:shd w:val="clear" w:color="auto" w:fill="auto"/>
            <w:vAlign w:val="center"/>
            <w:hideMark/>
          </w:tcPr>
          <w:p w14:paraId="6E5843BD" w14:textId="77777777" w:rsidR="00560226" w:rsidRPr="00E80090" w:rsidRDefault="00560226"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350" w:type="dxa"/>
            <w:tcBorders>
              <w:top w:val="nil"/>
              <w:left w:val="nil"/>
              <w:bottom w:val="single" w:sz="4" w:space="0" w:color="auto"/>
              <w:right w:val="single" w:sz="4" w:space="0" w:color="auto"/>
            </w:tcBorders>
            <w:shd w:val="clear" w:color="auto" w:fill="auto"/>
            <w:noWrap/>
            <w:vAlign w:val="center"/>
            <w:hideMark/>
          </w:tcPr>
          <w:p w14:paraId="6E5843BE" w14:textId="77777777" w:rsidR="00560226" w:rsidRPr="00E80090" w:rsidRDefault="00560226"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€ 184.07 </w:t>
            </w:r>
          </w:p>
        </w:tc>
        <w:tc>
          <w:tcPr>
            <w:tcW w:w="1344" w:type="dxa"/>
            <w:tcBorders>
              <w:top w:val="nil"/>
              <w:left w:val="nil"/>
              <w:bottom w:val="single" w:sz="4" w:space="0" w:color="auto"/>
              <w:right w:val="single" w:sz="4" w:space="0" w:color="auto"/>
            </w:tcBorders>
            <w:shd w:val="clear" w:color="auto" w:fill="auto"/>
            <w:noWrap/>
            <w:vAlign w:val="center"/>
            <w:hideMark/>
          </w:tcPr>
          <w:p w14:paraId="6E5843BF" w14:textId="77777777" w:rsidR="00560226" w:rsidRPr="00E80090" w:rsidRDefault="004A6B38"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r>
      <w:tr w:rsidR="00560226" w:rsidRPr="00E80090" w14:paraId="6E5843C7" w14:textId="77777777" w:rsidTr="00017B3F">
        <w:trPr>
          <w:trHeight w:val="25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E5843C1" w14:textId="77777777" w:rsidR="00560226" w:rsidRPr="00E80090" w:rsidRDefault="00560226" w:rsidP="0056022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Electronic banking (monthly)</w:t>
            </w:r>
          </w:p>
        </w:tc>
        <w:tc>
          <w:tcPr>
            <w:tcW w:w="1710" w:type="dxa"/>
            <w:tcBorders>
              <w:top w:val="nil"/>
              <w:left w:val="nil"/>
              <w:bottom w:val="single" w:sz="4" w:space="0" w:color="auto"/>
              <w:right w:val="single" w:sz="4" w:space="0" w:color="auto"/>
            </w:tcBorders>
            <w:shd w:val="clear" w:color="auto" w:fill="auto"/>
            <w:vAlign w:val="center"/>
            <w:hideMark/>
          </w:tcPr>
          <w:p w14:paraId="6E5843C2" w14:textId="77777777" w:rsidR="00560226" w:rsidRPr="00E80090" w:rsidRDefault="00560226"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BGN 30</w:t>
            </w:r>
          </w:p>
        </w:tc>
        <w:tc>
          <w:tcPr>
            <w:tcW w:w="1620" w:type="dxa"/>
            <w:tcBorders>
              <w:top w:val="nil"/>
              <w:left w:val="nil"/>
              <w:bottom w:val="single" w:sz="4" w:space="0" w:color="auto"/>
              <w:right w:val="single" w:sz="4" w:space="0" w:color="auto"/>
            </w:tcBorders>
            <w:shd w:val="clear" w:color="auto" w:fill="auto"/>
            <w:vAlign w:val="center"/>
            <w:hideMark/>
          </w:tcPr>
          <w:p w14:paraId="6E5843C3" w14:textId="77777777" w:rsidR="00560226" w:rsidRPr="00E80090" w:rsidRDefault="00560226"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of charge</w:t>
            </w:r>
          </w:p>
        </w:tc>
        <w:tc>
          <w:tcPr>
            <w:tcW w:w="993" w:type="dxa"/>
            <w:tcBorders>
              <w:top w:val="nil"/>
              <w:left w:val="nil"/>
              <w:bottom w:val="single" w:sz="4" w:space="0" w:color="auto"/>
              <w:right w:val="single" w:sz="4" w:space="0" w:color="auto"/>
            </w:tcBorders>
            <w:shd w:val="clear" w:color="auto" w:fill="auto"/>
            <w:vAlign w:val="center"/>
            <w:hideMark/>
          </w:tcPr>
          <w:p w14:paraId="6E5843C4" w14:textId="77777777" w:rsidR="00560226" w:rsidRPr="00E80090" w:rsidRDefault="00560226"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350" w:type="dxa"/>
            <w:tcBorders>
              <w:top w:val="nil"/>
              <w:left w:val="nil"/>
              <w:bottom w:val="single" w:sz="4" w:space="0" w:color="auto"/>
              <w:right w:val="single" w:sz="4" w:space="0" w:color="auto"/>
            </w:tcBorders>
            <w:shd w:val="clear" w:color="auto" w:fill="auto"/>
            <w:noWrap/>
            <w:vAlign w:val="center"/>
            <w:hideMark/>
          </w:tcPr>
          <w:p w14:paraId="6E5843C5" w14:textId="77777777" w:rsidR="00560226" w:rsidRPr="00E80090" w:rsidRDefault="00560226"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€ 184.07 </w:t>
            </w:r>
          </w:p>
        </w:tc>
        <w:tc>
          <w:tcPr>
            <w:tcW w:w="1344" w:type="dxa"/>
            <w:tcBorders>
              <w:top w:val="nil"/>
              <w:left w:val="nil"/>
              <w:bottom w:val="single" w:sz="4" w:space="0" w:color="auto"/>
              <w:right w:val="single" w:sz="4" w:space="0" w:color="auto"/>
            </w:tcBorders>
            <w:shd w:val="clear" w:color="auto" w:fill="auto"/>
            <w:noWrap/>
            <w:vAlign w:val="center"/>
            <w:hideMark/>
          </w:tcPr>
          <w:p w14:paraId="6E5843C6" w14:textId="77777777" w:rsidR="00560226" w:rsidRPr="00E80090" w:rsidRDefault="004A6B38"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r>
      <w:tr w:rsidR="00A1788C" w:rsidRPr="00E80090" w14:paraId="6E5843CE" w14:textId="77777777" w:rsidTr="00017B3F">
        <w:trPr>
          <w:trHeight w:val="254"/>
        </w:trPr>
        <w:tc>
          <w:tcPr>
            <w:tcW w:w="2250" w:type="dxa"/>
            <w:tcBorders>
              <w:top w:val="nil"/>
              <w:left w:val="single" w:sz="4" w:space="0" w:color="auto"/>
              <w:bottom w:val="single" w:sz="4" w:space="0" w:color="auto"/>
              <w:right w:val="single" w:sz="4" w:space="0" w:color="auto"/>
            </w:tcBorders>
            <w:shd w:val="clear" w:color="auto" w:fill="auto"/>
            <w:vAlign w:val="center"/>
          </w:tcPr>
          <w:p w14:paraId="6E5843C8" w14:textId="77777777" w:rsidR="00A1788C" w:rsidRPr="00E80090" w:rsidRDefault="00A1788C" w:rsidP="00F3533C">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Incoming</w:t>
            </w:r>
            <w:r w:rsidR="00F3533C" w:rsidRPr="00E80090">
              <w:rPr>
                <w:rFonts w:asciiTheme="majorHAnsi" w:eastAsia="Times New Roman" w:hAnsiTheme="majorHAnsi" w:cs="Arial"/>
                <w:sz w:val="21"/>
                <w:szCs w:val="21"/>
                <w:lang w:val="en-GB" w:eastAsia="en-US"/>
              </w:rPr>
              <w:t xml:space="preserve"> BGN payments</w:t>
            </w:r>
          </w:p>
        </w:tc>
        <w:tc>
          <w:tcPr>
            <w:tcW w:w="1710" w:type="dxa"/>
            <w:tcBorders>
              <w:top w:val="nil"/>
              <w:left w:val="nil"/>
              <w:bottom w:val="single" w:sz="4" w:space="0" w:color="auto"/>
              <w:right w:val="single" w:sz="4" w:space="0" w:color="auto"/>
            </w:tcBorders>
            <w:shd w:val="clear" w:color="auto" w:fill="auto"/>
            <w:vAlign w:val="center"/>
          </w:tcPr>
          <w:p w14:paraId="6E5843C9"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of charge</w:t>
            </w:r>
          </w:p>
        </w:tc>
        <w:tc>
          <w:tcPr>
            <w:tcW w:w="1620" w:type="dxa"/>
            <w:tcBorders>
              <w:top w:val="nil"/>
              <w:left w:val="nil"/>
              <w:bottom w:val="single" w:sz="4" w:space="0" w:color="auto"/>
              <w:right w:val="single" w:sz="4" w:space="0" w:color="auto"/>
            </w:tcBorders>
            <w:shd w:val="clear" w:color="auto" w:fill="auto"/>
            <w:vAlign w:val="center"/>
          </w:tcPr>
          <w:p w14:paraId="6E5843CA" w14:textId="77777777" w:rsidR="00A1788C" w:rsidRPr="00E80090" w:rsidRDefault="00A1788C" w:rsidP="0049152E">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Free of charge</w:t>
            </w:r>
          </w:p>
        </w:tc>
        <w:tc>
          <w:tcPr>
            <w:tcW w:w="993" w:type="dxa"/>
            <w:tcBorders>
              <w:top w:val="nil"/>
              <w:left w:val="nil"/>
              <w:bottom w:val="single" w:sz="4" w:space="0" w:color="auto"/>
              <w:right w:val="single" w:sz="4" w:space="0" w:color="auto"/>
            </w:tcBorders>
            <w:shd w:val="clear" w:color="auto" w:fill="auto"/>
            <w:vAlign w:val="center"/>
          </w:tcPr>
          <w:p w14:paraId="6E5843CB"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p>
        </w:tc>
        <w:tc>
          <w:tcPr>
            <w:tcW w:w="1350" w:type="dxa"/>
            <w:tcBorders>
              <w:top w:val="nil"/>
              <w:left w:val="nil"/>
              <w:bottom w:val="single" w:sz="4" w:space="0" w:color="auto"/>
              <w:right w:val="single" w:sz="4" w:space="0" w:color="auto"/>
            </w:tcBorders>
            <w:shd w:val="clear" w:color="auto" w:fill="auto"/>
            <w:noWrap/>
            <w:vAlign w:val="center"/>
          </w:tcPr>
          <w:p w14:paraId="6E5843CC" w14:textId="77777777" w:rsidR="00A1788C" w:rsidRPr="00E80090" w:rsidRDefault="00A1788C" w:rsidP="0049475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c>
          <w:tcPr>
            <w:tcW w:w="1344" w:type="dxa"/>
            <w:tcBorders>
              <w:top w:val="nil"/>
              <w:left w:val="nil"/>
              <w:bottom w:val="single" w:sz="4" w:space="0" w:color="auto"/>
              <w:right w:val="single" w:sz="4" w:space="0" w:color="auto"/>
            </w:tcBorders>
            <w:shd w:val="clear" w:color="auto" w:fill="auto"/>
            <w:noWrap/>
            <w:vAlign w:val="center"/>
          </w:tcPr>
          <w:p w14:paraId="6E5843CD" w14:textId="77777777" w:rsidR="00A1788C" w:rsidRPr="00E80090" w:rsidRDefault="00A1788C" w:rsidP="004952A2">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r>
      <w:tr w:rsidR="00A1788C" w:rsidRPr="00E80090" w14:paraId="6E5843D5" w14:textId="77777777" w:rsidTr="00017B3F">
        <w:trPr>
          <w:trHeight w:val="25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E5843CF" w14:textId="77777777" w:rsidR="00A1788C" w:rsidRPr="00E80090" w:rsidRDefault="001C3E20" w:rsidP="001C3E20">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Outgoing</w:t>
            </w:r>
            <w:r w:rsidR="00A1788C" w:rsidRPr="00E80090">
              <w:rPr>
                <w:rFonts w:asciiTheme="majorHAnsi" w:eastAsia="Times New Roman" w:hAnsiTheme="majorHAnsi" w:cs="Arial"/>
                <w:sz w:val="21"/>
                <w:szCs w:val="21"/>
                <w:lang w:val="en-GB" w:eastAsia="en-US"/>
              </w:rPr>
              <w:t xml:space="preserve"> </w:t>
            </w:r>
            <w:r w:rsidRPr="00E80090">
              <w:rPr>
                <w:rFonts w:asciiTheme="majorHAnsi" w:eastAsia="Times New Roman" w:hAnsiTheme="majorHAnsi" w:cs="Arial"/>
                <w:sz w:val="21"/>
                <w:szCs w:val="21"/>
                <w:lang w:val="en-GB" w:eastAsia="en-US"/>
              </w:rPr>
              <w:t>BGN payments</w:t>
            </w:r>
          </w:p>
        </w:tc>
        <w:tc>
          <w:tcPr>
            <w:tcW w:w="1710" w:type="dxa"/>
            <w:tcBorders>
              <w:top w:val="nil"/>
              <w:left w:val="nil"/>
              <w:bottom w:val="single" w:sz="4" w:space="0" w:color="auto"/>
              <w:right w:val="single" w:sz="4" w:space="0" w:color="auto"/>
            </w:tcBorders>
            <w:shd w:val="clear" w:color="auto" w:fill="auto"/>
            <w:vAlign w:val="center"/>
            <w:hideMark/>
          </w:tcPr>
          <w:p w14:paraId="6E5843D0"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BGN 0.80</w:t>
            </w:r>
          </w:p>
        </w:tc>
        <w:tc>
          <w:tcPr>
            <w:tcW w:w="1620" w:type="dxa"/>
            <w:tcBorders>
              <w:top w:val="nil"/>
              <w:left w:val="nil"/>
              <w:bottom w:val="single" w:sz="4" w:space="0" w:color="auto"/>
              <w:right w:val="single" w:sz="4" w:space="0" w:color="auto"/>
            </w:tcBorders>
            <w:shd w:val="clear" w:color="auto" w:fill="auto"/>
            <w:vAlign w:val="center"/>
            <w:hideMark/>
          </w:tcPr>
          <w:p w14:paraId="6E5843D1"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BGN 0.60</w:t>
            </w:r>
          </w:p>
        </w:tc>
        <w:tc>
          <w:tcPr>
            <w:tcW w:w="993" w:type="dxa"/>
            <w:tcBorders>
              <w:top w:val="nil"/>
              <w:left w:val="nil"/>
              <w:bottom w:val="single" w:sz="4" w:space="0" w:color="auto"/>
              <w:right w:val="single" w:sz="4" w:space="0" w:color="auto"/>
            </w:tcBorders>
            <w:shd w:val="clear" w:color="auto" w:fill="auto"/>
            <w:vAlign w:val="center"/>
            <w:hideMark/>
          </w:tcPr>
          <w:p w14:paraId="6E5843D2"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148</w:t>
            </w:r>
          </w:p>
        </w:tc>
        <w:tc>
          <w:tcPr>
            <w:tcW w:w="1350" w:type="dxa"/>
            <w:tcBorders>
              <w:top w:val="nil"/>
              <w:left w:val="nil"/>
              <w:bottom w:val="single" w:sz="4" w:space="0" w:color="auto"/>
              <w:right w:val="single" w:sz="4" w:space="0" w:color="auto"/>
            </w:tcBorders>
            <w:shd w:val="clear" w:color="auto" w:fill="auto"/>
            <w:noWrap/>
            <w:vAlign w:val="center"/>
            <w:hideMark/>
          </w:tcPr>
          <w:p w14:paraId="6E5843D3" w14:textId="77777777" w:rsidR="00A1788C" w:rsidRPr="00E80090" w:rsidRDefault="00A1788C" w:rsidP="0049475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€ 60.54 </w:t>
            </w:r>
          </w:p>
        </w:tc>
        <w:tc>
          <w:tcPr>
            <w:tcW w:w="1344" w:type="dxa"/>
            <w:tcBorders>
              <w:top w:val="nil"/>
              <w:left w:val="nil"/>
              <w:bottom w:val="single" w:sz="4" w:space="0" w:color="auto"/>
              <w:right w:val="single" w:sz="4" w:space="0" w:color="auto"/>
            </w:tcBorders>
            <w:shd w:val="clear" w:color="auto" w:fill="auto"/>
            <w:noWrap/>
            <w:vAlign w:val="center"/>
            <w:hideMark/>
          </w:tcPr>
          <w:p w14:paraId="6E5843D4" w14:textId="77777777" w:rsidR="00A1788C" w:rsidRPr="00E80090" w:rsidRDefault="00A1788C" w:rsidP="004952A2">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€ 45.40</w:t>
            </w:r>
          </w:p>
        </w:tc>
      </w:tr>
      <w:tr w:rsidR="00A1788C" w:rsidRPr="00E80090" w14:paraId="6E5843DC" w14:textId="77777777" w:rsidTr="00017B3F">
        <w:trPr>
          <w:trHeight w:val="552"/>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E5843D6" w14:textId="77777777" w:rsidR="00A1788C" w:rsidRPr="00E80090" w:rsidRDefault="00A1788C" w:rsidP="0016363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Outgoing FCY payments</w:t>
            </w:r>
          </w:p>
        </w:tc>
        <w:tc>
          <w:tcPr>
            <w:tcW w:w="1710" w:type="dxa"/>
            <w:tcBorders>
              <w:top w:val="nil"/>
              <w:left w:val="nil"/>
              <w:bottom w:val="single" w:sz="4" w:space="0" w:color="auto"/>
              <w:right w:val="single" w:sz="4" w:space="0" w:color="auto"/>
            </w:tcBorders>
            <w:shd w:val="clear" w:color="auto" w:fill="auto"/>
            <w:vAlign w:val="center"/>
            <w:hideMark/>
          </w:tcPr>
          <w:p w14:paraId="6E5843D7" w14:textId="77777777" w:rsidR="00A1788C" w:rsidRPr="00E80090" w:rsidRDefault="0095640E"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0.1</w:t>
            </w:r>
            <w:r w:rsidR="00A1788C" w:rsidRPr="00E80090">
              <w:rPr>
                <w:rFonts w:asciiTheme="majorHAnsi" w:eastAsia="Times New Roman" w:hAnsiTheme="majorHAnsi" w:cs="Arial"/>
                <w:sz w:val="21"/>
                <w:szCs w:val="21"/>
                <w:lang w:val="en-GB" w:eastAsia="en-US"/>
              </w:rPr>
              <w:t>% (min € 20.00- max € 200.00)</w:t>
            </w:r>
          </w:p>
        </w:tc>
        <w:tc>
          <w:tcPr>
            <w:tcW w:w="1620" w:type="dxa"/>
            <w:tcBorders>
              <w:top w:val="nil"/>
              <w:left w:val="nil"/>
              <w:bottom w:val="single" w:sz="4" w:space="0" w:color="auto"/>
              <w:right w:val="single" w:sz="4" w:space="0" w:color="auto"/>
            </w:tcBorders>
            <w:shd w:val="clear" w:color="auto" w:fill="auto"/>
            <w:vAlign w:val="center"/>
            <w:hideMark/>
          </w:tcPr>
          <w:p w14:paraId="6E5843D8"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€ 30</w:t>
            </w:r>
          </w:p>
        </w:tc>
        <w:tc>
          <w:tcPr>
            <w:tcW w:w="993" w:type="dxa"/>
            <w:tcBorders>
              <w:top w:val="nil"/>
              <w:left w:val="nil"/>
              <w:bottom w:val="single" w:sz="4" w:space="0" w:color="auto"/>
              <w:right w:val="single" w:sz="4" w:space="0" w:color="auto"/>
            </w:tcBorders>
            <w:shd w:val="clear" w:color="auto" w:fill="auto"/>
            <w:vAlign w:val="center"/>
            <w:hideMark/>
          </w:tcPr>
          <w:p w14:paraId="6E5843D9" w14:textId="77777777" w:rsidR="00A1788C" w:rsidRPr="00E80090" w:rsidRDefault="00A1788C" w:rsidP="00560226">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137</w:t>
            </w:r>
          </w:p>
        </w:tc>
        <w:tc>
          <w:tcPr>
            <w:tcW w:w="1350" w:type="dxa"/>
            <w:tcBorders>
              <w:top w:val="nil"/>
              <w:left w:val="nil"/>
              <w:bottom w:val="single" w:sz="4" w:space="0" w:color="auto"/>
              <w:right w:val="single" w:sz="4" w:space="0" w:color="auto"/>
            </w:tcBorders>
            <w:shd w:val="clear" w:color="auto" w:fill="auto"/>
            <w:noWrap/>
            <w:vAlign w:val="center"/>
            <w:hideMark/>
          </w:tcPr>
          <w:p w14:paraId="6E5843DA"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€ 3,292.00 </w:t>
            </w:r>
          </w:p>
        </w:tc>
        <w:tc>
          <w:tcPr>
            <w:tcW w:w="1344" w:type="dxa"/>
            <w:tcBorders>
              <w:top w:val="nil"/>
              <w:left w:val="nil"/>
              <w:bottom w:val="single" w:sz="4" w:space="0" w:color="auto"/>
              <w:right w:val="single" w:sz="4" w:space="0" w:color="auto"/>
            </w:tcBorders>
            <w:shd w:val="clear" w:color="auto" w:fill="auto"/>
            <w:noWrap/>
            <w:vAlign w:val="center"/>
            <w:hideMark/>
          </w:tcPr>
          <w:p w14:paraId="6E5843DB"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€ 4,110.00 </w:t>
            </w:r>
          </w:p>
        </w:tc>
      </w:tr>
      <w:tr w:rsidR="00A1788C" w:rsidRPr="00E80090" w14:paraId="6E5843E3" w14:textId="77777777" w:rsidTr="00017B3F">
        <w:trPr>
          <w:trHeight w:val="507"/>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E5843DD" w14:textId="77777777" w:rsidR="00A1788C" w:rsidRPr="00E80090" w:rsidRDefault="00A1788C" w:rsidP="0056022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Withdrawal in BGN</w:t>
            </w:r>
          </w:p>
        </w:tc>
        <w:tc>
          <w:tcPr>
            <w:tcW w:w="1710" w:type="dxa"/>
            <w:tcBorders>
              <w:top w:val="nil"/>
              <w:left w:val="nil"/>
              <w:bottom w:val="single" w:sz="4" w:space="0" w:color="auto"/>
              <w:right w:val="single" w:sz="4" w:space="0" w:color="auto"/>
            </w:tcBorders>
            <w:shd w:val="clear" w:color="auto" w:fill="auto"/>
            <w:vAlign w:val="center"/>
            <w:hideMark/>
          </w:tcPr>
          <w:p w14:paraId="6E5843DE"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0.3% for sorted notes; 1% do unsorted</w:t>
            </w:r>
          </w:p>
        </w:tc>
        <w:tc>
          <w:tcPr>
            <w:tcW w:w="1620" w:type="dxa"/>
            <w:tcBorders>
              <w:top w:val="nil"/>
              <w:left w:val="nil"/>
              <w:bottom w:val="single" w:sz="4" w:space="0" w:color="auto"/>
              <w:right w:val="single" w:sz="4" w:space="0" w:color="auto"/>
            </w:tcBorders>
            <w:shd w:val="clear" w:color="auto" w:fill="auto"/>
            <w:vAlign w:val="center"/>
            <w:hideMark/>
          </w:tcPr>
          <w:p w14:paraId="6E5843DF"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0.3% min. BGN 5</w:t>
            </w:r>
          </w:p>
        </w:tc>
        <w:tc>
          <w:tcPr>
            <w:tcW w:w="993" w:type="dxa"/>
            <w:tcBorders>
              <w:top w:val="nil"/>
              <w:left w:val="nil"/>
              <w:bottom w:val="single" w:sz="4" w:space="0" w:color="auto"/>
              <w:right w:val="single" w:sz="4" w:space="0" w:color="auto"/>
            </w:tcBorders>
            <w:shd w:val="clear" w:color="auto" w:fill="auto"/>
            <w:vAlign w:val="center"/>
            <w:hideMark/>
          </w:tcPr>
          <w:p w14:paraId="6E5843E0"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BGN 500x12</w:t>
            </w:r>
          </w:p>
        </w:tc>
        <w:tc>
          <w:tcPr>
            <w:tcW w:w="1350" w:type="dxa"/>
            <w:tcBorders>
              <w:top w:val="nil"/>
              <w:left w:val="nil"/>
              <w:bottom w:val="single" w:sz="4" w:space="0" w:color="auto"/>
              <w:right w:val="single" w:sz="4" w:space="0" w:color="auto"/>
            </w:tcBorders>
            <w:shd w:val="clear" w:color="auto" w:fill="auto"/>
            <w:noWrap/>
            <w:vAlign w:val="center"/>
            <w:hideMark/>
          </w:tcPr>
          <w:p w14:paraId="6E5843E1"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€ 30.68 </w:t>
            </w:r>
          </w:p>
        </w:tc>
        <w:tc>
          <w:tcPr>
            <w:tcW w:w="1344" w:type="dxa"/>
            <w:tcBorders>
              <w:top w:val="nil"/>
              <w:left w:val="nil"/>
              <w:bottom w:val="single" w:sz="4" w:space="0" w:color="auto"/>
              <w:right w:val="single" w:sz="4" w:space="0" w:color="auto"/>
            </w:tcBorders>
            <w:shd w:val="clear" w:color="auto" w:fill="auto"/>
            <w:noWrap/>
            <w:vAlign w:val="center"/>
            <w:hideMark/>
          </w:tcPr>
          <w:p w14:paraId="6E5843E2"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€ 30.68 </w:t>
            </w:r>
          </w:p>
        </w:tc>
      </w:tr>
      <w:tr w:rsidR="00A1788C" w:rsidRPr="00E80090" w14:paraId="6E5843EA" w14:textId="77777777" w:rsidTr="00017B3F">
        <w:trPr>
          <w:trHeight w:val="254"/>
        </w:trPr>
        <w:tc>
          <w:tcPr>
            <w:tcW w:w="2250" w:type="dxa"/>
            <w:tcBorders>
              <w:top w:val="nil"/>
              <w:left w:val="single" w:sz="4" w:space="0" w:color="auto"/>
              <w:bottom w:val="single" w:sz="4" w:space="0" w:color="auto"/>
              <w:right w:val="single" w:sz="4" w:space="0" w:color="auto"/>
            </w:tcBorders>
            <w:shd w:val="clear" w:color="auto" w:fill="auto"/>
            <w:vAlign w:val="center"/>
            <w:hideMark/>
          </w:tcPr>
          <w:p w14:paraId="6E5843E4" w14:textId="77777777" w:rsidR="00A1788C" w:rsidRPr="00E80090" w:rsidRDefault="00A1788C" w:rsidP="0056022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Account statements (monthly)</w:t>
            </w:r>
          </w:p>
        </w:tc>
        <w:tc>
          <w:tcPr>
            <w:tcW w:w="1710" w:type="dxa"/>
            <w:tcBorders>
              <w:top w:val="nil"/>
              <w:left w:val="nil"/>
              <w:bottom w:val="single" w:sz="4" w:space="0" w:color="auto"/>
              <w:right w:val="single" w:sz="4" w:space="0" w:color="auto"/>
            </w:tcBorders>
            <w:shd w:val="clear" w:color="auto" w:fill="auto"/>
            <w:vAlign w:val="center"/>
            <w:hideMark/>
          </w:tcPr>
          <w:p w14:paraId="6E5843E5"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of charge</w:t>
            </w:r>
          </w:p>
        </w:tc>
        <w:tc>
          <w:tcPr>
            <w:tcW w:w="1620" w:type="dxa"/>
            <w:tcBorders>
              <w:top w:val="nil"/>
              <w:left w:val="nil"/>
              <w:bottom w:val="single" w:sz="4" w:space="0" w:color="auto"/>
              <w:right w:val="single" w:sz="4" w:space="0" w:color="auto"/>
            </w:tcBorders>
            <w:shd w:val="clear" w:color="000000" w:fill="FFFFFF"/>
            <w:vAlign w:val="center"/>
            <w:hideMark/>
          </w:tcPr>
          <w:p w14:paraId="6E5843E6"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BGN 20</w:t>
            </w:r>
          </w:p>
        </w:tc>
        <w:tc>
          <w:tcPr>
            <w:tcW w:w="993" w:type="dxa"/>
            <w:tcBorders>
              <w:top w:val="nil"/>
              <w:left w:val="nil"/>
              <w:bottom w:val="single" w:sz="4" w:space="0" w:color="auto"/>
              <w:right w:val="single" w:sz="4" w:space="0" w:color="auto"/>
            </w:tcBorders>
            <w:shd w:val="clear" w:color="000000" w:fill="FFFFFF"/>
            <w:vAlign w:val="center"/>
            <w:hideMark/>
          </w:tcPr>
          <w:p w14:paraId="6E5843E7"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350" w:type="dxa"/>
            <w:tcBorders>
              <w:top w:val="nil"/>
              <w:left w:val="nil"/>
              <w:bottom w:val="single" w:sz="4" w:space="0" w:color="auto"/>
              <w:right w:val="single" w:sz="4" w:space="0" w:color="auto"/>
            </w:tcBorders>
            <w:shd w:val="clear" w:color="auto" w:fill="auto"/>
            <w:noWrap/>
            <w:vAlign w:val="center"/>
            <w:hideMark/>
          </w:tcPr>
          <w:p w14:paraId="6E5843E8"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c>
          <w:tcPr>
            <w:tcW w:w="1344" w:type="dxa"/>
            <w:tcBorders>
              <w:top w:val="nil"/>
              <w:left w:val="nil"/>
              <w:bottom w:val="single" w:sz="4" w:space="0" w:color="auto"/>
              <w:right w:val="single" w:sz="4" w:space="0" w:color="auto"/>
            </w:tcBorders>
            <w:shd w:val="clear" w:color="auto" w:fill="auto"/>
            <w:noWrap/>
            <w:vAlign w:val="center"/>
            <w:hideMark/>
          </w:tcPr>
          <w:p w14:paraId="6E5843E9" w14:textId="77777777" w:rsidR="00A1788C" w:rsidRPr="00E80090" w:rsidRDefault="00A1788C" w:rsidP="0056022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€ 122.71 </w:t>
            </w:r>
          </w:p>
        </w:tc>
      </w:tr>
      <w:tr w:rsidR="00A1788C" w:rsidRPr="00E80090" w14:paraId="6E5843F1" w14:textId="77777777" w:rsidTr="00017B3F">
        <w:trPr>
          <w:trHeight w:val="254"/>
        </w:trPr>
        <w:tc>
          <w:tcPr>
            <w:tcW w:w="2250" w:type="dxa"/>
            <w:tcBorders>
              <w:top w:val="nil"/>
              <w:left w:val="nil"/>
              <w:bottom w:val="nil"/>
              <w:right w:val="nil"/>
            </w:tcBorders>
            <w:shd w:val="clear" w:color="auto" w:fill="auto"/>
            <w:noWrap/>
            <w:vAlign w:val="bottom"/>
            <w:hideMark/>
          </w:tcPr>
          <w:p w14:paraId="6E5843EB" w14:textId="77777777" w:rsidR="00A1788C" w:rsidRPr="00E80090" w:rsidRDefault="00A1788C" w:rsidP="00560226">
            <w:pPr>
              <w:rPr>
                <w:rFonts w:asciiTheme="majorHAnsi" w:eastAsia="Times New Roman" w:hAnsiTheme="majorHAnsi" w:cs="Arial"/>
                <w:sz w:val="21"/>
                <w:szCs w:val="21"/>
                <w:lang w:val="en-GB" w:eastAsia="en-US"/>
              </w:rPr>
            </w:pPr>
          </w:p>
        </w:tc>
        <w:tc>
          <w:tcPr>
            <w:tcW w:w="1710" w:type="dxa"/>
            <w:tcBorders>
              <w:top w:val="nil"/>
              <w:left w:val="nil"/>
              <w:bottom w:val="nil"/>
              <w:right w:val="nil"/>
            </w:tcBorders>
            <w:shd w:val="clear" w:color="auto" w:fill="auto"/>
            <w:vAlign w:val="center"/>
            <w:hideMark/>
          </w:tcPr>
          <w:p w14:paraId="6E5843EC" w14:textId="77777777" w:rsidR="00A1788C" w:rsidRPr="00E80090" w:rsidRDefault="00A1788C" w:rsidP="00560226">
            <w:pPr>
              <w:rPr>
                <w:rFonts w:asciiTheme="majorHAnsi" w:eastAsia="Times New Roman" w:hAnsiTheme="majorHAnsi" w:cs="Arial"/>
                <w:sz w:val="21"/>
                <w:szCs w:val="21"/>
                <w:lang w:val="en-GB" w:eastAsia="en-US"/>
              </w:rPr>
            </w:pPr>
          </w:p>
        </w:tc>
        <w:tc>
          <w:tcPr>
            <w:tcW w:w="1620" w:type="dxa"/>
            <w:tcBorders>
              <w:top w:val="nil"/>
              <w:left w:val="nil"/>
              <w:bottom w:val="nil"/>
              <w:right w:val="nil"/>
            </w:tcBorders>
            <w:shd w:val="clear" w:color="auto" w:fill="auto"/>
            <w:vAlign w:val="center"/>
            <w:hideMark/>
          </w:tcPr>
          <w:p w14:paraId="6E5843ED" w14:textId="77777777" w:rsidR="00A1788C" w:rsidRPr="00E80090" w:rsidRDefault="00A1788C" w:rsidP="00560226">
            <w:pPr>
              <w:rPr>
                <w:rFonts w:asciiTheme="majorHAnsi" w:eastAsia="Times New Roman" w:hAnsiTheme="majorHAnsi" w:cs="Arial"/>
                <w:sz w:val="21"/>
                <w:szCs w:val="21"/>
                <w:lang w:val="en-GB" w:eastAsia="en-US"/>
              </w:rPr>
            </w:pPr>
          </w:p>
        </w:tc>
        <w:tc>
          <w:tcPr>
            <w:tcW w:w="993" w:type="dxa"/>
            <w:tcBorders>
              <w:top w:val="nil"/>
              <w:left w:val="nil"/>
              <w:bottom w:val="nil"/>
              <w:right w:val="single" w:sz="4" w:space="0" w:color="auto"/>
            </w:tcBorders>
            <w:shd w:val="clear" w:color="auto" w:fill="auto"/>
            <w:vAlign w:val="center"/>
            <w:hideMark/>
          </w:tcPr>
          <w:p w14:paraId="6E5843EE" w14:textId="77777777" w:rsidR="00A1788C" w:rsidRPr="00E80090" w:rsidRDefault="00A1788C" w:rsidP="00560226">
            <w:pPr>
              <w:rPr>
                <w:rFonts w:asciiTheme="majorHAnsi" w:eastAsia="Times New Roman" w:hAnsiTheme="majorHAnsi" w:cs="Arial"/>
                <w:sz w:val="21"/>
                <w:szCs w:val="21"/>
                <w:lang w:val="en-GB" w:eastAsia="en-US"/>
              </w:rPr>
            </w:pPr>
          </w:p>
        </w:tc>
        <w:tc>
          <w:tcPr>
            <w:tcW w:w="135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5843EF" w14:textId="77777777" w:rsidR="00A1788C" w:rsidRPr="00E80090" w:rsidRDefault="00A1788C" w:rsidP="004952A2">
            <w:pP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 xml:space="preserve"> € 3,751.35 </w:t>
            </w:r>
          </w:p>
        </w:tc>
        <w:tc>
          <w:tcPr>
            <w:tcW w:w="1344" w:type="dxa"/>
            <w:tcBorders>
              <w:top w:val="nil"/>
              <w:left w:val="nil"/>
              <w:bottom w:val="single" w:sz="4" w:space="0" w:color="auto"/>
              <w:right w:val="single" w:sz="4" w:space="0" w:color="auto"/>
            </w:tcBorders>
            <w:shd w:val="clear" w:color="000000" w:fill="92D050"/>
            <w:noWrap/>
            <w:vAlign w:val="bottom"/>
            <w:hideMark/>
          </w:tcPr>
          <w:p w14:paraId="6E5843F0" w14:textId="77777777" w:rsidR="00A1788C" w:rsidRPr="00E80090" w:rsidRDefault="00A1788C" w:rsidP="004952A2">
            <w:pP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 xml:space="preserve"> € 4,308.79 </w:t>
            </w:r>
          </w:p>
        </w:tc>
      </w:tr>
    </w:tbl>
    <w:p w14:paraId="6E5843F2" w14:textId="77777777" w:rsidR="00560226" w:rsidRPr="00E80090" w:rsidRDefault="00560226" w:rsidP="00C131C5">
      <w:pPr>
        <w:rPr>
          <w:rFonts w:asciiTheme="majorHAnsi" w:hAnsiTheme="majorHAnsi"/>
          <w:lang w:val="en-GB"/>
        </w:rPr>
      </w:pPr>
      <w:r w:rsidRPr="00E80090">
        <w:rPr>
          <w:rFonts w:asciiTheme="majorHAnsi" w:hAnsiTheme="majorHAnsi"/>
          <w:lang w:val="en-GB"/>
        </w:rPr>
        <w:t xml:space="preserve"> </w:t>
      </w:r>
    </w:p>
    <w:p w14:paraId="6E5843F3" w14:textId="77777777" w:rsidR="00560226" w:rsidRPr="00E80090" w:rsidRDefault="003D0C1E" w:rsidP="0051034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The fees for outgoing foreign currency payments of ING bank have a percentage component and a fixed minimum. </w:t>
      </w:r>
      <w:r w:rsidR="0051034B" w:rsidRPr="00E80090">
        <w:rPr>
          <w:rFonts w:asciiTheme="majorHAnsi" w:hAnsiTheme="majorHAnsi" w:cs="Cambria"/>
          <w:lang w:val="en-GB" w:eastAsia="en-US"/>
        </w:rPr>
        <w:t xml:space="preserve">Therefore, </w:t>
      </w:r>
      <w:r w:rsidR="00625471" w:rsidRPr="00E80090">
        <w:rPr>
          <w:rFonts w:asciiTheme="majorHAnsi" w:hAnsiTheme="majorHAnsi" w:cs="Cambria"/>
          <w:lang w:val="en-GB" w:eastAsia="en-US"/>
        </w:rPr>
        <w:t xml:space="preserve">for </w:t>
      </w:r>
      <w:r w:rsidR="0051034B" w:rsidRPr="00E80090">
        <w:rPr>
          <w:rFonts w:asciiTheme="majorHAnsi" w:hAnsiTheme="majorHAnsi" w:cs="Cambria"/>
          <w:lang w:val="en-GB" w:eastAsia="en-US"/>
        </w:rPr>
        <w:t xml:space="preserve">the </w:t>
      </w:r>
      <w:r w:rsidR="00625471" w:rsidRPr="00E80090">
        <w:rPr>
          <w:rFonts w:asciiTheme="majorHAnsi" w:hAnsiTheme="majorHAnsi" w:cs="Cambria"/>
          <w:lang w:val="en-GB" w:eastAsia="en-US"/>
        </w:rPr>
        <w:t xml:space="preserve">payments below EUR 20,000 a standard EUR 20 fee is applied. </w:t>
      </w:r>
      <w:r w:rsidR="00D3623E" w:rsidRPr="00E80090">
        <w:rPr>
          <w:rFonts w:asciiTheme="majorHAnsi" w:hAnsiTheme="majorHAnsi" w:cs="Cambria"/>
          <w:lang w:val="en-GB" w:eastAsia="en-US"/>
        </w:rPr>
        <w:t xml:space="preserve">In 2012 there were 126 with a lower amount. </w:t>
      </w:r>
      <w:r w:rsidR="00625471" w:rsidRPr="00E80090">
        <w:rPr>
          <w:rFonts w:asciiTheme="majorHAnsi" w:hAnsiTheme="majorHAnsi" w:cs="Cambria"/>
          <w:lang w:val="en-GB" w:eastAsia="en-US"/>
        </w:rPr>
        <w:t>On the other hand, for payments above that threshold</w:t>
      </w:r>
      <w:r w:rsidR="0095640E" w:rsidRPr="00E80090">
        <w:rPr>
          <w:rFonts w:asciiTheme="majorHAnsi" w:hAnsiTheme="majorHAnsi" w:cs="Cambria"/>
          <w:lang w:val="en-GB" w:eastAsia="en-US"/>
        </w:rPr>
        <w:t xml:space="preserve"> the charge is 0.1% of the amount</w:t>
      </w:r>
      <w:r w:rsidR="008161C4" w:rsidRPr="00E80090">
        <w:rPr>
          <w:rFonts w:asciiTheme="majorHAnsi" w:hAnsiTheme="majorHAnsi" w:cs="Cambria"/>
          <w:lang w:val="en-GB" w:eastAsia="en-US"/>
        </w:rPr>
        <w:t xml:space="preserve"> and the sum of all transaction with a higher value is EUR 772,000. </w:t>
      </w:r>
      <w:r w:rsidR="00492604" w:rsidRPr="00E80090">
        <w:rPr>
          <w:rFonts w:asciiTheme="majorHAnsi" w:hAnsiTheme="majorHAnsi" w:cs="Cambria"/>
          <w:lang w:val="en-GB" w:eastAsia="en-US"/>
        </w:rPr>
        <w:t>Consequently, the total cost with ING bank for that component would be equal to EUR 3,292.</w:t>
      </w:r>
    </w:p>
    <w:p w14:paraId="6E5843F4" w14:textId="77777777" w:rsidR="005F7A42" w:rsidRPr="00E80090" w:rsidRDefault="005F7A42" w:rsidP="00766EE0">
      <w:pPr>
        <w:pStyle w:val="Lijstalinea"/>
        <w:numPr>
          <w:ilvl w:val="0"/>
          <w:numId w:val="28"/>
        </w:numPr>
        <w:spacing w:line="360" w:lineRule="auto"/>
        <w:jc w:val="both"/>
        <w:rPr>
          <w:rFonts w:asciiTheme="majorHAnsi" w:hAnsiTheme="majorHAnsi" w:cs="Cambria"/>
          <w:b/>
          <w:lang w:val="en-GB"/>
        </w:rPr>
      </w:pPr>
      <w:r w:rsidRPr="00E80090">
        <w:rPr>
          <w:rFonts w:asciiTheme="majorHAnsi" w:hAnsiTheme="majorHAnsi" w:cs="Cambria"/>
          <w:b/>
          <w:sz w:val="26"/>
          <w:szCs w:val="26"/>
          <w:lang w:val="en-GB"/>
        </w:rPr>
        <w:lastRenderedPageBreak/>
        <w:t>Romania</w:t>
      </w:r>
    </w:p>
    <w:p w14:paraId="6E5843F5" w14:textId="77777777" w:rsidR="00766EE0" w:rsidRPr="00E80090" w:rsidRDefault="0021007F" w:rsidP="00766EE0">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For the Romanian entity </w:t>
      </w:r>
      <w:r w:rsidR="00766EE0" w:rsidRPr="00E80090">
        <w:rPr>
          <w:rFonts w:asciiTheme="majorHAnsi" w:hAnsiTheme="majorHAnsi" w:cs="Cambria"/>
          <w:lang w:val="en-GB" w:eastAsia="en-US"/>
        </w:rPr>
        <w:t xml:space="preserve">a EUR/RON exchange rate of 4.5318 (Bloomberg, 24 June 2013) was </w:t>
      </w:r>
      <w:r w:rsidR="003B336A" w:rsidRPr="00E80090">
        <w:rPr>
          <w:rFonts w:asciiTheme="majorHAnsi" w:hAnsiTheme="majorHAnsi" w:cs="Cambria"/>
          <w:lang w:val="en-GB" w:eastAsia="en-US"/>
        </w:rPr>
        <w:t>applied</w:t>
      </w:r>
      <w:r w:rsidR="00766EE0" w:rsidRPr="00E80090">
        <w:rPr>
          <w:rFonts w:asciiTheme="majorHAnsi" w:hAnsiTheme="majorHAnsi" w:cs="Cambria"/>
          <w:lang w:val="en-GB" w:eastAsia="en-US"/>
        </w:rPr>
        <w:t>.</w:t>
      </w:r>
      <w:r w:rsidR="00D5731D" w:rsidRPr="00E80090">
        <w:rPr>
          <w:rFonts w:asciiTheme="majorHAnsi" w:hAnsiTheme="majorHAnsi" w:cs="Cambria"/>
          <w:lang w:val="en-GB" w:eastAsia="en-US"/>
        </w:rPr>
        <w:t xml:space="preserve"> </w:t>
      </w:r>
      <w:r w:rsidR="00063610" w:rsidRPr="00E80090">
        <w:rPr>
          <w:rFonts w:asciiTheme="majorHAnsi" w:hAnsiTheme="majorHAnsi" w:cs="Cambria"/>
          <w:lang w:val="en-GB" w:eastAsia="en-US"/>
        </w:rPr>
        <w:t xml:space="preserve">The used volumes are based on the controller’s approximation of their transactions in 2012. </w:t>
      </w:r>
      <w:r w:rsidR="00180EDF" w:rsidRPr="00E80090">
        <w:rPr>
          <w:rFonts w:asciiTheme="majorHAnsi" w:hAnsiTheme="majorHAnsi" w:cs="Cambria"/>
          <w:lang w:val="en-GB" w:eastAsia="en-US"/>
        </w:rPr>
        <w:t xml:space="preserve">On some components tier pricing is applied. Therefore, the calculation is not exactly straight forward. Those items are presented in bold in the table and the calculation is explained below. </w:t>
      </w:r>
    </w:p>
    <w:p w14:paraId="6E5843F6" w14:textId="77777777" w:rsidR="00A05E1E" w:rsidRPr="00E80090" w:rsidRDefault="00D5731D" w:rsidP="003F1212">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Regarding the </w:t>
      </w:r>
      <w:r w:rsidR="003D0C1E" w:rsidRPr="00E80090">
        <w:rPr>
          <w:rFonts w:asciiTheme="majorHAnsi" w:hAnsiTheme="majorHAnsi" w:cs="Cambria"/>
          <w:lang w:val="en-GB" w:eastAsia="en-US"/>
        </w:rPr>
        <w:t>outgoing</w:t>
      </w:r>
      <w:r w:rsidRPr="00E80090">
        <w:rPr>
          <w:rFonts w:asciiTheme="majorHAnsi" w:hAnsiTheme="majorHAnsi" w:cs="Cambria"/>
          <w:lang w:val="en-GB" w:eastAsia="en-US"/>
        </w:rPr>
        <w:t xml:space="preserve"> payments in foreign currency, the calculation </w:t>
      </w:r>
      <w:r w:rsidR="005331DE" w:rsidRPr="00E80090">
        <w:rPr>
          <w:rFonts w:asciiTheme="majorHAnsi" w:hAnsiTheme="majorHAnsi" w:cs="Cambria"/>
          <w:lang w:val="en-GB" w:eastAsia="en-US"/>
        </w:rPr>
        <w:t xml:space="preserve">included different prices for the transactions with different value. </w:t>
      </w:r>
      <w:r w:rsidR="00766EE0" w:rsidRPr="00E80090">
        <w:rPr>
          <w:rFonts w:asciiTheme="majorHAnsi" w:hAnsiTheme="majorHAnsi" w:cs="Cambria"/>
          <w:lang w:val="en-GB" w:eastAsia="en-US"/>
        </w:rPr>
        <w:t xml:space="preserve">For the payments below 25,000 RON a standard 25 euro fee is paid with Volksbank, while with Citibank 15 EUR minimum is paid for all payments below 18,750 RON. During 2012 the entity had 23 transactions below 25,000 RON and </w:t>
      </w:r>
      <w:r w:rsidR="005331DE" w:rsidRPr="00E80090">
        <w:rPr>
          <w:rFonts w:asciiTheme="majorHAnsi" w:hAnsiTheme="majorHAnsi" w:cs="Cambria"/>
          <w:lang w:val="en-GB" w:eastAsia="en-US"/>
        </w:rPr>
        <w:t>2</w:t>
      </w:r>
      <w:r w:rsidR="00766EE0" w:rsidRPr="00E80090">
        <w:rPr>
          <w:rFonts w:asciiTheme="majorHAnsi" w:hAnsiTheme="majorHAnsi" w:cs="Cambria"/>
          <w:lang w:val="en-GB" w:eastAsia="en-US"/>
        </w:rPr>
        <w:t>1 transactions below 18,750 RON. The total number of transactions over the year was 52.</w:t>
      </w:r>
      <w:r w:rsidR="005331DE" w:rsidRPr="00E80090">
        <w:rPr>
          <w:rFonts w:asciiTheme="majorHAnsi" w:hAnsiTheme="majorHAnsi" w:cs="Cambria"/>
          <w:lang w:val="en-GB" w:eastAsia="en-US"/>
        </w:rPr>
        <w:t xml:space="preserve"> For the remaining transactions the cost calculation was based on the percentage fee charged by each bank.</w:t>
      </w:r>
    </w:p>
    <w:tbl>
      <w:tblPr>
        <w:tblW w:w="9669" w:type="dxa"/>
        <w:tblInd w:w="93" w:type="dxa"/>
        <w:tblLook w:val="04A0" w:firstRow="1" w:lastRow="0" w:firstColumn="1" w:lastColumn="0" w:noHBand="0" w:noVBand="1"/>
      </w:tblPr>
      <w:tblGrid>
        <w:gridCol w:w="2265"/>
        <w:gridCol w:w="1800"/>
        <w:gridCol w:w="1800"/>
        <w:gridCol w:w="993"/>
        <w:gridCol w:w="1384"/>
        <w:gridCol w:w="1427"/>
      </w:tblGrid>
      <w:tr w:rsidR="007A5D24" w:rsidRPr="00E80090" w14:paraId="6E5843FD" w14:textId="77777777" w:rsidTr="00F3533C">
        <w:trPr>
          <w:trHeight w:val="249"/>
        </w:trPr>
        <w:tc>
          <w:tcPr>
            <w:tcW w:w="226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5843F7" w14:textId="77777777" w:rsidR="008C2E95" w:rsidRPr="00E80090" w:rsidRDefault="008C2E95" w:rsidP="008C2E95">
            <w:pPr>
              <w:rPr>
                <w:rFonts w:asciiTheme="majorHAnsi" w:eastAsia="Times New Roman" w:hAnsiTheme="majorHAnsi" w:cs="Arial"/>
                <w:b/>
                <w:sz w:val="22"/>
                <w:szCs w:val="22"/>
                <w:lang w:val="en-GB" w:eastAsia="en-US"/>
              </w:rPr>
            </w:pPr>
            <w:r w:rsidRPr="00E80090">
              <w:rPr>
                <w:rFonts w:asciiTheme="majorHAnsi" w:eastAsia="Times New Roman" w:hAnsiTheme="majorHAnsi" w:cs="Arial"/>
                <w:b/>
                <w:sz w:val="22"/>
                <w:szCs w:val="22"/>
                <w:lang w:val="en-GB" w:eastAsia="en-US"/>
              </w:rPr>
              <w:t>Romania</w:t>
            </w:r>
          </w:p>
        </w:tc>
        <w:tc>
          <w:tcPr>
            <w:tcW w:w="1800" w:type="dxa"/>
            <w:tcBorders>
              <w:top w:val="nil"/>
              <w:left w:val="nil"/>
              <w:bottom w:val="nil"/>
              <w:right w:val="nil"/>
            </w:tcBorders>
            <w:shd w:val="clear" w:color="auto" w:fill="auto"/>
            <w:noWrap/>
            <w:vAlign w:val="bottom"/>
            <w:hideMark/>
          </w:tcPr>
          <w:p w14:paraId="6E5843F8" w14:textId="77777777" w:rsidR="008C2E95" w:rsidRPr="00E80090" w:rsidRDefault="008C2E95" w:rsidP="008C2E95">
            <w:pPr>
              <w:rPr>
                <w:rFonts w:asciiTheme="majorHAnsi" w:eastAsia="Times New Roman" w:hAnsiTheme="majorHAnsi" w:cs="Arial"/>
                <w:sz w:val="22"/>
                <w:szCs w:val="22"/>
                <w:lang w:val="en-GB" w:eastAsia="en-US"/>
              </w:rPr>
            </w:pPr>
          </w:p>
        </w:tc>
        <w:tc>
          <w:tcPr>
            <w:tcW w:w="1800" w:type="dxa"/>
            <w:tcBorders>
              <w:top w:val="nil"/>
              <w:left w:val="nil"/>
              <w:bottom w:val="nil"/>
              <w:right w:val="nil"/>
            </w:tcBorders>
            <w:shd w:val="clear" w:color="auto" w:fill="auto"/>
            <w:noWrap/>
            <w:vAlign w:val="bottom"/>
            <w:hideMark/>
          </w:tcPr>
          <w:p w14:paraId="6E5843F9" w14:textId="77777777" w:rsidR="008C2E95" w:rsidRPr="00E80090" w:rsidRDefault="008C2E95" w:rsidP="008C2E95">
            <w:pPr>
              <w:rPr>
                <w:rFonts w:asciiTheme="majorHAnsi" w:eastAsia="Times New Roman" w:hAnsiTheme="majorHAnsi" w:cs="Arial"/>
                <w:sz w:val="22"/>
                <w:szCs w:val="22"/>
                <w:lang w:val="en-GB" w:eastAsia="en-US"/>
              </w:rPr>
            </w:pPr>
          </w:p>
        </w:tc>
        <w:tc>
          <w:tcPr>
            <w:tcW w:w="993" w:type="dxa"/>
            <w:tcBorders>
              <w:top w:val="nil"/>
              <w:left w:val="nil"/>
              <w:bottom w:val="nil"/>
              <w:right w:val="nil"/>
            </w:tcBorders>
            <w:shd w:val="clear" w:color="auto" w:fill="auto"/>
            <w:noWrap/>
            <w:vAlign w:val="bottom"/>
            <w:hideMark/>
          </w:tcPr>
          <w:p w14:paraId="6E5843FA" w14:textId="77777777" w:rsidR="008C2E95" w:rsidRPr="00E80090" w:rsidRDefault="008C2E95" w:rsidP="008C2E95">
            <w:pPr>
              <w:rPr>
                <w:rFonts w:asciiTheme="majorHAnsi" w:eastAsia="Times New Roman" w:hAnsiTheme="majorHAnsi" w:cs="Arial"/>
                <w:sz w:val="22"/>
                <w:szCs w:val="22"/>
                <w:lang w:val="en-GB" w:eastAsia="en-US"/>
              </w:rPr>
            </w:pPr>
          </w:p>
        </w:tc>
        <w:tc>
          <w:tcPr>
            <w:tcW w:w="1384" w:type="dxa"/>
            <w:tcBorders>
              <w:top w:val="nil"/>
              <w:left w:val="nil"/>
              <w:bottom w:val="nil"/>
              <w:right w:val="nil"/>
            </w:tcBorders>
            <w:shd w:val="clear" w:color="auto" w:fill="auto"/>
            <w:noWrap/>
            <w:vAlign w:val="bottom"/>
            <w:hideMark/>
          </w:tcPr>
          <w:p w14:paraId="6E5843FB" w14:textId="77777777" w:rsidR="008C2E95" w:rsidRPr="00E80090" w:rsidRDefault="008C2E95" w:rsidP="008C2E95">
            <w:pPr>
              <w:rPr>
                <w:rFonts w:asciiTheme="majorHAnsi" w:eastAsia="Times New Roman" w:hAnsiTheme="majorHAnsi" w:cs="Arial"/>
                <w:sz w:val="22"/>
                <w:szCs w:val="22"/>
                <w:lang w:val="en-GB" w:eastAsia="en-US"/>
              </w:rPr>
            </w:pPr>
          </w:p>
        </w:tc>
        <w:tc>
          <w:tcPr>
            <w:tcW w:w="1427" w:type="dxa"/>
            <w:tcBorders>
              <w:top w:val="nil"/>
              <w:left w:val="nil"/>
              <w:bottom w:val="single" w:sz="4" w:space="0" w:color="auto"/>
              <w:right w:val="nil"/>
            </w:tcBorders>
            <w:shd w:val="clear" w:color="auto" w:fill="auto"/>
            <w:noWrap/>
            <w:vAlign w:val="bottom"/>
            <w:hideMark/>
          </w:tcPr>
          <w:p w14:paraId="6E5843FC" w14:textId="77777777" w:rsidR="008C2E95" w:rsidRPr="00E80090" w:rsidRDefault="008C2E95" w:rsidP="008C2E95">
            <w:pPr>
              <w:rPr>
                <w:rFonts w:asciiTheme="majorHAnsi" w:eastAsia="Times New Roman" w:hAnsiTheme="majorHAnsi" w:cs="Arial"/>
                <w:sz w:val="22"/>
                <w:szCs w:val="22"/>
                <w:lang w:val="en-GB" w:eastAsia="en-US"/>
              </w:rPr>
            </w:pPr>
          </w:p>
        </w:tc>
      </w:tr>
      <w:tr w:rsidR="007A5D24" w:rsidRPr="00E80090" w14:paraId="6E584404" w14:textId="77777777" w:rsidTr="00F3533C">
        <w:trPr>
          <w:trHeight w:val="498"/>
        </w:trPr>
        <w:tc>
          <w:tcPr>
            <w:tcW w:w="2265" w:type="dxa"/>
            <w:tcBorders>
              <w:top w:val="nil"/>
              <w:left w:val="single" w:sz="4" w:space="0" w:color="auto"/>
              <w:bottom w:val="single" w:sz="4" w:space="0" w:color="auto"/>
              <w:right w:val="single" w:sz="4" w:space="0" w:color="auto"/>
            </w:tcBorders>
            <w:shd w:val="clear" w:color="000000" w:fill="99CCFF"/>
            <w:noWrap/>
            <w:vAlign w:val="center"/>
            <w:hideMark/>
          </w:tcPr>
          <w:p w14:paraId="6E5843FE" w14:textId="77777777" w:rsidR="008C2E95" w:rsidRPr="00E80090" w:rsidRDefault="008C2E95" w:rsidP="008C2E9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Product:</w:t>
            </w:r>
          </w:p>
        </w:tc>
        <w:tc>
          <w:tcPr>
            <w:tcW w:w="1800" w:type="dxa"/>
            <w:tcBorders>
              <w:top w:val="single" w:sz="4" w:space="0" w:color="auto"/>
              <w:left w:val="nil"/>
              <w:bottom w:val="single" w:sz="4" w:space="0" w:color="auto"/>
              <w:right w:val="single" w:sz="4" w:space="0" w:color="auto"/>
            </w:tcBorders>
            <w:shd w:val="clear" w:color="000000" w:fill="99CCFF"/>
            <w:noWrap/>
            <w:vAlign w:val="center"/>
            <w:hideMark/>
          </w:tcPr>
          <w:p w14:paraId="6E5843FF" w14:textId="77777777" w:rsidR="008C2E95" w:rsidRPr="00E80090" w:rsidRDefault="008C2E95" w:rsidP="00AC2B3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 xml:space="preserve">Volksbank </w:t>
            </w:r>
          </w:p>
        </w:tc>
        <w:tc>
          <w:tcPr>
            <w:tcW w:w="1800" w:type="dxa"/>
            <w:tcBorders>
              <w:top w:val="single" w:sz="4" w:space="0" w:color="auto"/>
              <w:left w:val="nil"/>
              <w:bottom w:val="single" w:sz="4" w:space="0" w:color="auto"/>
              <w:right w:val="single" w:sz="4" w:space="0" w:color="auto"/>
            </w:tcBorders>
            <w:shd w:val="clear" w:color="000000" w:fill="99CCFF"/>
            <w:noWrap/>
            <w:vAlign w:val="center"/>
            <w:hideMark/>
          </w:tcPr>
          <w:p w14:paraId="6E584400" w14:textId="77777777" w:rsidR="008C2E95" w:rsidRPr="00E80090" w:rsidRDefault="008C2E95" w:rsidP="00AC2B3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Citi</w:t>
            </w:r>
            <w:r w:rsidR="00AC2B35" w:rsidRPr="00E80090">
              <w:rPr>
                <w:rFonts w:asciiTheme="majorHAnsi" w:eastAsia="Times New Roman" w:hAnsiTheme="majorHAnsi" w:cs="Arial"/>
                <w:b/>
                <w:bCs/>
                <w:sz w:val="21"/>
                <w:szCs w:val="21"/>
                <w:lang w:val="en-GB" w:eastAsia="en-US"/>
              </w:rPr>
              <w:t>bank</w:t>
            </w:r>
            <w:r w:rsidRPr="00E80090">
              <w:rPr>
                <w:rFonts w:asciiTheme="majorHAnsi" w:eastAsia="Times New Roman" w:hAnsiTheme="majorHAnsi" w:cs="Arial"/>
                <w:b/>
                <w:bCs/>
                <w:sz w:val="21"/>
                <w:szCs w:val="21"/>
                <w:lang w:val="en-GB" w:eastAsia="en-US"/>
              </w:rPr>
              <w:t xml:space="preserve"> </w:t>
            </w:r>
          </w:p>
        </w:tc>
        <w:tc>
          <w:tcPr>
            <w:tcW w:w="993" w:type="dxa"/>
            <w:tcBorders>
              <w:top w:val="single" w:sz="4" w:space="0" w:color="auto"/>
              <w:left w:val="nil"/>
              <w:bottom w:val="single" w:sz="4" w:space="0" w:color="auto"/>
              <w:right w:val="single" w:sz="4" w:space="0" w:color="auto"/>
            </w:tcBorders>
            <w:shd w:val="clear" w:color="000000" w:fill="99CCFF"/>
            <w:noWrap/>
            <w:vAlign w:val="center"/>
            <w:hideMark/>
          </w:tcPr>
          <w:p w14:paraId="6E584401" w14:textId="77777777" w:rsidR="008C2E95" w:rsidRPr="00E80090" w:rsidRDefault="008C2E95" w:rsidP="008C2E9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Annual Volume</w:t>
            </w:r>
          </w:p>
        </w:tc>
        <w:tc>
          <w:tcPr>
            <w:tcW w:w="1384" w:type="dxa"/>
            <w:tcBorders>
              <w:top w:val="single" w:sz="4" w:space="0" w:color="auto"/>
              <w:left w:val="nil"/>
              <w:bottom w:val="single" w:sz="4" w:space="0" w:color="auto"/>
              <w:right w:val="nil"/>
            </w:tcBorders>
            <w:shd w:val="clear" w:color="000000" w:fill="99CCFF"/>
            <w:vAlign w:val="center"/>
            <w:hideMark/>
          </w:tcPr>
          <w:p w14:paraId="6E584402" w14:textId="77777777" w:rsidR="008C2E95" w:rsidRPr="00E80090" w:rsidRDefault="008C2E95" w:rsidP="008C2E9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Costs Volksbank</w:t>
            </w:r>
          </w:p>
        </w:tc>
        <w:tc>
          <w:tcPr>
            <w:tcW w:w="1427" w:type="dxa"/>
            <w:tcBorders>
              <w:top w:val="single" w:sz="4" w:space="0" w:color="auto"/>
              <w:left w:val="single" w:sz="4" w:space="0" w:color="auto"/>
              <w:bottom w:val="single" w:sz="4" w:space="0" w:color="auto"/>
              <w:right w:val="single" w:sz="4" w:space="0" w:color="auto"/>
            </w:tcBorders>
            <w:shd w:val="clear" w:color="000000" w:fill="99CCFF"/>
            <w:vAlign w:val="center"/>
            <w:hideMark/>
          </w:tcPr>
          <w:p w14:paraId="6E584403" w14:textId="77777777" w:rsidR="008C2E95" w:rsidRPr="00E80090" w:rsidRDefault="008C2E95" w:rsidP="008C2E9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Costs Citibank</w:t>
            </w:r>
          </w:p>
        </w:tc>
      </w:tr>
      <w:tr w:rsidR="007A5D24" w:rsidRPr="00E80090" w14:paraId="6E58440B" w14:textId="77777777" w:rsidTr="00F3533C">
        <w:trPr>
          <w:trHeight w:val="498"/>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E584405" w14:textId="77777777" w:rsidR="008C2E95" w:rsidRPr="00E80090" w:rsidRDefault="008C2E95" w:rsidP="008C2E9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Account maintenance (monthly)</w:t>
            </w:r>
          </w:p>
        </w:tc>
        <w:tc>
          <w:tcPr>
            <w:tcW w:w="1800" w:type="dxa"/>
            <w:tcBorders>
              <w:top w:val="nil"/>
              <w:left w:val="nil"/>
              <w:bottom w:val="single" w:sz="4" w:space="0" w:color="auto"/>
              <w:right w:val="single" w:sz="4" w:space="0" w:color="auto"/>
            </w:tcBorders>
            <w:shd w:val="clear" w:color="auto" w:fill="auto"/>
            <w:vAlign w:val="center"/>
            <w:hideMark/>
          </w:tcPr>
          <w:p w14:paraId="6E584406"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€ 25.00 </w:t>
            </w:r>
          </w:p>
        </w:tc>
        <w:tc>
          <w:tcPr>
            <w:tcW w:w="1800" w:type="dxa"/>
            <w:tcBorders>
              <w:top w:val="nil"/>
              <w:left w:val="nil"/>
              <w:bottom w:val="single" w:sz="4" w:space="0" w:color="auto"/>
              <w:right w:val="single" w:sz="4" w:space="0" w:color="auto"/>
            </w:tcBorders>
            <w:shd w:val="clear" w:color="auto" w:fill="auto"/>
            <w:vAlign w:val="center"/>
            <w:hideMark/>
          </w:tcPr>
          <w:p w14:paraId="6E584407" w14:textId="77777777" w:rsidR="008C2E95" w:rsidRPr="00E80090" w:rsidRDefault="004917BC" w:rsidP="004917BC">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for 3 accounts</w:t>
            </w:r>
          </w:p>
        </w:tc>
        <w:tc>
          <w:tcPr>
            <w:tcW w:w="993" w:type="dxa"/>
            <w:tcBorders>
              <w:top w:val="nil"/>
              <w:left w:val="nil"/>
              <w:bottom w:val="single" w:sz="4" w:space="0" w:color="auto"/>
              <w:right w:val="single" w:sz="4" w:space="0" w:color="auto"/>
            </w:tcBorders>
            <w:shd w:val="clear" w:color="auto" w:fill="auto"/>
            <w:vAlign w:val="center"/>
            <w:hideMark/>
          </w:tcPr>
          <w:p w14:paraId="6E584408"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384" w:type="dxa"/>
            <w:tcBorders>
              <w:top w:val="nil"/>
              <w:left w:val="nil"/>
              <w:bottom w:val="single" w:sz="4" w:space="0" w:color="auto"/>
              <w:right w:val="single" w:sz="4" w:space="0" w:color="auto"/>
            </w:tcBorders>
            <w:shd w:val="clear" w:color="auto" w:fill="auto"/>
            <w:noWrap/>
            <w:vAlign w:val="center"/>
            <w:hideMark/>
          </w:tcPr>
          <w:p w14:paraId="6E584409" w14:textId="77777777" w:rsidR="008C2E95" w:rsidRPr="00E80090" w:rsidRDefault="0092494B"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w:t>
            </w:r>
            <w:r w:rsidR="008C2E95" w:rsidRPr="00E80090">
              <w:rPr>
                <w:rFonts w:asciiTheme="majorHAnsi" w:eastAsia="Times New Roman" w:hAnsiTheme="majorHAnsi" w:cs="Arial"/>
                <w:sz w:val="21"/>
                <w:szCs w:val="21"/>
                <w:lang w:val="en-GB" w:eastAsia="en-US"/>
              </w:rPr>
              <w:t xml:space="preserve">300.00 </w:t>
            </w:r>
          </w:p>
        </w:tc>
        <w:tc>
          <w:tcPr>
            <w:tcW w:w="1427" w:type="dxa"/>
            <w:tcBorders>
              <w:top w:val="nil"/>
              <w:left w:val="nil"/>
              <w:bottom w:val="single" w:sz="4" w:space="0" w:color="auto"/>
              <w:right w:val="single" w:sz="4" w:space="0" w:color="auto"/>
            </w:tcBorders>
            <w:shd w:val="clear" w:color="auto" w:fill="auto"/>
            <w:noWrap/>
            <w:vAlign w:val="center"/>
            <w:hideMark/>
          </w:tcPr>
          <w:p w14:paraId="6E58440A" w14:textId="77777777" w:rsidR="008C2E95" w:rsidRPr="00E80090" w:rsidRDefault="0092494B"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r>
      <w:tr w:rsidR="007A5D24" w:rsidRPr="00E80090" w14:paraId="6E584412" w14:textId="77777777" w:rsidTr="00F3533C">
        <w:trPr>
          <w:trHeight w:val="249"/>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E58440C" w14:textId="77777777" w:rsidR="008C2E95" w:rsidRPr="00E80090" w:rsidRDefault="008C2E95" w:rsidP="008C2E9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Electronic banking (monthly)</w:t>
            </w:r>
          </w:p>
        </w:tc>
        <w:tc>
          <w:tcPr>
            <w:tcW w:w="1800" w:type="dxa"/>
            <w:tcBorders>
              <w:top w:val="nil"/>
              <w:left w:val="nil"/>
              <w:bottom w:val="single" w:sz="4" w:space="0" w:color="auto"/>
              <w:right w:val="single" w:sz="4" w:space="0" w:color="auto"/>
            </w:tcBorders>
            <w:shd w:val="clear" w:color="auto" w:fill="auto"/>
            <w:vAlign w:val="center"/>
            <w:hideMark/>
          </w:tcPr>
          <w:p w14:paraId="6E58440D"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€ 15.00 </w:t>
            </w:r>
          </w:p>
        </w:tc>
        <w:tc>
          <w:tcPr>
            <w:tcW w:w="1800" w:type="dxa"/>
            <w:tcBorders>
              <w:top w:val="nil"/>
              <w:left w:val="nil"/>
              <w:bottom w:val="single" w:sz="4" w:space="0" w:color="auto"/>
              <w:right w:val="single" w:sz="4" w:space="0" w:color="auto"/>
            </w:tcBorders>
            <w:shd w:val="clear" w:color="auto" w:fill="auto"/>
            <w:vAlign w:val="center"/>
            <w:hideMark/>
          </w:tcPr>
          <w:p w14:paraId="6E58440E"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of charge</w:t>
            </w:r>
          </w:p>
        </w:tc>
        <w:tc>
          <w:tcPr>
            <w:tcW w:w="993" w:type="dxa"/>
            <w:tcBorders>
              <w:top w:val="nil"/>
              <w:left w:val="nil"/>
              <w:bottom w:val="single" w:sz="4" w:space="0" w:color="auto"/>
              <w:right w:val="single" w:sz="4" w:space="0" w:color="auto"/>
            </w:tcBorders>
            <w:shd w:val="clear" w:color="auto" w:fill="auto"/>
            <w:vAlign w:val="center"/>
            <w:hideMark/>
          </w:tcPr>
          <w:p w14:paraId="6E58440F"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384" w:type="dxa"/>
            <w:tcBorders>
              <w:top w:val="nil"/>
              <w:left w:val="nil"/>
              <w:bottom w:val="single" w:sz="4" w:space="0" w:color="auto"/>
              <w:right w:val="single" w:sz="4" w:space="0" w:color="auto"/>
            </w:tcBorders>
            <w:shd w:val="clear" w:color="auto" w:fill="auto"/>
            <w:noWrap/>
            <w:vAlign w:val="center"/>
            <w:hideMark/>
          </w:tcPr>
          <w:p w14:paraId="6E584410" w14:textId="77777777" w:rsidR="008C2E95" w:rsidRPr="00E80090" w:rsidRDefault="0092494B"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w:t>
            </w:r>
            <w:r w:rsidR="008C2E95" w:rsidRPr="00E80090">
              <w:rPr>
                <w:rFonts w:asciiTheme="majorHAnsi" w:eastAsia="Times New Roman" w:hAnsiTheme="majorHAnsi" w:cs="Arial"/>
                <w:sz w:val="21"/>
                <w:szCs w:val="21"/>
                <w:lang w:val="en-GB" w:eastAsia="en-US"/>
              </w:rPr>
              <w:t xml:space="preserve">180.00 </w:t>
            </w:r>
          </w:p>
        </w:tc>
        <w:tc>
          <w:tcPr>
            <w:tcW w:w="1427" w:type="dxa"/>
            <w:tcBorders>
              <w:top w:val="nil"/>
              <w:left w:val="nil"/>
              <w:bottom w:val="single" w:sz="4" w:space="0" w:color="auto"/>
              <w:right w:val="single" w:sz="4" w:space="0" w:color="auto"/>
            </w:tcBorders>
            <w:shd w:val="clear" w:color="auto" w:fill="auto"/>
            <w:noWrap/>
            <w:vAlign w:val="center"/>
            <w:hideMark/>
          </w:tcPr>
          <w:p w14:paraId="6E584411" w14:textId="77777777" w:rsidR="008C2E95" w:rsidRPr="00E80090" w:rsidRDefault="0092494B"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r>
      <w:tr w:rsidR="00F3533C" w:rsidRPr="00E80090" w14:paraId="6E584419" w14:textId="77777777" w:rsidTr="00F3533C">
        <w:trPr>
          <w:trHeight w:val="453"/>
        </w:trPr>
        <w:tc>
          <w:tcPr>
            <w:tcW w:w="2265" w:type="dxa"/>
            <w:tcBorders>
              <w:top w:val="nil"/>
              <w:left w:val="single" w:sz="4" w:space="0" w:color="auto"/>
              <w:bottom w:val="single" w:sz="4" w:space="0" w:color="auto"/>
              <w:right w:val="single" w:sz="4" w:space="0" w:color="auto"/>
            </w:tcBorders>
            <w:shd w:val="clear" w:color="auto" w:fill="auto"/>
            <w:vAlign w:val="center"/>
          </w:tcPr>
          <w:p w14:paraId="6E584413" w14:textId="77777777" w:rsidR="00F3533C" w:rsidRPr="00E80090" w:rsidRDefault="00F3533C" w:rsidP="00F3533C">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Incoming RON payments</w:t>
            </w:r>
          </w:p>
        </w:tc>
        <w:tc>
          <w:tcPr>
            <w:tcW w:w="1800" w:type="dxa"/>
            <w:tcBorders>
              <w:top w:val="nil"/>
              <w:left w:val="nil"/>
              <w:bottom w:val="single" w:sz="4" w:space="0" w:color="auto"/>
              <w:right w:val="single" w:sz="4" w:space="0" w:color="auto"/>
            </w:tcBorders>
            <w:shd w:val="clear" w:color="auto" w:fill="auto"/>
            <w:vAlign w:val="center"/>
          </w:tcPr>
          <w:p w14:paraId="6E584414" w14:textId="77777777" w:rsidR="00F3533C" w:rsidRPr="00E80090" w:rsidRDefault="00F3533C"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first 10 (p.m.) are free, 1.70</w:t>
            </w:r>
          </w:p>
        </w:tc>
        <w:tc>
          <w:tcPr>
            <w:tcW w:w="1800" w:type="dxa"/>
            <w:tcBorders>
              <w:top w:val="nil"/>
              <w:left w:val="nil"/>
              <w:bottom w:val="single" w:sz="4" w:space="0" w:color="auto"/>
              <w:right w:val="single" w:sz="4" w:space="0" w:color="auto"/>
            </w:tcBorders>
            <w:shd w:val="clear" w:color="auto" w:fill="auto"/>
            <w:vAlign w:val="center"/>
          </w:tcPr>
          <w:p w14:paraId="6E584415" w14:textId="77777777" w:rsidR="00F3533C" w:rsidRPr="00E80090" w:rsidRDefault="00F3533C"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w:t>
            </w:r>
          </w:p>
        </w:tc>
        <w:tc>
          <w:tcPr>
            <w:tcW w:w="993" w:type="dxa"/>
            <w:tcBorders>
              <w:top w:val="nil"/>
              <w:left w:val="nil"/>
              <w:bottom w:val="single" w:sz="4" w:space="0" w:color="auto"/>
              <w:right w:val="single" w:sz="4" w:space="0" w:color="auto"/>
            </w:tcBorders>
            <w:shd w:val="clear" w:color="auto" w:fill="auto"/>
            <w:vAlign w:val="center"/>
          </w:tcPr>
          <w:p w14:paraId="6E584416" w14:textId="77777777" w:rsidR="00F3533C" w:rsidRPr="00E80090" w:rsidRDefault="00F3533C"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b/>
                <w:bCs/>
                <w:sz w:val="21"/>
                <w:szCs w:val="21"/>
                <w:lang w:val="en-GB" w:eastAsia="en-US"/>
              </w:rPr>
              <w:t>300</w:t>
            </w:r>
          </w:p>
        </w:tc>
        <w:tc>
          <w:tcPr>
            <w:tcW w:w="1384" w:type="dxa"/>
            <w:tcBorders>
              <w:top w:val="nil"/>
              <w:left w:val="nil"/>
              <w:bottom w:val="single" w:sz="4" w:space="0" w:color="auto"/>
              <w:right w:val="single" w:sz="4" w:space="0" w:color="auto"/>
            </w:tcBorders>
            <w:shd w:val="clear" w:color="auto" w:fill="auto"/>
            <w:noWrap/>
            <w:vAlign w:val="center"/>
          </w:tcPr>
          <w:p w14:paraId="6E584417" w14:textId="77777777" w:rsidR="00F3533C" w:rsidRPr="00E80090" w:rsidRDefault="00F3533C"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€ 67.53</w:t>
            </w:r>
          </w:p>
        </w:tc>
        <w:tc>
          <w:tcPr>
            <w:tcW w:w="1427" w:type="dxa"/>
            <w:tcBorders>
              <w:top w:val="nil"/>
              <w:left w:val="nil"/>
              <w:bottom w:val="single" w:sz="4" w:space="0" w:color="auto"/>
              <w:right w:val="single" w:sz="4" w:space="0" w:color="auto"/>
            </w:tcBorders>
            <w:shd w:val="clear" w:color="auto" w:fill="auto"/>
            <w:noWrap/>
            <w:vAlign w:val="center"/>
          </w:tcPr>
          <w:p w14:paraId="6E584418" w14:textId="77777777" w:rsidR="00F3533C" w:rsidRPr="00E80090" w:rsidRDefault="00F3533C"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r>
      <w:tr w:rsidR="007A5D24" w:rsidRPr="00E80090" w14:paraId="6E584420" w14:textId="77777777" w:rsidTr="00F3533C">
        <w:trPr>
          <w:trHeight w:val="453"/>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E58441A" w14:textId="77777777" w:rsidR="008C2E95" w:rsidRPr="00E80090" w:rsidRDefault="00840FB0" w:rsidP="00F3533C">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Outgoing </w:t>
            </w:r>
            <w:r w:rsidR="00F3533C" w:rsidRPr="00E80090">
              <w:rPr>
                <w:rFonts w:asciiTheme="majorHAnsi" w:eastAsia="Times New Roman" w:hAnsiTheme="majorHAnsi" w:cs="Arial"/>
                <w:sz w:val="21"/>
                <w:szCs w:val="21"/>
                <w:lang w:val="en-GB" w:eastAsia="en-US"/>
              </w:rPr>
              <w:t>RON payments</w:t>
            </w:r>
          </w:p>
        </w:tc>
        <w:tc>
          <w:tcPr>
            <w:tcW w:w="1800" w:type="dxa"/>
            <w:tcBorders>
              <w:top w:val="nil"/>
              <w:left w:val="nil"/>
              <w:bottom w:val="single" w:sz="4" w:space="0" w:color="auto"/>
              <w:right w:val="single" w:sz="4" w:space="0" w:color="auto"/>
            </w:tcBorders>
            <w:shd w:val="clear" w:color="auto" w:fill="auto"/>
            <w:vAlign w:val="center"/>
            <w:hideMark/>
          </w:tcPr>
          <w:p w14:paraId="6E58441B"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Min RON 3, Max. RON 17</w:t>
            </w:r>
          </w:p>
        </w:tc>
        <w:tc>
          <w:tcPr>
            <w:tcW w:w="1800" w:type="dxa"/>
            <w:tcBorders>
              <w:top w:val="nil"/>
              <w:left w:val="nil"/>
              <w:bottom w:val="single" w:sz="4" w:space="0" w:color="auto"/>
              <w:right w:val="single" w:sz="4" w:space="0" w:color="auto"/>
            </w:tcBorders>
            <w:shd w:val="clear" w:color="auto" w:fill="auto"/>
            <w:vAlign w:val="center"/>
            <w:hideMark/>
          </w:tcPr>
          <w:p w14:paraId="6E58441C"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RON 2.5</w:t>
            </w:r>
          </w:p>
        </w:tc>
        <w:tc>
          <w:tcPr>
            <w:tcW w:w="993" w:type="dxa"/>
            <w:tcBorders>
              <w:top w:val="nil"/>
              <w:left w:val="nil"/>
              <w:bottom w:val="single" w:sz="4" w:space="0" w:color="auto"/>
              <w:right w:val="single" w:sz="4" w:space="0" w:color="auto"/>
            </w:tcBorders>
            <w:shd w:val="clear" w:color="auto" w:fill="auto"/>
            <w:vAlign w:val="center"/>
            <w:hideMark/>
          </w:tcPr>
          <w:p w14:paraId="6E58441D"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600</w:t>
            </w:r>
          </w:p>
        </w:tc>
        <w:tc>
          <w:tcPr>
            <w:tcW w:w="1384" w:type="dxa"/>
            <w:tcBorders>
              <w:top w:val="nil"/>
              <w:left w:val="nil"/>
              <w:bottom w:val="single" w:sz="4" w:space="0" w:color="auto"/>
              <w:right w:val="single" w:sz="4" w:space="0" w:color="auto"/>
            </w:tcBorders>
            <w:shd w:val="clear" w:color="auto" w:fill="auto"/>
            <w:noWrap/>
            <w:vAlign w:val="center"/>
            <w:hideMark/>
          </w:tcPr>
          <w:p w14:paraId="6E58441E" w14:textId="77777777" w:rsidR="008C2E95" w:rsidRPr="00E80090" w:rsidRDefault="008C2E95" w:rsidP="0092494B">
            <w:pPr>
              <w:jc w:val="center"/>
              <w:rPr>
                <w:rFonts w:asciiTheme="majorHAnsi" w:eastAsia="Times New Roman" w:hAnsiTheme="majorHAnsi" w:cs="Arial"/>
                <w:b/>
                <w:sz w:val="21"/>
                <w:szCs w:val="21"/>
                <w:lang w:val="en-GB" w:eastAsia="en-US"/>
              </w:rPr>
            </w:pPr>
            <w:r w:rsidRPr="00E80090">
              <w:rPr>
                <w:rFonts w:asciiTheme="majorHAnsi" w:eastAsia="Times New Roman" w:hAnsiTheme="majorHAnsi" w:cs="Arial"/>
                <w:sz w:val="21"/>
                <w:szCs w:val="21"/>
                <w:lang w:val="en-GB" w:eastAsia="en-US"/>
              </w:rPr>
              <w:t xml:space="preserve"> </w:t>
            </w:r>
            <w:r w:rsidRPr="00E80090">
              <w:rPr>
                <w:rFonts w:asciiTheme="majorHAnsi" w:eastAsia="Times New Roman" w:hAnsiTheme="majorHAnsi" w:cs="Arial"/>
                <w:b/>
                <w:sz w:val="21"/>
                <w:szCs w:val="21"/>
                <w:lang w:val="en-GB" w:eastAsia="en-US"/>
              </w:rPr>
              <w:t xml:space="preserve">€ 397.26 </w:t>
            </w:r>
          </w:p>
        </w:tc>
        <w:tc>
          <w:tcPr>
            <w:tcW w:w="1427" w:type="dxa"/>
            <w:tcBorders>
              <w:top w:val="nil"/>
              <w:left w:val="nil"/>
              <w:bottom w:val="single" w:sz="4" w:space="0" w:color="auto"/>
              <w:right w:val="single" w:sz="4" w:space="0" w:color="auto"/>
            </w:tcBorders>
            <w:shd w:val="clear" w:color="auto" w:fill="auto"/>
            <w:noWrap/>
            <w:vAlign w:val="center"/>
            <w:hideMark/>
          </w:tcPr>
          <w:p w14:paraId="6E58441F" w14:textId="77777777" w:rsidR="008C2E95" w:rsidRPr="00E80090" w:rsidRDefault="0092494B"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w:t>
            </w:r>
            <w:r w:rsidR="008C2E95" w:rsidRPr="00E80090">
              <w:rPr>
                <w:rFonts w:asciiTheme="majorHAnsi" w:eastAsia="Times New Roman" w:hAnsiTheme="majorHAnsi" w:cs="Arial"/>
                <w:sz w:val="21"/>
                <w:szCs w:val="21"/>
                <w:lang w:val="en-GB" w:eastAsia="en-US"/>
              </w:rPr>
              <w:t xml:space="preserve">332.37 </w:t>
            </w:r>
          </w:p>
        </w:tc>
      </w:tr>
      <w:tr w:rsidR="007A5D24" w:rsidRPr="00E80090" w14:paraId="6E584427" w14:textId="77777777" w:rsidTr="00F3533C">
        <w:trPr>
          <w:trHeight w:val="249"/>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E584421" w14:textId="77777777" w:rsidR="008C2E95" w:rsidRPr="00E80090" w:rsidRDefault="00F3533C" w:rsidP="00F3533C">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Outgoing</w:t>
            </w:r>
            <w:r w:rsidR="008C2E95" w:rsidRPr="00E80090">
              <w:rPr>
                <w:rFonts w:asciiTheme="majorHAnsi" w:eastAsia="Times New Roman" w:hAnsiTheme="majorHAnsi" w:cs="Arial"/>
                <w:sz w:val="21"/>
                <w:szCs w:val="21"/>
                <w:lang w:val="en-GB" w:eastAsia="en-US"/>
              </w:rPr>
              <w:t xml:space="preserve"> </w:t>
            </w:r>
            <w:r w:rsidRPr="00E80090">
              <w:rPr>
                <w:rFonts w:asciiTheme="majorHAnsi" w:eastAsia="Times New Roman" w:hAnsiTheme="majorHAnsi" w:cs="Arial"/>
                <w:sz w:val="21"/>
                <w:szCs w:val="21"/>
                <w:lang w:val="en-GB" w:eastAsia="en-US"/>
              </w:rPr>
              <w:t>FCY payments</w:t>
            </w:r>
          </w:p>
        </w:tc>
        <w:tc>
          <w:tcPr>
            <w:tcW w:w="1800" w:type="dxa"/>
            <w:tcBorders>
              <w:top w:val="nil"/>
              <w:left w:val="nil"/>
              <w:bottom w:val="single" w:sz="4" w:space="0" w:color="auto"/>
              <w:right w:val="single" w:sz="4" w:space="0" w:color="auto"/>
            </w:tcBorders>
            <w:shd w:val="clear" w:color="auto" w:fill="auto"/>
            <w:vAlign w:val="center"/>
            <w:hideMark/>
          </w:tcPr>
          <w:p w14:paraId="6E584422"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0.1%, min 25 </w:t>
            </w:r>
            <w:r w:rsidR="007A6167" w:rsidRPr="00E80090">
              <w:rPr>
                <w:rFonts w:asciiTheme="majorHAnsi" w:eastAsia="Times New Roman" w:hAnsiTheme="majorHAnsi" w:cs="Arial"/>
                <w:sz w:val="21"/>
                <w:szCs w:val="21"/>
                <w:lang w:val="en-GB" w:eastAsia="en-US"/>
              </w:rPr>
              <w:t>EUR</w:t>
            </w:r>
            <w:r w:rsidRPr="00E80090">
              <w:rPr>
                <w:rFonts w:asciiTheme="majorHAnsi" w:eastAsia="Times New Roman" w:hAnsiTheme="majorHAnsi" w:cs="Arial"/>
                <w:sz w:val="21"/>
                <w:szCs w:val="21"/>
                <w:lang w:val="en-GB" w:eastAsia="en-US"/>
              </w:rPr>
              <w:t>/tr</w:t>
            </w:r>
          </w:p>
        </w:tc>
        <w:tc>
          <w:tcPr>
            <w:tcW w:w="1800" w:type="dxa"/>
            <w:tcBorders>
              <w:top w:val="nil"/>
              <w:left w:val="nil"/>
              <w:bottom w:val="single" w:sz="4" w:space="0" w:color="auto"/>
              <w:right w:val="single" w:sz="4" w:space="0" w:color="auto"/>
            </w:tcBorders>
            <w:shd w:val="clear" w:color="auto" w:fill="auto"/>
            <w:vAlign w:val="center"/>
            <w:hideMark/>
          </w:tcPr>
          <w:p w14:paraId="6E584423"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0,08%, min EUR 15, max EUR 300</w:t>
            </w:r>
          </w:p>
        </w:tc>
        <w:tc>
          <w:tcPr>
            <w:tcW w:w="993" w:type="dxa"/>
            <w:tcBorders>
              <w:top w:val="nil"/>
              <w:left w:val="nil"/>
              <w:bottom w:val="single" w:sz="4" w:space="0" w:color="auto"/>
              <w:right w:val="single" w:sz="4" w:space="0" w:color="auto"/>
            </w:tcBorders>
            <w:shd w:val="clear" w:color="auto" w:fill="auto"/>
            <w:vAlign w:val="center"/>
            <w:hideMark/>
          </w:tcPr>
          <w:p w14:paraId="6E584424" w14:textId="77777777" w:rsidR="008C2E95" w:rsidRPr="00E80090" w:rsidRDefault="00180EDF" w:rsidP="008C2E95">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52</w:t>
            </w:r>
          </w:p>
        </w:tc>
        <w:tc>
          <w:tcPr>
            <w:tcW w:w="1384" w:type="dxa"/>
            <w:tcBorders>
              <w:top w:val="nil"/>
              <w:left w:val="nil"/>
              <w:bottom w:val="single" w:sz="4" w:space="0" w:color="auto"/>
              <w:right w:val="single" w:sz="4" w:space="0" w:color="auto"/>
            </w:tcBorders>
            <w:shd w:val="clear" w:color="auto" w:fill="auto"/>
            <w:noWrap/>
            <w:vAlign w:val="center"/>
            <w:hideMark/>
          </w:tcPr>
          <w:p w14:paraId="6E584425" w14:textId="77777777" w:rsidR="008C2E95" w:rsidRPr="00E80090" w:rsidRDefault="008C2E95"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€ 2,961.61 </w:t>
            </w:r>
          </w:p>
        </w:tc>
        <w:tc>
          <w:tcPr>
            <w:tcW w:w="1427" w:type="dxa"/>
            <w:tcBorders>
              <w:top w:val="nil"/>
              <w:left w:val="nil"/>
              <w:bottom w:val="single" w:sz="4" w:space="0" w:color="auto"/>
              <w:right w:val="single" w:sz="4" w:space="0" w:color="auto"/>
            </w:tcBorders>
            <w:shd w:val="clear" w:color="auto" w:fill="auto"/>
            <w:noWrap/>
            <w:vAlign w:val="center"/>
            <w:hideMark/>
          </w:tcPr>
          <w:p w14:paraId="6E584426" w14:textId="77777777" w:rsidR="008C2E95" w:rsidRPr="00E80090" w:rsidRDefault="008C2E95"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€ 2,186.81 </w:t>
            </w:r>
          </w:p>
        </w:tc>
      </w:tr>
      <w:tr w:rsidR="007A5D24" w:rsidRPr="00E80090" w14:paraId="6E58442E" w14:textId="77777777" w:rsidTr="00F3533C">
        <w:trPr>
          <w:trHeight w:val="498"/>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E584428" w14:textId="77777777" w:rsidR="008C2E95" w:rsidRPr="00E80090" w:rsidRDefault="008C2E95" w:rsidP="008C2E9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CB reporting - Electronic DIE - DPE</w:t>
            </w:r>
          </w:p>
        </w:tc>
        <w:tc>
          <w:tcPr>
            <w:tcW w:w="1800" w:type="dxa"/>
            <w:tcBorders>
              <w:top w:val="nil"/>
              <w:left w:val="nil"/>
              <w:bottom w:val="single" w:sz="4" w:space="0" w:color="auto"/>
              <w:right w:val="single" w:sz="4" w:space="0" w:color="auto"/>
            </w:tcBorders>
            <w:shd w:val="clear" w:color="auto" w:fill="auto"/>
            <w:vAlign w:val="center"/>
            <w:hideMark/>
          </w:tcPr>
          <w:p w14:paraId="6E584429"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N/A</w:t>
            </w:r>
          </w:p>
        </w:tc>
        <w:tc>
          <w:tcPr>
            <w:tcW w:w="1800" w:type="dxa"/>
            <w:tcBorders>
              <w:top w:val="nil"/>
              <w:left w:val="nil"/>
              <w:bottom w:val="single" w:sz="4" w:space="0" w:color="auto"/>
              <w:right w:val="single" w:sz="4" w:space="0" w:color="auto"/>
            </w:tcBorders>
            <w:shd w:val="clear" w:color="auto" w:fill="auto"/>
            <w:vAlign w:val="center"/>
            <w:hideMark/>
          </w:tcPr>
          <w:p w14:paraId="6E58442A" w14:textId="77777777" w:rsidR="008C2E95" w:rsidRPr="00E80090" w:rsidRDefault="008C2E95" w:rsidP="004917BC">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Free </w:t>
            </w:r>
            <w:r w:rsidR="004917BC" w:rsidRPr="00E80090">
              <w:rPr>
                <w:rFonts w:asciiTheme="majorHAnsi" w:eastAsia="Times New Roman" w:hAnsiTheme="majorHAnsi" w:cs="Arial"/>
                <w:sz w:val="21"/>
                <w:szCs w:val="21"/>
                <w:lang w:val="en-GB" w:eastAsia="en-US"/>
              </w:rPr>
              <w:t>of charge</w:t>
            </w:r>
          </w:p>
        </w:tc>
        <w:tc>
          <w:tcPr>
            <w:tcW w:w="993" w:type="dxa"/>
            <w:tcBorders>
              <w:top w:val="nil"/>
              <w:left w:val="nil"/>
              <w:bottom w:val="single" w:sz="4" w:space="0" w:color="auto"/>
              <w:right w:val="single" w:sz="4" w:space="0" w:color="auto"/>
            </w:tcBorders>
            <w:shd w:val="clear" w:color="auto" w:fill="auto"/>
            <w:vAlign w:val="center"/>
            <w:hideMark/>
          </w:tcPr>
          <w:p w14:paraId="6E58442B"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p>
        </w:tc>
        <w:tc>
          <w:tcPr>
            <w:tcW w:w="1384" w:type="dxa"/>
            <w:tcBorders>
              <w:top w:val="nil"/>
              <w:left w:val="nil"/>
              <w:bottom w:val="single" w:sz="4" w:space="0" w:color="auto"/>
              <w:right w:val="single" w:sz="4" w:space="0" w:color="auto"/>
            </w:tcBorders>
            <w:shd w:val="clear" w:color="auto" w:fill="auto"/>
            <w:noWrap/>
            <w:vAlign w:val="center"/>
            <w:hideMark/>
          </w:tcPr>
          <w:p w14:paraId="6E58442C" w14:textId="77777777" w:rsidR="008C2E95" w:rsidRPr="00E80090" w:rsidRDefault="0092494B"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c>
          <w:tcPr>
            <w:tcW w:w="1427" w:type="dxa"/>
            <w:tcBorders>
              <w:top w:val="nil"/>
              <w:left w:val="nil"/>
              <w:bottom w:val="single" w:sz="4" w:space="0" w:color="auto"/>
              <w:right w:val="single" w:sz="4" w:space="0" w:color="auto"/>
            </w:tcBorders>
            <w:shd w:val="clear" w:color="auto" w:fill="auto"/>
            <w:noWrap/>
            <w:vAlign w:val="center"/>
            <w:hideMark/>
          </w:tcPr>
          <w:p w14:paraId="6E58442D" w14:textId="77777777" w:rsidR="008C2E95" w:rsidRPr="00E80090" w:rsidRDefault="0092494B"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r>
      <w:tr w:rsidR="007A5D24" w:rsidRPr="00E80090" w14:paraId="6E584435" w14:textId="77777777" w:rsidTr="00F3533C">
        <w:trPr>
          <w:trHeight w:val="249"/>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E58442F" w14:textId="77777777" w:rsidR="008C2E95" w:rsidRPr="00E80090" w:rsidRDefault="00823AD8" w:rsidP="00823AD8">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Ch</w:t>
            </w:r>
            <w:r w:rsidR="00477FC9" w:rsidRPr="00E80090">
              <w:rPr>
                <w:rFonts w:asciiTheme="majorHAnsi" w:hAnsiTheme="majorHAnsi" w:cs="Cambria"/>
                <w:sz w:val="21"/>
                <w:szCs w:val="21"/>
                <w:lang w:val="en-GB" w:eastAsia="en-US"/>
              </w:rPr>
              <w:t>eques</w:t>
            </w:r>
          </w:p>
        </w:tc>
        <w:tc>
          <w:tcPr>
            <w:tcW w:w="1800" w:type="dxa"/>
            <w:tcBorders>
              <w:top w:val="nil"/>
              <w:left w:val="nil"/>
              <w:bottom w:val="single" w:sz="4" w:space="0" w:color="auto"/>
              <w:right w:val="single" w:sz="4" w:space="0" w:color="auto"/>
            </w:tcBorders>
            <w:shd w:val="clear" w:color="auto" w:fill="auto"/>
            <w:vAlign w:val="center"/>
            <w:hideMark/>
          </w:tcPr>
          <w:p w14:paraId="6E584430"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Min RON 8 - Max. 15</w:t>
            </w:r>
          </w:p>
        </w:tc>
        <w:tc>
          <w:tcPr>
            <w:tcW w:w="1800" w:type="dxa"/>
            <w:tcBorders>
              <w:top w:val="nil"/>
              <w:left w:val="nil"/>
              <w:bottom w:val="single" w:sz="4" w:space="0" w:color="auto"/>
              <w:right w:val="single" w:sz="4" w:space="0" w:color="auto"/>
            </w:tcBorders>
            <w:shd w:val="clear" w:color="auto" w:fill="auto"/>
            <w:vAlign w:val="center"/>
            <w:hideMark/>
          </w:tcPr>
          <w:p w14:paraId="6E584431"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RON 4.88</w:t>
            </w:r>
          </w:p>
        </w:tc>
        <w:tc>
          <w:tcPr>
            <w:tcW w:w="993" w:type="dxa"/>
            <w:tcBorders>
              <w:top w:val="nil"/>
              <w:left w:val="nil"/>
              <w:bottom w:val="single" w:sz="4" w:space="0" w:color="auto"/>
              <w:right w:val="single" w:sz="4" w:space="0" w:color="auto"/>
            </w:tcBorders>
            <w:shd w:val="clear" w:color="auto" w:fill="auto"/>
            <w:vAlign w:val="center"/>
            <w:hideMark/>
          </w:tcPr>
          <w:p w14:paraId="6E584432"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300</w:t>
            </w:r>
          </w:p>
        </w:tc>
        <w:tc>
          <w:tcPr>
            <w:tcW w:w="1384" w:type="dxa"/>
            <w:tcBorders>
              <w:top w:val="nil"/>
              <w:left w:val="nil"/>
              <w:bottom w:val="single" w:sz="4" w:space="0" w:color="auto"/>
              <w:right w:val="single" w:sz="4" w:space="0" w:color="auto"/>
            </w:tcBorders>
            <w:shd w:val="clear" w:color="auto" w:fill="auto"/>
            <w:noWrap/>
            <w:vAlign w:val="center"/>
            <w:hideMark/>
          </w:tcPr>
          <w:p w14:paraId="6E584433" w14:textId="77777777" w:rsidR="008C2E95" w:rsidRPr="00E80090" w:rsidRDefault="008C2E95" w:rsidP="0092494B">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 xml:space="preserve"> € 529.68 </w:t>
            </w:r>
          </w:p>
        </w:tc>
        <w:tc>
          <w:tcPr>
            <w:tcW w:w="1427" w:type="dxa"/>
            <w:tcBorders>
              <w:top w:val="nil"/>
              <w:left w:val="nil"/>
              <w:bottom w:val="single" w:sz="4" w:space="0" w:color="auto"/>
              <w:right w:val="single" w:sz="4" w:space="0" w:color="auto"/>
            </w:tcBorders>
            <w:shd w:val="clear" w:color="auto" w:fill="auto"/>
            <w:noWrap/>
            <w:vAlign w:val="center"/>
            <w:hideMark/>
          </w:tcPr>
          <w:p w14:paraId="6E584434" w14:textId="77777777" w:rsidR="008C2E95" w:rsidRPr="00E80090" w:rsidRDefault="008C2E95"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€ 323.10 </w:t>
            </w:r>
          </w:p>
        </w:tc>
      </w:tr>
      <w:tr w:rsidR="007A5D24" w:rsidRPr="00E80090" w14:paraId="6E58443C" w14:textId="77777777" w:rsidTr="00F3533C">
        <w:trPr>
          <w:trHeight w:val="513"/>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6E584436" w14:textId="77777777" w:rsidR="008C2E95" w:rsidRPr="00E80090" w:rsidRDefault="008C2E95" w:rsidP="008C2E9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Withdrawal in RON</w:t>
            </w:r>
          </w:p>
        </w:tc>
        <w:tc>
          <w:tcPr>
            <w:tcW w:w="1800" w:type="dxa"/>
            <w:tcBorders>
              <w:top w:val="nil"/>
              <w:left w:val="nil"/>
              <w:bottom w:val="single" w:sz="4" w:space="0" w:color="auto"/>
              <w:right w:val="single" w:sz="4" w:space="0" w:color="auto"/>
            </w:tcBorders>
            <w:shd w:val="clear" w:color="auto" w:fill="auto"/>
            <w:vAlign w:val="center"/>
            <w:hideMark/>
          </w:tcPr>
          <w:p w14:paraId="6E584437"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0.5% of the amount, min RON 2.5</w:t>
            </w:r>
          </w:p>
        </w:tc>
        <w:tc>
          <w:tcPr>
            <w:tcW w:w="1800" w:type="dxa"/>
            <w:tcBorders>
              <w:top w:val="nil"/>
              <w:left w:val="nil"/>
              <w:bottom w:val="single" w:sz="4" w:space="0" w:color="auto"/>
              <w:right w:val="single" w:sz="4" w:space="0" w:color="auto"/>
            </w:tcBorders>
            <w:shd w:val="clear" w:color="auto" w:fill="auto"/>
            <w:vAlign w:val="center"/>
            <w:hideMark/>
          </w:tcPr>
          <w:p w14:paraId="6E584438"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0.5% with min RON 3.5</w:t>
            </w:r>
          </w:p>
        </w:tc>
        <w:tc>
          <w:tcPr>
            <w:tcW w:w="993" w:type="dxa"/>
            <w:tcBorders>
              <w:top w:val="nil"/>
              <w:left w:val="nil"/>
              <w:bottom w:val="single" w:sz="4" w:space="0" w:color="auto"/>
              <w:right w:val="single" w:sz="4" w:space="0" w:color="auto"/>
            </w:tcBorders>
            <w:shd w:val="clear" w:color="auto" w:fill="auto"/>
            <w:vAlign w:val="center"/>
            <w:hideMark/>
          </w:tcPr>
          <w:p w14:paraId="6E584439" w14:textId="77777777" w:rsidR="008C2E95" w:rsidRPr="00E80090" w:rsidRDefault="008C2E95" w:rsidP="008C2E95">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8000</w:t>
            </w:r>
          </w:p>
        </w:tc>
        <w:tc>
          <w:tcPr>
            <w:tcW w:w="1384" w:type="dxa"/>
            <w:tcBorders>
              <w:top w:val="nil"/>
              <w:left w:val="nil"/>
              <w:bottom w:val="single" w:sz="4" w:space="0" w:color="auto"/>
              <w:right w:val="single" w:sz="4" w:space="0" w:color="auto"/>
            </w:tcBorders>
            <w:shd w:val="clear" w:color="auto" w:fill="auto"/>
            <w:noWrap/>
            <w:vAlign w:val="center"/>
            <w:hideMark/>
          </w:tcPr>
          <w:p w14:paraId="6E58443A" w14:textId="77777777" w:rsidR="008C2E95" w:rsidRPr="00E80090" w:rsidRDefault="0092494B"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w:t>
            </w:r>
            <w:r w:rsidR="008C2E95" w:rsidRPr="00E80090">
              <w:rPr>
                <w:rFonts w:asciiTheme="majorHAnsi" w:eastAsia="Times New Roman" w:hAnsiTheme="majorHAnsi" w:cs="Arial"/>
                <w:sz w:val="21"/>
                <w:szCs w:val="21"/>
                <w:lang w:val="en-GB" w:eastAsia="en-US"/>
              </w:rPr>
              <w:t xml:space="preserve">8.83 </w:t>
            </w:r>
          </w:p>
        </w:tc>
        <w:tc>
          <w:tcPr>
            <w:tcW w:w="1427" w:type="dxa"/>
            <w:tcBorders>
              <w:top w:val="nil"/>
              <w:left w:val="nil"/>
              <w:bottom w:val="single" w:sz="4" w:space="0" w:color="auto"/>
              <w:right w:val="single" w:sz="4" w:space="0" w:color="auto"/>
            </w:tcBorders>
            <w:shd w:val="clear" w:color="auto" w:fill="auto"/>
            <w:noWrap/>
            <w:vAlign w:val="center"/>
            <w:hideMark/>
          </w:tcPr>
          <w:p w14:paraId="6E58443B" w14:textId="77777777" w:rsidR="008C2E95" w:rsidRPr="00E80090" w:rsidRDefault="008C2E95" w:rsidP="0092494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xml:space="preserve"> € 8.83 </w:t>
            </w:r>
          </w:p>
        </w:tc>
      </w:tr>
      <w:tr w:rsidR="007A5D24" w:rsidRPr="00E80090" w14:paraId="6E584443" w14:textId="77777777" w:rsidTr="00F3533C">
        <w:trPr>
          <w:trHeight w:val="249"/>
        </w:trPr>
        <w:tc>
          <w:tcPr>
            <w:tcW w:w="2265" w:type="dxa"/>
            <w:tcBorders>
              <w:top w:val="nil"/>
              <w:left w:val="nil"/>
              <w:bottom w:val="nil"/>
              <w:right w:val="nil"/>
            </w:tcBorders>
            <w:shd w:val="clear" w:color="auto" w:fill="auto"/>
            <w:noWrap/>
            <w:vAlign w:val="bottom"/>
            <w:hideMark/>
          </w:tcPr>
          <w:p w14:paraId="6E58443D" w14:textId="77777777" w:rsidR="008C2E95" w:rsidRPr="00E80090" w:rsidRDefault="008C2E95" w:rsidP="008C2E95">
            <w:pPr>
              <w:rPr>
                <w:rFonts w:asciiTheme="majorHAnsi" w:eastAsia="Times New Roman" w:hAnsiTheme="majorHAnsi" w:cs="Arial"/>
                <w:sz w:val="21"/>
                <w:szCs w:val="21"/>
                <w:lang w:val="en-GB" w:eastAsia="en-US"/>
              </w:rPr>
            </w:pPr>
          </w:p>
        </w:tc>
        <w:tc>
          <w:tcPr>
            <w:tcW w:w="1800" w:type="dxa"/>
            <w:tcBorders>
              <w:top w:val="nil"/>
              <w:left w:val="nil"/>
              <w:bottom w:val="nil"/>
              <w:right w:val="nil"/>
            </w:tcBorders>
            <w:shd w:val="clear" w:color="auto" w:fill="auto"/>
            <w:noWrap/>
            <w:vAlign w:val="bottom"/>
            <w:hideMark/>
          </w:tcPr>
          <w:p w14:paraId="6E58443E" w14:textId="77777777" w:rsidR="008C2E95" w:rsidRPr="00E80090" w:rsidRDefault="008C2E95" w:rsidP="008C2E95">
            <w:pPr>
              <w:rPr>
                <w:rFonts w:asciiTheme="majorHAnsi" w:eastAsia="Times New Roman" w:hAnsiTheme="majorHAnsi" w:cs="Arial"/>
                <w:sz w:val="21"/>
                <w:szCs w:val="21"/>
                <w:lang w:val="en-GB" w:eastAsia="en-US"/>
              </w:rPr>
            </w:pPr>
          </w:p>
        </w:tc>
        <w:tc>
          <w:tcPr>
            <w:tcW w:w="1800" w:type="dxa"/>
            <w:tcBorders>
              <w:top w:val="nil"/>
              <w:left w:val="nil"/>
              <w:bottom w:val="nil"/>
              <w:right w:val="nil"/>
            </w:tcBorders>
            <w:shd w:val="clear" w:color="auto" w:fill="auto"/>
            <w:noWrap/>
            <w:vAlign w:val="bottom"/>
            <w:hideMark/>
          </w:tcPr>
          <w:p w14:paraId="6E58443F" w14:textId="77777777" w:rsidR="008C2E95" w:rsidRPr="00E80090" w:rsidRDefault="008C2E95" w:rsidP="008C2E95">
            <w:pPr>
              <w:rPr>
                <w:rFonts w:asciiTheme="majorHAnsi" w:eastAsia="Times New Roman" w:hAnsiTheme="majorHAnsi" w:cs="Arial"/>
                <w:sz w:val="21"/>
                <w:szCs w:val="21"/>
                <w:lang w:val="en-GB" w:eastAsia="en-US"/>
              </w:rPr>
            </w:pPr>
          </w:p>
        </w:tc>
        <w:tc>
          <w:tcPr>
            <w:tcW w:w="993" w:type="dxa"/>
            <w:tcBorders>
              <w:top w:val="nil"/>
              <w:left w:val="nil"/>
              <w:bottom w:val="nil"/>
              <w:right w:val="single" w:sz="4" w:space="0" w:color="auto"/>
            </w:tcBorders>
            <w:shd w:val="clear" w:color="auto" w:fill="auto"/>
            <w:noWrap/>
            <w:vAlign w:val="bottom"/>
            <w:hideMark/>
          </w:tcPr>
          <w:p w14:paraId="6E584440" w14:textId="77777777" w:rsidR="008C2E95" w:rsidRPr="00E80090" w:rsidRDefault="008C2E95" w:rsidP="008C2E95">
            <w:pPr>
              <w:rPr>
                <w:rFonts w:asciiTheme="majorHAnsi" w:eastAsia="Times New Roman" w:hAnsiTheme="majorHAnsi" w:cs="Arial"/>
                <w:sz w:val="21"/>
                <w:szCs w:val="21"/>
                <w:lang w:val="en-GB" w:eastAsia="en-US"/>
              </w:rPr>
            </w:pPr>
          </w:p>
        </w:tc>
        <w:tc>
          <w:tcPr>
            <w:tcW w:w="1384"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584441" w14:textId="77777777" w:rsidR="008C2E95" w:rsidRPr="00E80090" w:rsidRDefault="008C2E95" w:rsidP="004F6E4D">
            <w:pP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 xml:space="preserve"> €</w:t>
            </w:r>
            <w:r w:rsidR="004F6E4D" w:rsidRPr="00E80090">
              <w:rPr>
                <w:rFonts w:asciiTheme="majorHAnsi" w:eastAsia="Times New Roman" w:hAnsiTheme="majorHAnsi" w:cs="Arial"/>
                <w:b/>
                <w:bCs/>
                <w:sz w:val="21"/>
                <w:szCs w:val="21"/>
                <w:lang w:val="en-GB" w:eastAsia="en-US"/>
              </w:rPr>
              <w:t xml:space="preserve"> </w:t>
            </w:r>
            <w:r w:rsidRPr="00E80090">
              <w:rPr>
                <w:rFonts w:asciiTheme="majorHAnsi" w:eastAsia="Times New Roman" w:hAnsiTheme="majorHAnsi" w:cs="Arial"/>
                <w:b/>
                <w:bCs/>
                <w:sz w:val="21"/>
                <w:szCs w:val="21"/>
                <w:lang w:val="en-GB" w:eastAsia="en-US"/>
              </w:rPr>
              <w:t xml:space="preserve">4,444.91 </w:t>
            </w:r>
          </w:p>
        </w:tc>
        <w:tc>
          <w:tcPr>
            <w:tcW w:w="1427" w:type="dxa"/>
            <w:tcBorders>
              <w:top w:val="nil"/>
              <w:left w:val="nil"/>
              <w:bottom w:val="single" w:sz="4" w:space="0" w:color="auto"/>
              <w:right w:val="single" w:sz="4" w:space="0" w:color="auto"/>
            </w:tcBorders>
            <w:shd w:val="clear" w:color="000000" w:fill="92D050"/>
            <w:noWrap/>
            <w:vAlign w:val="bottom"/>
            <w:hideMark/>
          </w:tcPr>
          <w:p w14:paraId="6E584442" w14:textId="77777777" w:rsidR="008C2E95" w:rsidRPr="00E80090" w:rsidRDefault="008C2E95" w:rsidP="004F6E4D">
            <w:pP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 xml:space="preserve"> € 2,851.12 </w:t>
            </w:r>
          </w:p>
        </w:tc>
      </w:tr>
    </w:tbl>
    <w:p w14:paraId="6E584444" w14:textId="77777777" w:rsidR="004F6E4D" w:rsidRPr="00E80090" w:rsidRDefault="004F6E4D" w:rsidP="0020061E">
      <w:pPr>
        <w:spacing w:after="200" w:line="360" w:lineRule="auto"/>
        <w:jc w:val="both"/>
        <w:rPr>
          <w:rFonts w:asciiTheme="majorHAnsi" w:hAnsiTheme="majorHAnsi" w:cs="Cambria"/>
          <w:sz w:val="4"/>
          <w:lang w:val="en-GB" w:eastAsia="en-US"/>
        </w:rPr>
      </w:pPr>
    </w:p>
    <w:p w14:paraId="6E584445" w14:textId="77777777" w:rsidR="000758B8" w:rsidRPr="00E80090" w:rsidRDefault="000758B8" w:rsidP="0020061E">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 xml:space="preserve">Looking at the incoming </w:t>
      </w:r>
      <w:r w:rsidR="00840FB0" w:rsidRPr="00E80090">
        <w:rPr>
          <w:rFonts w:asciiTheme="majorHAnsi" w:hAnsiTheme="majorHAnsi" w:cs="Cambria"/>
          <w:lang w:val="en-GB" w:eastAsia="en-US"/>
        </w:rPr>
        <w:t>payments in RON</w:t>
      </w:r>
      <w:r w:rsidR="0071030E" w:rsidRPr="00E80090">
        <w:rPr>
          <w:rFonts w:asciiTheme="majorHAnsi" w:hAnsiTheme="majorHAnsi" w:cs="Cambria"/>
          <w:lang w:val="en-GB" w:eastAsia="en-US"/>
        </w:rPr>
        <w:t>, Volksbank allows for</w:t>
      </w:r>
      <w:r w:rsidR="006673C1" w:rsidRPr="00E80090">
        <w:rPr>
          <w:rFonts w:asciiTheme="majorHAnsi" w:hAnsiTheme="majorHAnsi" w:cs="Cambria"/>
          <w:lang w:val="en-GB" w:eastAsia="en-US"/>
        </w:rPr>
        <w:t xml:space="preserve"> </w:t>
      </w:r>
      <w:r w:rsidR="0071030E" w:rsidRPr="00E80090">
        <w:rPr>
          <w:rFonts w:asciiTheme="majorHAnsi" w:hAnsiTheme="majorHAnsi" w:cs="Cambria"/>
          <w:lang w:val="en-GB" w:eastAsia="en-US"/>
        </w:rPr>
        <w:t>10 free receivables per month and if there are more they cost 1.70 EUR. As a result</w:t>
      </w:r>
      <w:r w:rsidR="000B3D2D" w:rsidRPr="00E80090">
        <w:rPr>
          <w:rFonts w:asciiTheme="majorHAnsi" w:hAnsiTheme="majorHAnsi" w:cs="Cambria"/>
          <w:lang w:val="en-GB" w:eastAsia="en-US"/>
        </w:rPr>
        <w:t>,</w:t>
      </w:r>
      <w:r w:rsidR="0071030E" w:rsidRPr="00E80090">
        <w:rPr>
          <w:rFonts w:asciiTheme="majorHAnsi" w:hAnsiTheme="majorHAnsi" w:cs="Cambria"/>
          <w:lang w:val="en-GB" w:eastAsia="en-US"/>
        </w:rPr>
        <w:t xml:space="preserve"> the 300 yearly payments were divided into 12 to see the amoun</w:t>
      </w:r>
      <w:r w:rsidR="000B3D2D" w:rsidRPr="00E80090">
        <w:rPr>
          <w:rFonts w:asciiTheme="majorHAnsi" w:hAnsiTheme="majorHAnsi" w:cs="Cambria"/>
          <w:lang w:val="en-GB" w:eastAsia="en-US"/>
        </w:rPr>
        <w:t>t of receivables per month, which is 25. As the first 10 are free, the fee would be charged for 15 receivables every month</w:t>
      </w:r>
      <w:r w:rsidR="00597A30" w:rsidRPr="00E80090">
        <w:rPr>
          <w:rFonts w:asciiTheme="majorHAnsi" w:hAnsiTheme="majorHAnsi" w:cs="Cambria"/>
          <w:lang w:val="en-GB" w:eastAsia="en-US"/>
        </w:rPr>
        <w:t>, as reflected in the table above</w:t>
      </w:r>
      <w:r w:rsidR="000B3D2D" w:rsidRPr="00E80090">
        <w:rPr>
          <w:rFonts w:asciiTheme="majorHAnsi" w:hAnsiTheme="majorHAnsi" w:cs="Cambria"/>
          <w:lang w:val="en-GB" w:eastAsia="en-US"/>
        </w:rPr>
        <w:t xml:space="preserve">. </w:t>
      </w:r>
    </w:p>
    <w:p w14:paraId="6E584446" w14:textId="77777777" w:rsidR="00F76361" w:rsidRPr="00E80090" w:rsidRDefault="000758B8" w:rsidP="003F1212">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lastRenderedPageBreak/>
        <w:t xml:space="preserve">Finally, considering the </w:t>
      </w:r>
      <w:r w:rsidR="00840FB0" w:rsidRPr="00E80090">
        <w:rPr>
          <w:rFonts w:asciiTheme="majorHAnsi" w:hAnsiTheme="majorHAnsi" w:cs="Cambria"/>
          <w:lang w:val="en-GB" w:eastAsia="en-US"/>
        </w:rPr>
        <w:t xml:space="preserve">outgoing </w:t>
      </w:r>
      <w:r w:rsidRPr="00E80090">
        <w:rPr>
          <w:rFonts w:asciiTheme="majorHAnsi" w:hAnsiTheme="majorHAnsi" w:cs="Cambria"/>
          <w:lang w:val="en-GB" w:eastAsia="en-US"/>
        </w:rPr>
        <w:t xml:space="preserve">payments in RON and the </w:t>
      </w:r>
      <w:r w:rsidR="00477FC9" w:rsidRPr="00E80090">
        <w:rPr>
          <w:rFonts w:asciiTheme="majorHAnsi" w:hAnsiTheme="majorHAnsi" w:cs="Cambria"/>
          <w:lang w:val="en-GB" w:eastAsia="en-US"/>
        </w:rPr>
        <w:t>cheques</w:t>
      </w:r>
      <w:r w:rsidRPr="00E80090">
        <w:rPr>
          <w:rFonts w:asciiTheme="majorHAnsi" w:hAnsiTheme="majorHAnsi" w:cs="Cambria"/>
          <w:lang w:val="en-GB" w:eastAsia="en-US"/>
        </w:rPr>
        <w:t>,</w:t>
      </w:r>
      <w:r w:rsidR="004E59F6" w:rsidRPr="00E80090">
        <w:rPr>
          <w:rFonts w:asciiTheme="majorHAnsi" w:hAnsiTheme="majorHAnsi" w:cs="Cambria"/>
          <w:lang w:val="en-GB" w:eastAsia="en-US"/>
        </w:rPr>
        <w:t xml:space="preserve"> tier pricing is applied with the current bank. </w:t>
      </w:r>
      <w:r w:rsidR="004A7F45" w:rsidRPr="00E80090">
        <w:rPr>
          <w:rFonts w:asciiTheme="majorHAnsi" w:hAnsiTheme="majorHAnsi" w:cs="Cambria"/>
          <w:lang w:val="en-GB" w:eastAsia="en-US"/>
        </w:rPr>
        <w:t xml:space="preserve">However, as it was not clear how those prices were exactly applied, it was assumed that the lowest fee is charged on these components. </w:t>
      </w:r>
    </w:p>
    <w:p w14:paraId="6E584447" w14:textId="77777777" w:rsidR="00F30ECB" w:rsidRPr="00E80090" w:rsidRDefault="00F30ECB" w:rsidP="00621F88">
      <w:pPr>
        <w:pStyle w:val="Lijstalinea"/>
        <w:numPr>
          <w:ilvl w:val="0"/>
          <w:numId w:val="28"/>
        </w:numPr>
        <w:spacing w:line="360" w:lineRule="auto"/>
        <w:jc w:val="both"/>
        <w:rPr>
          <w:rFonts w:asciiTheme="majorHAnsi" w:hAnsiTheme="majorHAnsi" w:cs="Cambria"/>
          <w:b/>
          <w:lang w:val="en-GB"/>
        </w:rPr>
      </w:pPr>
      <w:r w:rsidRPr="00E80090">
        <w:rPr>
          <w:rFonts w:asciiTheme="majorHAnsi" w:hAnsiTheme="majorHAnsi" w:cs="Cambria"/>
          <w:b/>
          <w:sz w:val="26"/>
          <w:szCs w:val="26"/>
          <w:lang w:val="en-GB"/>
        </w:rPr>
        <w:t>Slovakia</w:t>
      </w:r>
    </w:p>
    <w:p w14:paraId="6E584448" w14:textId="77777777" w:rsidR="00F83780" w:rsidRPr="00E80090" w:rsidRDefault="00621F88" w:rsidP="00621F88">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For Slov</w:t>
      </w:r>
      <w:r w:rsidR="009613E6" w:rsidRPr="00E80090">
        <w:rPr>
          <w:rFonts w:asciiTheme="majorHAnsi" w:hAnsiTheme="majorHAnsi" w:cs="Cambria"/>
          <w:lang w:val="en-GB" w:eastAsia="en-US"/>
        </w:rPr>
        <w:t xml:space="preserve">akia, the volumes in the table for most of the components are based on the actual transaction data for 2012. </w:t>
      </w:r>
      <w:r w:rsidRPr="00E80090">
        <w:rPr>
          <w:rFonts w:asciiTheme="majorHAnsi" w:hAnsiTheme="majorHAnsi" w:cs="Cambria"/>
          <w:lang w:val="en-GB" w:eastAsia="en-US"/>
        </w:rPr>
        <w:t>However, there is no available information on the actual volume of incoming domestic payments. The latter was calculated based on the number of local customers (42) and their average payment terms (90 days). Therefore, it was determined that the 42 customers pay 4 times a year and as a result there are approximately 168 domestic payments received per year. However, as not all cus</w:t>
      </w:r>
      <w:r w:rsidR="009613E6" w:rsidRPr="00E80090">
        <w:rPr>
          <w:rFonts w:asciiTheme="majorHAnsi" w:hAnsiTheme="majorHAnsi" w:cs="Cambria"/>
          <w:lang w:val="en-GB" w:eastAsia="en-US"/>
        </w:rPr>
        <w:t xml:space="preserve">tomers pay within their payment </w:t>
      </w:r>
      <w:r w:rsidRPr="00E80090">
        <w:rPr>
          <w:rFonts w:asciiTheme="majorHAnsi" w:hAnsiTheme="majorHAnsi" w:cs="Cambria"/>
          <w:lang w:val="en-GB" w:eastAsia="en-US"/>
        </w:rPr>
        <w:t xml:space="preserve">terms, this amount is only an approximation used to estimate the difference between </w:t>
      </w:r>
      <w:r w:rsidR="009613E6" w:rsidRPr="00E80090">
        <w:rPr>
          <w:rFonts w:asciiTheme="majorHAnsi" w:hAnsiTheme="majorHAnsi" w:cs="Cambria"/>
          <w:lang w:val="en-GB" w:eastAsia="en-US"/>
        </w:rPr>
        <w:t>the current and proposed costs.</w:t>
      </w:r>
    </w:p>
    <w:tbl>
      <w:tblPr>
        <w:tblpPr w:leftFromText="180" w:rightFromText="180" w:vertAnchor="text" w:horzAnchor="margin" w:tblpY="88"/>
        <w:tblW w:w="9242" w:type="dxa"/>
        <w:tblLook w:val="04A0" w:firstRow="1" w:lastRow="0" w:firstColumn="1" w:lastColumn="0" w:noHBand="0" w:noVBand="1"/>
      </w:tblPr>
      <w:tblGrid>
        <w:gridCol w:w="2347"/>
        <w:gridCol w:w="1898"/>
        <w:gridCol w:w="1520"/>
        <w:gridCol w:w="993"/>
        <w:gridCol w:w="1291"/>
        <w:gridCol w:w="1193"/>
      </w:tblGrid>
      <w:tr w:rsidR="009613E6" w:rsidRPr="00E80090" w14:paraId="6E58444F" w14:textId="77777777" w:rsidTr="009613E6">
        <w:trPr>
          <w:trHeight w:val="256"/>
        </w:trPr>
        <w:tc>
          <w:tcPr>
            <w:tcW w:w="2347"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6E584449" w14:textId="77777777" w:rsidR="009613E6" w:rsidRPr="00E80090" w:rsidRDefault="009613E6" w:rsidP="009613E6">
            <w:pPr>
              <w:rPr>
                <w:rFonts w:asciiTheme="majorHAnsi" w:eastAsia="Times New Roman" w:hAnsiTheme="majorHAnsi" w:cs="Arial"/>
                <w:b/>
                <w:sz w:val="22"/>
                <w:szCs w:val="22"/>
                <w:lang w:val="en-GB" w:eastAsia="en-US"/>
              </w:rPr>
            </w:pPr>
            <w:r w:rsidRPr="00E80090">
              <w:rPr>
                <w:rFonts w:asciiTheme="majorHAnsi" w:eastAsia="Times New Roman" w:hAnsiTheme="majorHAnsi" w:cs="Arial"/>
                <w:b/>
                <w:sz w:val="22"/>
                <w:szCs w:val="22"/>
                <w:lang w:val="en-GB" w:eastAsia="en-US"/>
              </w:rPr>
              <w:t>Slovakia</w:t>
            </w:r>
          </w:p>
        </w:tc>
        <w:tc>
          <w:tcPr>
            <w:tcW w:w="1898" w:type="dxa"/>
            <w:tcBorders>
              <w:top w:val="nil"/>
              <w:left w:val="nil"/>
              <w:bottom w:val="nil"/>
              <w:right w:val="nil"/>
            </w:tcBorders>
            <w:shd w:val="clear" w:color="auto" w:fill="auto"/>
            <w:noWrap/>
            <w:vAlign w:val="bottom"/>
            <w:hideMark/>
          </w:tcPr>
          <w:p w14:paraId="6E58444A" w14:textId="77777777" w:rsidR="009613E6" w:rsidRPr="00E80090" w:rsidRDefault="009613E6" w:rsidP="009613E6">
            <w:pPr>
              <w:rPr>
                <w:rFonts w:asciiTheme="majorHAnsi" w:eastAsia="Times New Roman" w:hAnsiTheme="majorHAnsi" w:cs="Arial"/>
                <w:sz w:val="22"/>
                <w:szCs w:val="22"/>
                <w:lang w:val="en-GB" w:eastAsia="en-US"/>
              </w:rPr>
            </w:pPr>
          </w:p>
        </w:tc>
        <w:tc>
          <w:tcPr>
            <w:tcW w:w="1520" w:type="dxa"/>
            <w:tcBorders>
              <w:top w:val="nil"/>
              <w:left w:val="nil"/>
              <w:bottom w:val="nil"/>
              <w:right w:val="nil"/>
            </w:tcBorders>
            <w:shd w:val="clear" w:color="auto" w:fill="auto"/>
            <w:noWrap/>
            <w:vAlign w:val="bottom"/>
            <w:hideMark/>
          </w:tcPr>
          <w:p w14:paraId="6E58444B" w14:textId="77777777" w:rsidR="009613E6" w:rsidRPr="00E80090" w:rsidRDefault="009613E6" w:rsidP="009613E6">
            <w:pPr>
              <w:rPr>
                <w:rFonts w:asciiTheme="majorHAnsi" w:eastAsia="Times New Roman" w:hAnsiTheme="majorHAnsi" w:cs="Arial"/>
                <w:sz w:val="22"/>
                <w:szCs w:val="22"/>
                <w:lang w:val="en-GB" w:eastAsia="en-US"/>
              </w:rPr>
            </w:pPr>
          </w:p>
        </w:tc>
        <w:tc>
          <w:tcPr>
            <w:tcW w:w="993" w:type="dxa"/>
            <w:tcBorders>
              <w:top w:val="nil"/>
              <w:left w:val="nil"/>
              <w:bottom w:val="nil"/>
              <w:right w:val="nil"/>
            </w:tcBorders>
            <w:shd w:val="clear" w:color="auto" w:fill="auto"/>
            <w:noWrap/>
            <w:vAlign w:val="bottom"/>
            <w:hideMark/>
          </w:tcPr>
          <w:p w14:paraId="6E58444C" w14:textId="77777777" w:rsidR="009613E6" w:rsidRPr="00E80090" w:rsidRDefault="009613E6" w:rsidP="009613E6">
            <w:pPr>
              <w:rPr>
                <w:rFonts w:asciiTheme="majorHAnsi" w:eastAsia="Times New Roman" w:hAnsiTheme="majorHAnsi" w:cs="Arial"/>
                <w:sz w:val="22"/>
                <w:szCs w:val="22"/>
                <w:lang w:val="en-GB" w:eastAsia="en-US"/>
              </w:rPr>
            </w:pPr>
          </w:p>
        </w:tc>
        <w:tc>
          <w:tcPr>
            <w:tcW w:w="1291" w:type="dxa"/>
            <w:tcBorders>
              <w:top w:val="nil"/>
              <w:left w:val="nil"/>
              <w:bottom w:val="nil"/>
              <w:right w:val="nil"/>
            </w:tcBorders>
            <w:shd w:val="clear" w:color="auto" w:fill="auto"/>
            <w:noWrap/>
            <w:vAlign w:val="bottom"/>
            <w:hideMark/>
          </w:tcPr>
          <w:p w14:paraId="6E58444D" w14:textId="77777777" w:rsidR="009613E6" w:rsidRPr="00E80090" w:rsidRDefault="009613E6" w:rsidP="009613E6">
            <w:pPr>
              <w:rPr>
                <w:rFonts w:asciiTheme="majorHAnsi" w:eastAsia="Times New Roman" w:hAnsiTheme="majorHAnsi" w:cs="Arial"/>
                <w:sz w:val="22"/>
                <w:szCs w:val="22"/>
                <w:lang w:val="en-GB" w:eastAsia="en-US"/>
              </w:rPr>
            </w:pPr>
          </w:p>
        </w:tc>
        <w:tc>
          <w:tcPr>
            <w:tcW w:w="1193" w:type="dxa"/>
            <w:tcBorders>
              <w:top w:val="nil"/>
              <w:left w:val="nil"/>
              <w:bottom w:val="nil"/>
              <w:right w:val="nil"/>
            </w:tcBorders>
            <w:shd w:val="clear" w:color="auto" w:fill="auto"/>
            <w:noWrap/>
            <w:vAlign w:val="bottom"/>
            <w:hideMark/>
          </w:tcPr>
          <w:p w14:paraId="6E58444E" w14:textId="77777777" w:rsidR="009613E6" w:rsidRPr="00E80090" w:rsidRDefault="009613E6" w:rsidP="009613E6">
            <w:pPr>
              <w:rPr>
                <w:rFonts w:asciiTheme="majorHAnsi" w:eastAsia="Times New Roman" w:hAnsiTheme="majorHAnsi" w:cs="Arial"/>
                <w:sz w:val="22"/>
                <w:szCs w:val="22"/>
                <w:lang w:val="en-GB" w:eastAsia="en-US"/>
              </w:rPr>
            </w:pPr>
          </w:p>
        </w:tc>
      </w:tr>
      <w:tr w:rsidR="009613E6" w:rsidRPr="00E80090" w14:paraId="6E584456" w14:textId="77777777" w:rsidTr="009613E6">
        <w:trPr>
          <w:trHeight w:val="512"/>
        </w:trPr>
        <w:tc>
          <w:tcPr>
            <w:tcW w:w="2347" w:type="dxa"/>
            <w:tcBorders>
              <w:top w:val="nil"/>
              <w:left w:val="single" w:sz="4" w:space="0" w:color="auto"/>
              <w:bottom w:val="single" w:sz="4" w:space="0" w:color="auto"/>
              <w:right w:val="single" w:sz="4" w:space="0" w:color="auto"/>
            </w:tcBorders>
            <w:shd w:val="clear" w:color="000000" w:fill="99CCFF"/>
            <w:noWrap/>
            <w:vAlign w:val="center"/>
            <w:hideMark/>
          </w:tcPr>
          <w:p w14:paraId="6E584450" w14:textId="77777777" w:rsidR="009613E6" w:rsidRPr="00E80090" w:rsidRDefault="009613E6" w:rsidP="009613E6">
            <w:pPr>
              <w:jc w:val="cente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Product:</w:t>
            </w:r>
          </w:p>
        </w:tc>
        <w:tc>
          <w:tcPr>
            <w:tcW w:w="1898" w:type="dxa"/>
            <w:tcBorders>
              <w:top w:val="single" w:sz="4" w:space="0" w:color="auto"/>
              <w:left w:val="nil"/>
              <w:bottom w:val="single" w:sz="4" w:space="0" w:color="auto"/>
              <w:right w:val="single" w:sz="4" w:space="0" w:color="auto"/>
            </w:tcBorders>
            <w:shd w:val="clear" w:color="000000" w:fill="99CCFF"/>
            <w:noWrap/>
            <w:vAlign w:val="center"/>
            <w:hideMark/>
          </w:tcPr>
          <w:p w14:paraId="6E584451" w14:textId="77777777" w:rsidR="009613E6" w:rsidRPr="00E80090" w:rsidRDefault="009613E6" w:rsidP="009613E6">
            <w:pPr>
              <w:jc w:val="cente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Volksbank</w:t>
            </w:r>
          </w:p>
        </w:tc>
        <w:tc>
          <w:tcPr>
            <w:tcW w:w="1520" w:type="dxa"/>
            <w:tcBorders>
              <w:top w:val="single" w:sz="4" w:space="0" w:color="auto"/>
              <w:left w:val="nil"/>
              <w:bottom w:val="single" w:sz="4" w:space="0" w:color="auto"/>
              <w:right w:val="single" w:sz="4" w:space="0" w:color="auto"/>
            </w:tcBorders>
            <w:shd w:val="clear" w:color="000000" w:fill="99CCFF"/>
            <w:noWrap/>
            <w:vAlign w:val="center"/>
            <w:hideMark/>
          </w:tcPr>
          <w:p w14:paraId="6E584452" w14:textId="77777777" w:rsidR="009613E6" w:rsidRPr="00E80090" w:rsidRDefault="009613E6" w:rsidP="009613E6">
            <w:pPr>
              <w:jc w:val="cente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UniCredit</w:t>
            </w:r>
          </w:p>
        </w:tc>
        <w:tc>
          <w:tcPr>
            <w:tcW w:w="993" w:type="dxa"/>
            <w:tcBorders>
              <w:top w:val="single" w:sz="4" w:space="0" w:color="auto"/>
              <w:left w:val="nil"/>
              <w:bottom w:val="single" w:sz="4" w:space="0" w:color="auto"/>
              <w:right w:val="single" w:sz="4" w:space="0" w:color="auto"/>
            </w:tcBorders>
            <w:shd w:val="clear" w:color="000000" w:fill="99CCFF"/>
            <w:noWrap/>
            <w:vAlign w:val="center"/>
            <w:hideMark/>
          </w:tcPr>
          <w:p w14:paraId="6E584453" w14:textId="77777777" w:rsidR="009613E6" w:rsidRPr="00E80090" w:rsidRDefault="009613E6" w:rsidP="009613E6">
            <w:pP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Annual Volume</w:t>
            </w:r>
          </w:p>
        </w:tc>
        <w:tc>
          <w:tcPr>
            <w:tcW w:w="1291" w:type="dxa"/>
            <w:tcBorders>
              <w:top w:val="single" w:sz="4" w:space="0" w:color="auto"/>
              <w:left w:val="nil"/>
              <w:bottom w:val="nil"/>
              <w:right w:val="single" w:sz="4" w:space="0" w:color="auto"/>
            </w:tcBorders>
            <w:shd w:val="clear" w:color="000000" w:fill="99CCFF"/>
            <w:vAlign w:val="center"/>
            <w:hideMark/>
          </w:tcPr>
          <w:p w14:paraId="6E584454" w14:textId="77777777" w:rsidR="009613E6" w:rsidRPr="00E80090" w:rsidRDefault="009613E6" w:rsidP="009613E6">
            <w:pPr>
              <w:jc w:val="cente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Costs Volksbank</w:t>
            </w:r>
          </w:p>
        </w:tc>
        <w:tc>
          <w:tcPr>
            <w:tcW w:w="1193" w:type="dxa"/>
            <w:tcBorders>
              <w:top w:val="single" w:sz="4" w:space="0" w:color="auto"/>
              <w:left w:val="nil"/>
              <w:bottom w:val="nil"/>
              <w:right w:val="single" w:sz="4" w:space="0" w:color="auto"/>
            </w:tcBorders>
            <w:shd w:val="clear" w:color="000000" w:fill="99CCFF"/>
            <w:vAlign w:val="center"/>
            <w:hideMark/>
          </w:tcPr>
          <w:p w14:paraId="6E584455" w14:textId="77777777" w:rsidR="009613E6" w:rsidRPr="00E80090" w:rsidRDefault="009613E6" w:rsidP="009613E6">
            <w:pPr>
              <w:jc w:val="center"/>
              <w:rPr>
                <w:rFonts w:asciiTheme="majorHAnsi" w:eastAsia="Times New Roman" w:hAnsiTheme="majorHAnsi" w:cs="Arial"/>
                <w:b/>
                <w:bCs/>
                <w:sz w:val="22"/>
                <w:szCs w:val="22"/>
                <w:lang w:val="en-GB" w:eastAsia="en-US"/>
              </w:rPr>
            </w:pPr>
            <w:r w:rsidRPr="00E80090">
              <w:rPr>
                <w:rFonts w:asciiTheme="majorHAnsi" w:eastAsia="Times New Roman" w:hAnsiTheme="majorHAnsi" w:cs="Arial"/>
                <w:b/>
                <w:bCs/>
                <w:sz w:val="22"/>
                <w:szCs w:val="22"/>
                <w:lang w:val="en-GB" w:eastAsia="en-US"/>
              </w:rPr>
              <w:t>Costs UniCredit</w:t>
            </w:r>
          </w:p>
        </w:tc>
      </w:tr>
      <w:tr w:rsidR="009613E6" w:rsidRPr="00E80090" w14:paraId="6E58445D" w14:textId="77777777" w:rsidTr="009613E6">
        <w:trPr>
          <w:trHeight w:val="256"/>
        </w:trPr>
        <w:tc>
          <w:tcPr>
            <w:tcW w:w="2347" w:type="dxa"/>
            <w:tcBorders>
              <w:top w:val="nil"/>
              <w:left w:val="single" w:sz="4" w:space="0" w:color="auto"/>
              <w:bottom w:val="single" w:sz="4" w:space="0" w:color="auto"/>
              <w:right w:val="single" w:sz="4" w:space="0" w:color="auto"/>
            </w:tcBorders>
            <w:shd w:val="clear" w:color="auto" w:fill="auto"/>
            <w:vAlign w:val="center"/>
            <w:hideMark/>
          </w:tcPr>
          <w:p w14:paraId="6E584457" w14:textId="77777777" w:rsidR="009613E6" w:rsidRPr="00E80090" w:rsidRDefault="009613E6" w:rsidP="009613E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Account maintenance (monthly)</w:t>
            </w:r>
          </w:p>
        </w:tc>
        <w:tc>
          <w:tcPr>
            <w:tcW w:w="1898" w:type="dxa"/>
            <w:tcBorders>
              <w:top w:val="nil"/>
              <w:left w:val="nil"/>
              <w:bottom w:val="single" w:sz="4" w:space="0" w:color="auto"/>
              <w:right w:val="single" w:sz="4" w:space="0" w:color="auto"/>
            </w:tcBorders>
            <w:shd w:val="clear" w:color="auto" w:fill="auto"/>
            <w:vAlign w:val="center"/>
            <w:hideMark/>
          </w:tcPr>
          <w:p w14:paraId="6E584458" w14:textId="77777777" w:rsidR="009613E6" w:rsidRPr="00E80090" w:rsidRDefault="009613E6" w:rsidP="009613E6">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€ 4.99</w:t>
            </w:r>
          </w:p>
        </w:tc>
        <w:tc>
          <w:tcPr>
            <w:tcW w:w="1520" w:type="dxa"/>
            <w:tcBorders>
              <w:top w:val="nil"/>
              <w:left w:val="nil"/>
              <w:bottom w:val="single" w:sz="4" w:space="0" w:color="auto"/>
              <w:right w:val="single" w:sz="4" w:space="0" w:color="auto"/>
            </w:tcBorders>
            <w:shd w:val="clear" w:color="auto" w:fill="auto"/>
            <w:vAlign w:val="center"/>
            <w:hideMark/>
          </w:tcPr>
          <w:p w14:paraId="6E584459" w14:textId="77777777" w:rsidR="009613E6" w:rsidRPr="00E80090" w:rsidRDefault="009613E6" w:rsidP="009613E6">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€ 3.29</w:t>
            </w:r>
          </w:p>
        </w:tc>
        <w:tc>
          <w:tcPr>
            <w:tcW w:w="993" w:type="dxa"/>
            <w:tcBorders>
              <w:top w:val="nil"/>
              <w:left w:val="nil"/>
              <w:bottom w:val="single" w:sz="4" w:space="0" w:color="auto"/>
              <w:right w:val="single" w:sz="4" w:space="0" w:color="auto"/>
            </w:tcBorders>
            <w:shd w:val="clear" w:color="auto" w:fill="auto"/>
            <w:vAlign w:val="center"/>
            <w:hideMark/>
          </w:tcPr>
          <w:p w14:paraId="6E58445A"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E58445B"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59.88</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6E58445C"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€ 39.48</w:t>
            </w:r>
          </w:p>
        </w:tc>
      </w:tr>
      <w:tr w:rsidR="009613E6" w:rsidRPr="00E80090" w14:paraId="6E584464" w14:textId="77777777" w:rsidTr="009613E6">
        <w:trPr>
          <w:trHeight w:val="256"/>
        </w:trPr>
        <w:tc>
          <w:tcPr>
            <w:tcW w:w="2347" w:type="dxa"/>
            <w:tcBorders>
              <w:top w:val="single" w:sz="4" w:space="0" w:color="auto"/>
              <w:left w:val="single" w:sz="4" w:space="0" w:color="auto"/>
              <w:bottom w:val="single" w:sz="4" w:space="0" w:color="auto"/>
            </w:tcBorders>
            <w:shd w:val="clear" w:color="auto" w:fill="auto"/>
            <w:vAlign w:val="center"/>
            <w:hideMark/>
          </w:tcPr>
          <w:p w14:paraId="6E58445E" w14:textId="77777777" w:rsidR="009613E6" w:rsidRPr="00E80090" w:rsidRDefault="009613E6" w:rsidP="009613E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Electronic banking:</w:t>
            </w:r>
          </w:p>
        </w:tc>
        <w:tc>
          <w:tcPr>
            <w:tcW w:w="1898" w:type="dxa"/>
            <w:tcBorders>
              <w:top w:val="single" w:sz="4" w:space="0" w:color="auto"/>
              <w:bottom w:val="single" w:sz="4" w:space="0" w:color="auto"/>
            </w:tcBorders>
            <w:shd w:val="clear" w:color="auto" w:fill="auto"/>
            <w:vAlign w:val="center"/>
            <w:hideMark/>
          </w:tcPr>
          <w:p w14:paraId="6E58445F" w14:textId="77777777" w:rsidR="009613E6" w:rsidRPr="00E80090" w:rsidRDefault="009613E6" w:rsidP="009613E6">
            <w:pPr>
              <w:jc w:val="center"/>
              <w:rPr>
                <w:rFonts w:asciiTheme="majorHAnsi" w:eastAsia="Times New Roman" w:hAnsiTheme="majorHAnsi" w:cs="Arial"/>
                <w:sz w:val="21"/>
                <w:szCs w:val="21"/>
                <w:lang w:val="en-GB" w:eastAsia="en-US"/>
              </w:rPr>
            </w:pPr>
          </w:p>
        </w:tc>
        <w:tc>
          <w:tcPr>
            <w:tcW w:w="1520" w:type="dxa"/>
            <w:tcBorders>
              <w:top w:val="single" w:sz="4" w:space="0" w:color="auto"/>
              <w:bottom w:val="single" w:sz="4" w:space="0" w:color="auto"/>
            </w:tcBorders>
            <w:shd w:val="clear" w:color="auto" w:fill="auto"/>
            <w:vAlign w:val="center"/>
            <w:hideMark/>
          </w:tcPr>
          <w:p w14:paraId="6E584460" w14:textId="77777777" w:rsidR="009613E6" w:rsidRPr="00E80090" w:rsidRDefault="009613E6" w:rsidP="009613E6">
            <w:pPr>
              <w:jc w:val="center"/>
              <w:rPr>
                <w:rFonts w:asciiTheme="majorHAnsi" w:eastAsia="Times New Roman" w:hAnsiTheme="majorHAnsi" w:cs="Arial"/>
                <w:sz w:val="21"/>
                <w:szCs w:val="21"/>
                <w:lang w:val="en-GB" w:eastAsia="en-US"/>
              </w:rPr>
            </w:pPr>
          </w:p>
        </w:tc>
        <w:tc>
          <w:tcPr>
            <w:tcW w:w="993" w:type="dxa"/>
            <w:tcBorders>
              <w:top w:val="single" w:sz="4" w:space="0" w:color="auto"/>
              <w:bottom w:val="single" w:sz="4" w:space="0" w:color="auto"/>
            </w:tcBorders>
            <w:shd w:val="clear" w:color="auto" w:fill="auto"/>
            <w:vAlign w:val="center"/>
            <w:hideMark/>
          </w:tcPr>
          <w:p w14:paraId="6E584461" w14:textId="77777777" w:rsidR="009613E6" w:rsidRPr="00E80090" w:rsidRDefault="009613E6" w:rsidP="009613E6">
            <w:pPr>
              <w:jc w:val="center"/>
              <w:rPr>
                <w:rFonts w:asciiTheme="majorHAnsi" w:eastAsia="Times New Roman" w:hAnsiTheme="majorHAnsi" w:cs="Arial"/>
                <w:sz w:val="21"/>
                <w:szCs w:val="21"/>
                <w:lang w:val="en-GB" w:eastAsia="en-US"/>
              </w:rPr>
            </w:pPr>
          </w:p>
        </w:tc>
        <w:tc>
          <w:tcPr>
            <w:tcW w:w="1291" w:type="dxa"/>
            <w:tcBorders>
              <w:top w:val="single" w:sz="4" w:space="0" w:color="auto"/>
              <w:bottom w:val="single" w:sz="4" w:space="0" w:color="auto"/>
            </w:tcBorders>
            <w:shd w:val="clear" w:color="auto" w:fill="auto"/>
            <w:noWrap/>
            <w:vAlign w:val="center"/>
            <w:hideMark/>
          </w:tcPr>
          <w:p w14:paraId="6E584462" w14:textId="77777777" w:rsidR="009613E6" w:rsidRPr="00E80090" w:rsidRDefault="009613E6" w:rsidP="009613E6">
            <w:pPr>
              <w:jc w:val="center"/>
              <w:rPr>
                <w:rFonts w:asciiTheme="majorHAnsi" w:eastAsia="Times New Roman" w:hAnsiTheme="majorHAnsi" w:cs="Arial"/>
                <w:sz w:val="21"/>
                <w:szCs w:val="21"/>
                <w:lang w:val="en-GB" w:eastAsia="en-US"/>
              </w:rPr>
            </w:pPr>
          </w:p>
        </w:tc>
        <w:tc>
          <w:tcPr>
            <w:tcW w:w="1193" w:type="dxa"/>
            <w:tcBorders>
              <w:top w:val="single" w:sz="4" w:space="0" w:color="auto"/>
              <w:bottom w:val="single" w:sz="4" w:space="0" w:color="auto"/>
              <w:right w:val="single" w:sz="4" w:space="0" w:color="auto"/>
            </w:tcBorders>
            <w:shd w:val="clear" w:color="auto" w:fill="auto"/>
            <w:noWrap/>
            <w:vAlign w:val="center"/>
            <w:hideMark/>
          </w:tcPr>
          <w:p w14:paraId="6E584463" w14:textId="77777777" w:rsidR="009613E6" w:rsidRPr="00E80090" w:rsidRDefault="009613E6" w:rsidP="009613E6">
            <w:pPr>
              <w:jc w:val="center"/>
              <w:rPr>
                <w:rFonts w:asciiTheme="majorHAnsi" w:eastAsia="Times New Roman" w:hAnsiTheme="majorHAnsi" w:cs="Arial"/>
                <w:sz w:val="21"/>
                <w:szCs w:val="21"/>
                <w:lang w:val="en-GB" w:eastAsia="en-US"/>
              </w:rPr>
            </w:pPr>
          </w:p>
        </w:tc>
      </w:tr>
      <w:tr w:rsidR="009613E6" w:rsidRPr="00E80090" w14:paraId="6E58446B" w14:textId="77777777" w:rsidTr="009613E6">
        <w:trPr>
          <w:trHeight w:val="256"/>
        </w:trPr>
        <w:tc>
          <w:tcPr>
            <w:tcW w:w="2347" w:type="dxa"/>
            <w:tcBorders>
              <w:top w:val="single" w:sz="4" w:space="0" w:color="auto"/>
              <w:left w:val="single" w:sz="4" w:space="0" w:color="auto"/>
              <w:bottom w:val="single" w:sz="4" w:space="0" w:color="auto"/>
              <w:right w:val="single" w:sz="4" w:space="0" w:color="auto"/>
            </w:tcBorders>
            <w:shd w:val="clear" w:color="auto" w:fill="auto"/>
            <w:hideMark/>
          </w:tcPr>
          <w:p w14:paraId="6E584465" w14:textId="77777777" w:rsidR="009613E6" w:rsidRPr="00E80090" w:rsidRDefault="009613E6" w:rsidP="009613E6">
            <w:pPr>
              <w:jc w:val="right"/>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service activation</w:t>
            </w:r>
          </w:p>
        </w:tc>
        <w:tc>
          <w:tcPr>
            <w:tcW w:w="1898" w:type="dxa"/>
            <w:tcBorders>
              <w:top w:val="single" w:sz="4" w:space="0" w:color="auto"/>
              <w:left w:val="nil"/>
              <w:bottom w:val="single" w:sz="4" w:space="0" w:color="auto"/>
              <w:right w:val="single" w:sz="4" w:space="0" w:color="auto"/>
            </w:tcBorders>
            <w:shd w:val="clear" w:color="auto" w:fill="auto"/>
            <w:vAlign w:val="center"/>
            <w:hideMark/>
          </w:tcPr>
          <w:p w14:paraId="6E584466"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NA</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E584467"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584468"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w:t>
            </w:r>
          </w:p>
        </w:tc>
        <w:tc>
          <w:tcPr>
            <w:tcW w:w="1291" w:type="dxa"/>
            <w:tcBorders>
              <w:top w:val="single" w:sz="4" w:space="0" w:color="auto"/>
              <w:left w:val="nil"/>
              <w:bottom w:val="single" w:sz="4" w:space="0" w:color="auto"/>
              <w:right w:val="single" w:sz="4" w:space="0" w:color="auto"/>
            </w:tcBorders>
            <w:shd w:val="clear" w:color="auto" w:fill="auto"/>
            <w:noWrap/>
            <w:vAlign w:val="center"/>
            <w:hideMark/>
          </w:tcPr>
          <w:p w14:paraId="6E584469"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€ 0.00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14:paraId="6E58446A"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€ 50.00</w:t>
            </w:r>
          </w:p>
        </w:tc>
      </w:tr>
      <w:tr w:rsidR="009613E6" w:rsidRPr="00E80090" w14:paraId="6E584472" w14:textId="77777777" w:rsidTr="009613E6">
        <w:trPr>
          <w:trHeight w:val="224"/>
        </w:trPr>
        <w:tc>
          <w:tcPr>
            <w:tcW w:w="2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8446C" w14:textId="77777777" w:rsidR="009613E6" w:rsidRPr="00E80090" w:rsidRDefault="009613E6" w:rsidP="009613E6">
            <w:pPr>
              <w:jc w:val="right"/>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sz w:val="21"/>
                <w:szCs w:val="21"/>
                <w:lang w:val="en-GB" w:eastAsia="en-US"/>
              </w:rPr>
              <w:t>monthly</w:t>
            </w:r>
            <w:r w:rsidRPr="00E80090">
              <w:rPr>
                <w:rFonts w:asciiTheme="majorHAnsi" w:eastAsia="Times New Roman" w:hAnsiTheme="majorHAnsi" w:cs="Arial"/>
                <w:color w:val="000000"/>
                <w:sz w:val="21"/>
                <w:szCs w:val="21"/>
                <w:lang w:val="en-GB" w:eastAsia="en-US"/>
              </w:rPr>
              <w:t xml:space="preserve"> fee</w:t>
            </w:r>
          </w:p>
        </w:tc>
        <w:tc>
          <w:tcPr>
            <w:tcW w:w="1898" w:type="dxa"/>
            <w:tcBorders>
              <w:top w:val="nil"/>
              <w:left w:val="nil"/>
              <w:bottom w:val="single" w:sz="4" w:space="0" w:color="auto"/>
              <w:right w:val="single" w:sz="4" w:space="0" w:color="auto"/>
            </w:tcBorders>
            <w:shd w:val="clear" w:color="auto" w:fill="auto"/>
            <w:vAlign w:val="center"/>
            <w:hideMark/>
          </w:tcPr>
          <w:p w14:paraId="6E58446D"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of charge</w:t>
            </w:r>
          </w:p>
        </w:tc>
        <w:tc>
          <w:tcPr>
            <w:tcW w:w="1520" w:type="dxa"/>
            <w:tcBorders>
              <w:top w:val="nil"/>
              <w:left w:val="nil"/>
              <w:bottom w:val="single" w:sz="4" w:space="0" w:color="auto"/>
              <w:right w:val="single" w:sz="4" w:space="0" w:color="auto"/>
            </w:tcBorders>
            <w:shd w:val="clear" w:color="auto" w:fill="auto"/>
            <w:noWrap/>
            <w:vAlign w:val="center"/>
            <w:hideMark/>
          </w:tcPr>
          <w:p w14:paraId="6E58446E"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€ 4.98</w:t>
            </w:r>
          </w:p>
        </w:tc>
        <w:tc>
          <w:tcPr>
            <w:tcW w:w="993" w:type="dxa"/>
            <w:tcBorders>
              <w:top w:val="nil"/>
              <w:left w:val="nil"/>
              <w:bottom w:val="single" w:sz="4" w:space="0" w:color="auto"/>
              <w:right w:val="single" w:sz="4" w:space="0" w:color="auto"/>
            </w:tcBorders>
            <w:shd w:val="clear" w:color="auto" w:fill="auto"/>
            <w:vAlign w:val="center"/>
            <w:hideMark/>
          </w:tcPr>
          <w:p w14:paraId="6E58446F"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291" w:type="dxa"/>
            <w:tcBorders>
              <w:top w:val="nil"/>
              <w:left w:val="nil"/>
              <w:bottom w:val="single" w:sz="4" w:space="0" w:color="auto"/>
              <w:right w:val="single" w:sz="4" w:space="0" w:color="auto"/>
            </w:tcBorders>
            <w:shd w:val="clear" w:color="auto" w:fill="auto"/>
            <w:noWrap/>
            <w:vAlign w:val="center"/>
            <w:hideMark/>
          </w:tcPr>
          <w:p w14:paraId="6E584470"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0.00</w:t>
            </w:r>
          </w:p>
        </w:tc>
        <w:tc>
          <w:tcPr>
            <w:tcW w:w="1193" w:type="dxa"/>
            <w:tcBorders>
              <w:top w:val="nil"/>
              <w:left w:val="nil"/>
              <w:bottom w:val="single" w:sz="4" w:space="0" w:color="auto"/>
              <w:right w:val="single" w:sz="4" w:space="0" w:color="auto"/>
            </w:tcBorders>
            <w:shd w:val="clear" w:color="auto" w:fill="auto"/>
            <w:noWrap/>
            <w:vAlign w:val="center"/>
            <w:hideMark/>
          </w:tcPr>
          <w:p w14:paraId="6E584471"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€ 59.76</w:t>
            </w:r>
          </w:p>
        </w:tc>
      </w:tr>
      <w:tr w:rsidR="009613E6" w:rsidRPr="00E80090" w14:paraId="6E584479" w14:textId="77777777" w:rsidTr="009613E6">
        <w:trPr>
          <w:trHeight w:val="256"/>
        </w:trPr>
        <w:tc>
          <w:tcPr>
            <w:tcW w:w="2347" w:type="dxa"/>
            <w:tcBorders>
              <w:top w:val="nil"/>
              <w:left w:val="single" w:sz="4" w:space="0" w:color="auto"/>
              <w:bottom w:val="single" w:sz="4" w:space="0" w:color="auto"/>
              <w:right w:val="single" w:sz="4" w:space="0" w:color="auto"/>
            </w:tcBorders>
            <w:shd w:val="clear" w:color="auto" w:fill="auto"/>
            <w:vAlign w:val="center"/>
            <w:hideMark/>
          </w:tcPr>
          <w:p w14:paraId="6E584473" w14:textId="77777777" w:rsidR="009613E6" w:rsidRPr="00E80090" w:rsidRDefault="009613E6" w:rsidP="009613E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Incoming domestic payments</w:t>
            </w:r>
          </w:p>
        </w:tc>
        <w:tc>
          <w:tcPr>
            <w:tcW w:w="1898" w:type="dxa"/>
            <w:tcBorders>
              <w:top w:val="nil"/>
              <w:left w:val="nil"/>
              <w:bottom w:val="single" w:sz="4" w:space="0" w:color="auto"/>
              <w:right w:val="single" w:sz="4" w:space="0" w:color="auto"/>
            </w:tcBorders>
            <w:shd w:val="clear" w:color="auto" w:fill="auto"/>
            <w:noWrap/>
            <w:vAlign w:val="center"/>
            <w:hideMark/>
          </w:tcPr>
          <w:p w14:paraId="6E584474"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€ 0.17</w:t>
            </w:r>
          </w:p>
        </w:tc>
        <w:tc>
          <w:tcPr>
            <w:tcW w:w="1520" w:type="dxa"/>
            <w:tcBorders>
              <w:top w:val="nil"/>
              <w:left w:val="nil"/>
              <w:bottom w:val="single" w:sz="4" w:space="0" w:color="auto"/>
              <w:right w:val="single" w:sz="4" w:space="0" w:color="auto"/>
            </w:tcBorders>
            <w:shd w:val="clear" w:color="auto" w:fill="auto"/>
            <w:noWrap/>
            <w:vAlign w:val="center"/>
            <w:hideMark/>
          </w:tcPr>
          <w:p w14:paraId="6E584475"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€ 0.27</w:t>
            </w:r>
          </w:p>
        </w:tc>
        <w:tc>
          <w:tcPr>
            <w:tcW w:w="993" w:type="dxa"/>
            <w:tcBorders>
              <w:top w:val="nil"/>
              <w:left w:val="nil"/>
              <w:bottom w:val="single" w:sz="4" w:space="0" w:color="auto"/>
              <w:right w:val="single" w:sz="4" w:space="0" w:color="auto"/>
            </w:tcBorders>
            <w:shd w:val="clear" w:color="auto" w:fill="auto"/>
            <w:vAlign w:val="center"/>
            <w:hideMark/>
          </w:tcPr>
          <w:p w14:paraId="6E584476" w14:textId="77777777" w:rsidR="009613E6" w:rsidRPr="00E80090" w:rsidRDefault="009613E6" w:rsidP="009613E6">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168</w:t>
            </w:r>
          </w:p>
        </w:tc>
        <w:tc>
          <w:tcPr>
            <w:tcW w:w="1291" w:type="dxa"/>
            <w:tcBorders>
              <w:top w:val="nil"/>
              <w:left w:val="nil"/>
              <w:bottom w:val="single" w:sz="4" w:space="0" w:color="auto"/>
              <w:right w:val="single" w:sz="4" w:space="0" w:color="auto"/>
            </w:tcBorders>
            <w:shd w:val="clear" w:color="auto" w:fill="auto"/>
            <w:noWrap/>
            <w:vAlign w:val="center"/>
            <w:hideMark/>
          </w:tcPr>
          <w:p w14:paraId="6E584477"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28.56</w:t>
            </w:r>
          </w:p>
        </w:tc>
        <w:tc>
          <w:tcPr>
            <w:tcW w:w="1193" w:type="dxa"/>
            <w:tcBorders>
              <w:top w:val="nil"/>
              <w:left w:val="nil"/>
              <w:bottom w:val="single" w:sz="4" w:space="0" w:color="auto"/>
              <w:right w:val="single" w:sz="4" w:space="0" w:color="auto"/>
            </w:tcBorders>
            <w:shd w:val="clear" w:color="auto" w:fill="auto"/>
            <w:noWrap/>
            <w:vAlign w:val="center"/>
            <w:hideMark/>
          </w:tcPr>
          <w:p w14:paraId="6E584478"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45.36</w:t>
            </w:r>
          </w:p>
        </w:tc>
      </w:tr>
      <w:tr w:rsidR="009613E6" w:rsidRPr="00E80090" w14:paraId="6E584480" w14:textId="77777777" w:rsidTr="009613E6">
        <w:trPr>
          <w:trHeight w:val="256"/>
        </w:trPr>
        <w:tc>
          <w:tcPr>
            <w:tcW w:w="2347" w:type="dxa"/>
            <w:tcBorders>
              <w:top w:val="nil"/>
              <w:left w:val="single" w:sz="4" w:space="0" w:color="auto"/>
              <w:bottom w:val="single" w:sz="4" w:space="0" w:color="auto"/>
              <w:right w:val="single" w:sz="4" w:space="0" w:color="auto"/>
            </w:tcBorders>
            <w:shd w:val="clear" w:color="auto" w:fill="auto"/>
            <w:vAlign w:val="center"/>
            <w:hideMark/>
          </w:tcPr>
          <w:p w14:paraId="6E58447A" w14:textId="77777777" w:rsidR="009613E6" w:rsidRPr="00E80090" w:rsidRDefault="009613E6" w:rsidP="009613E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Outgoing domestic payments</w:t>
            </w:r>
          </w:p>
        </w:tc>
        <w:tc>
          <w:tcPr>
            <w:tcW w:w="1898" w:type="dxa"/>
            <w:tcBorders>
              <w:top w:val="nil"/>
              <w:left w:val="nil"/>
              <w:bottom w:val="single" w:sz="4" w:space="0" w:color="auto"/>
              <w:right w:val="single" w:sz="4" w:space="0" w:color="auto"/>
            </w:tcBorders>
            <w:shd w:val="clear" w:color="auto" w:fill="auto"/>
            <w:noWrap/>
            <w:vAlign w:val="center"/>
            <w:hideMark/>
          </w:tcPr>
          <w:p w14:paraId="6E58447B"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First 15 p.m. - free, then € 0.17</w:t>
            </w:r>
          </w:p>
        </w:tc>
        <w:tc>
          <w:tcPr>
            <w:tcW w:w="1520" w:type="dxa"/>
            <w:tcBorders>
              <w:top w:val="nil"/>
              <w:left w:val="nil"/>
              <w:bottom w:val="single" w:sz="4" w:space="0" w:color="auto"/>
              <w:right w:val="single" w:sz="4" w:space="0" w:color="auto"/>
            </w:tcBorders>
            <w:shd w:val="clear" w:color="auto" w:fill="auto"/>
            <w:noWrap/>
            <w:vAlign w:val="center"/>
            <w:hideMark/>
          </w:tcPr>
          <w:p w14:paraId="6E58447C"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€ 0.12</w:t>
            </w:r>
          </w:p>
        </w:tc>
        <w:tc>
          <w:tcPr>
            <w:tcW w:w="993" w:type="dxa"/>
            <w:tcBorders>
              <w:top w:val="nil"/>
              <w:left w:val="nil"/>
              <w:bottom w:val="single" w:sz="4" w:space="0" w:color="auto"/>
              <w:right w:val="single" w:sz="4" w:space="0" w:color="auto"/>
            </w:tcBorders>
            <w:shd w:val="clear" w:color="auto" w:fill="auto"/>
            <w:vAlign w:val="center"/>
            <w:hideMark/>
          </w:tcPr>
          <w:p w14:paraId="6E58447D"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240</w:t>
            </w:r>
          </w:p>
        </w:tc>
        <w:tc>
          <w:tcPr>
            <w:tcW w:w="1291" w:type="dxa"/>
            <w:tcBorders>
              <w:top w:val="nil"/>
              <w:left w:val="nil"/>
              <w:bottom w:val="single" w:sz="4" w:space="0" w:color="auto"/>
              <w:right w:val="single" w:sz="4" w:space="0" w:color="auto"/>
            </w:tcBorders>
            <w:shd w:val="clear" w:color="auto" w:fill="auto"/>
            <w:noWrap/>
            <w:vAlign w:val="center"/>
            <w:hideMark/>
          </w:tcPr>
          <w:p w14:paraId="6E58447E"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10.20</w:t>
            </w:r>
          </w:p>
        </w:tc>
        <w:tc>
          <w:tcPr>
            <w:tcW w:w="1193" w:type="dxa"/>
            <w:tcBorders>
              <w:top w:val="nil"/>
              <w:left w:val="nil"/>
              <w:bottom w:val="single" w:sz="4" w:space="0" w:color="auto"/>
              <w:right w:val="single" w:sz="4" w:space="0" w:color="auto"/>
            </w:tcBorders>
            <w:shd w:val="clear" w:color="auto" w:fill="auto"/>
            <w:noWrap/>
            <w:vAlign w:val="center"/>
            <w:hideMark/>
          </w:tcPr>
          <w:p w14:paraId="6E58447F"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28.80</w:t>
            </w:r>
          </w:p>
        </w:tc>
      </w:tr>
      <w:tr w:rsidR="009613E6" w:rsidRPr="00E80090" w14:paraId="6E584487" w14:textId="77777777" w:rsidTr="009613E6">
        <w:trPr>
          <w:trHeight w:val="497"/>
        </w:trPr>
        <w:tc>
          <w:tcPr>
            <w:tcW w:w="2347" w:type="dxa"/>
            <w:tcBorders>
              <w:top w:val="nil"/>
              <w:left w:val="single" w:sz="4" w:space="0" w:color="auto"/>
              <w:bottom w:val="single" w:sz="4" w:space="0" w:color="auto"/>
              <w:right w:val="single" w:sz="4" w:space="0" w:color="auto"/>
            </w:tcBorders>
            <w:shd w:val="clear" w:color="auto" w:fill="auto"/>
            <w:vAlign w:val="center"/>
            <w:hideMark/>
          </w:tcPr>
          <w:p w14:paraId="6E584481" w14:textId="77777777" w:rsidR="009613E6" w:rsidRPr="00E80090" w:rsidRDefault="009613E6" w:rsidP="009613E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Incoming cross-border payments</w:t>
            </w:r>
          </w:p>
        </w:tc>
        <w:tc>
          <w:tcPr>
            <w:tcW w:w="1898" w:type="dxa"/>
            <w:tcBorders>
              <w:top w:val="nil"/>
              <w:left w:val="nil"/>
              <w:bottom w:val="single" w:sz="4" w:space="0" w:color="auto"/>
              <w:right w:val="single" w:sz="4" w:space="0" w:color="auto"/>
            </w:tcBorders>
            <w:shd w:val="clear" w:color="auto" w:fill="auto"/>
            <w:noWrap/>
            <w:vAlign w:val="center"/>
            <w:hideMark/>
          </w:tcPr>
          <w:p w14:paraId="6E584482"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€ 0.17</w:t>
            </w:r>
          </w:p>
        </w:tc>
        <w:tc>
          <w:tcPr>
            <w:tcW w:w="1520" w:type="dxa"/>
            <w:tcBorders>
              <w:top w:val="nil"/>
              <w:left w:val="nil"/>
              <w:bottom w:val="single" w:sz="4" w:space="0" w:color="auto"/>
              <w:right w:val="single" w:sz="4" w:space="0" w:color="auto"/>
            </w:tcBorders>
            <w:shd w:val="clear" w:color="auto" w:fill="auto"/>
            <w:noWrap/>
            <w:vAlign w:val="center"/>
            <w:hideMark/>
          </w:tcPr>
          <w:p w14:paraId="6E584483"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€ 0.27</w:t>
            </w:r>
          </w:p>
        </w:tc>
        <w:tc>
          <w:tcPr>
            <w:tcW w:w="993" w:type="dxa"/>
            <w:tcBorders>
              <w:top w:val="nil"/>
              <w:left w:val="nil"/>
              <w:bottom w:val="single" w:sz="4" w:space="0" w:color="auto"/>
              <w:right w:val="single" w:sz="4" w:space="0" w:color="auto"/>
            </w:tcBorders>
            <w:shd w:val="clear" w:color="auto" w:fill="auto"/>
            <w:vAlign w:val="center"/>
            <w:hideMark/>
          </w:tcPr>
          <w:p w14:paraId="6E584484"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4</w:t>
            </w:r>
          </w:p>
        </w:tc>
        <w:tc>
          <w:tcPr>
            <w:tcW w:w="1291" w:type="dxa"/>
            <w:tcBorders>
              <w:top w:val="nil"/>
              <w:left w:val="nil"/>
              <w:bottom w:val="single" w:sz="4" w:space="0" w:color="auto"/>
              <w:right w:val="single" w:sz="4" w:space="0" w:color="auto"/>
            </w:tcBorders>
            <w:shd w:val="clear" w:color="auto" w:fill="auto"/>
            <w:noWrap/>
            <w:vAlign w:val="center"/>
            <w:hideMark/>
          </w:tcPr>
          <w:p w14:paraId="6E584485"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0.68</w:t>
            </w:r>
          </w:p>
        </w:tc>
        <w:tc>
          <w:tcPr>
            <w:tcW w:w="1193" w:type="dxa"/>
            <w:tcBorders>
              <w:top w:val="nil"/>
              <w:left w:val="nil"/>
              <w:bottom w:val="single" w:sz="4" w:space="0" w:color="auto"/>
              <w:right w:val="single" w:sz="4" w:space="0" w:color="auto"/>
            </w:tcBorders>
            <w:shd w:val="clear" w:color="auto" w:fill="auto"/>
            <w:noWrap/>
            <w:vAlign w:val="center"/>
            <w:hideMark/>
          </w:tcPr>
          <w:p w14:paraId="6E584486"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1.08</w:t>
            </w:r>
          </w:p>
        </w:tc>
      </w:tr>
      <w:tr w:rsidR="009613E6" w:rsidRPr="00E80090" w14:paraId="6E58448E" w14:textId="77777777" w:rsidTr="009613E6">
        <w:trPr>
          <w:trHeight w:val="286"/>
        </w:trPr>
        <w:tc>
          <w:tcPr>
            <w:tcW w:w="2347" w:type="dxa"/>
            <w:tcBorders>
              <w:top w:val="nil"/>
              <w:left w:val="single" w:sz="4" w:space="0" w:color="auto"/>
              <w:bottom w:val="single" w:sz="4" w:space="0" w:color="auto"/>
              <w:right w:val="single" w:sz="4" w:space="0" w:color="auto"/>
            </w:tcBorders>
            <w:shd w:val="clear" w:color="auto" w:fill="auto"/>
            <w:vAlign w:val="center"/>
            <w:hideMark/>
          </w:tcPr>
          <w:p w14:paraId="6E584488" w14:textId="77777777" w:rsidR="009613E6" w:rsidRPr="00E80090" w:rsidRDefault="009613E6" w:rsidP="009613E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Outgoing cross-border payments (SEPA)</w:t>
            </w:r>
          </w:p>
        </w:tc>
        <w:tc>
          <w:tcPr>
            <w:tcW w:w="1898" w:type="dxa"/>
            <w:tcBorders>
              <w:top w:val="nil"/>
              <w:left w:val="nil"/>
              <w:bottom w:val="single" w:sz="4" w:space="0" w:color="auto"/>
              <w:right w:val="single" w:sz="4" w:space="0" w:color="auto"/>
            </w:tcBorders>
            <w:shd w:val="clear" w:color="auto" w:fill="auto"/>
            <w:noWrap/>
            <w:vAlign w:val="center"/>
            <w:hideMark/>
          </w:tcPr>
          <w:p w14:paraId="6E584489"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€ 0.17</w:t>
            </w:r>
          </w:p>
        </w:tc>
        <w:tc>
          <w:tcPr>
            <w:tcW w:w="1520" w:type="dxa"/>
            <w:tcBorders>
              <w:top w:val="nil"/>
              <w:left w:val="nil"/>
              <w:bottom w:val="single" w:sz="4" w:space="0" w:color="auto"/>
              <w:right w:val="single" w:sz="4" w:space="0" w:color="auto"/>
            </w:tcBorders>
            <w:shd w:val="clear" w:color="auto" w:fill="auto"/>
            <w:noWrap/>
            <w:vAlign w:val="center"/>
            <w:hideMark/>
          </w:tcPr>
          <w:p w14:paraId="6E58448A"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€ 0.12</w:t>
            </w:r>
          </w:p>
        </w:tc>
        <w:tc>
          <w:tcPr>
            <w:tcW w:w="993" w:type="dxa"/>
            <w:tcBorders>
              <w:top w:val="nil"/>
              <w:left w:val="nil"/>
              <w:bottom w:val="single" w:sz="4" w:space="0" w:color="auto"/>
              <w:right w:val="single" w:sz="4" w:space="0" w:color="auto"/>
            </w:tcBorders>
            <w:shd w:val="clear" w:color="auto" w:fill="auto"/>
            <w:vAlign w:val="center"/>
            <w:hideMark/>
          </w:tcPr>
          <w:p w14:paraId="6E58448B"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461</w:t>
            </w:r>
          </w:p>
        </w:tc>
        <w:tc>
          <w:tcPr>
            <w:tcW w:w="1291" w:type="dxa"/>
            <w:tcBorders>
              <w:top w:val="nil"/>
              <w:left w:val="nil"/>
              <w:bottom w:val="single" w:sz="4" w:space="0" w:color="auto"/>
              <w:right w:val="single" w:sz="4" w:space="0" w:color="auto"/>
            </w:tcBorders>
            <w:shd w:val="clear" w:color="auto" w:fill="auto"/>
            <w:noWrap/>
            <w:vAlign w:val="center"/>
            <w:hideMark/>
          </w:tcPr>
          <w:p w14:paraId="6E58448C"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78.37</w:t>
            </w:r>
          </w:p>
        </w:tc>
        <w:tc>
          <w:tcPr>
            <w:tcW w:w="1193" w:type="dxa"/>
            <w:tcBorders>
              <w:top w:val="nil"/>
              <w:left w:val="nil"/>
              <w:bottom w:val="single" w:sz="4" w:space="0" w:color="auto"/>
              <w:right w:val="single" w:sz="4" w:space="0" w:color="auto"/>
            </w:tcBorders>
            <w:shd w:val="clear" w:color="auto" w:fill="auto"/>
            <w:noWrap/>
            <w:vAlign w:val="center"/>
            <w:hideMark/>
          </w:tcPr>
          <w:p w14:paraId="6E58448D"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55.32</w:t>
            </w:r>
          </w:p>
        </w:tc>
      </w:tr>
      <w:tr w:rsidR="009613E6" w:rsidRPr="00E80090" w14:paraId="6E584495" w14:textId="77777777" w:rsidTr="009613E6">
        <w:trPr>
          <w:trHeight w:val="256"/>
        </w:trPr>
        <w:tc>
          <w:tcPr>
            <w:tcW w:w="2347" w:type="dxa"/>
            <w:tcBorders>
              <w:top w:val="nil"/>
              <w:left w:val="single" w:sz="4" w:space="0" w:color="auto"/>
              <w:bottom w:val="single" w:sz="4" w:space="0" w:color="auto"/>
              <w:right w:val="single" w:sz="4" w:space="0" w:color="auto"/>
            </w:tcBorders>
            <w:shd w:val="clear" w:color="auto" w:fill="auto"/>
            <w:vAlign w:val="center"/>
            <w:hideMark/>
          </w:tcPr>
          <w:p w14:paraId="6E58448F" w14:textId="77777777" w:rsidR="009613E6" w:rsidRPr="00E80090" w:rsidRDefault="009613E6" w:rsidP="009613E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Withdrawal (per tr.)</w:t>
            </w:r>
          </w:p>
        </w:tc>
        <w:tc>
          <w:tcPr>
            <w:tcW w:w="1898" w:type="dxa"/>
            <w:tcBorders>
              <w:top w:val="nil"/>
              <w:left w:val="nil"/>
              <w:bottom w:val="single" w:sz="4" w:space="0" w:color="auto"/>
              <w:right w:val="single" w:sz="4" w:space="0" w:color="auto"/>
            </w:tcBorders>
            <w:shd w:val="clear" w:color="auto" w:fill="auto"/>
            <w:noWrap/>
            <w:vAlign w:val="center"/>
            <w:hideMark/>
          </w:tcPr>
          <w:p w14:paraId="6E584490"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€ 1.50</w:t>
            </w:r>
          </w:p>
        </w:tc>
        <w:tc>
          <w:tcPr>
            <w:tcW w:w="1520" w:type="dxa"/>
            <w:tcBorders>
              <w:top w:val="nil"/>
              <w:left w:val="nil"/>
              <w:bottom w:val="single" w:sz="4" w:space="0" w:color="auto"/>
              <w:right w:val="single" w:sz="4" w:space="0" w:color="auto"/>
            </w:tcBorders>
            <w:shd w:val="clear" w:color="auto" w:fill="auto"/>
            <w:noWrap/>
            <w:vAlign w:val="center"/>
            <w:hideMark/>
          </w:tcPr>
          <w:p w14:paraId="6E584491"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€ 2.00</w:t>
            </w:r>
          </w:p>
        </w:tc>
        <w:tc>
          <w:tcPr>
            <w:tcW w:w="993" w:type="dxa"/>
            <w:tcBorders>
              <w:top w:val="nil"/>
              <w:left w:val="nil"/>
              <w:bottom w:val="single" w:sz="4" w:space="0" w:color="auto"/>
              <w:right w:val="single" w:sz="4" w:space="0" w:color="auto"/>
            </w:tcBorders>
            <w:shd w:val="clear" w:color="auto" w:fill="auto"/>
            <w:vAlign w:val="center"/>
            <w:hideMark/>
          </w:tcPr>
          <w:p w14:paraId="6E584492"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291" w:type="dxa"/>
            <w:tcBorders>
              <w:top w:val="nil"/>
              <w:left w:val="nil"/>
              <w:bottom w:val="single" w:sz="4" w:space="0" w:color="auto"/>
              <w:right w:val="single" w:sz="4" w:space="0" w:color="auto"/>
            </w:tcBorders>
            <w:shd w:val="clear" w:color="auto" w:fill="auto"/>
            <w:noWrap/>
            <w:vAlign w:val="center"/>
            <w:hideMark/>
          </w:tcPr>
          <w:p w14:paraId="6E584493"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18.00</w:t>
            </w:r>
          </w:p>
        </w:tc>
        <w:tc>
          <w:tcPr>
            <w:tcW w:w="1193" w:type="dxa"/>
            <w:tcBorders>
              <w:top w:val="nil"/>
              <w:left w:val="nil"/>
              <w:bottom w:val="single" w:sz="4" w:space="0" w:color="auto"/>
              <w:right w:val="single" w:sz="4" w:space="0" w:color="auto"/>
            </w:tcBorders>
            <w:shd w:val="clear" w:color="auto" w:fill="auto"/>
            <w:noWrap/>
            <w:vAlign w:val="center"/>
            <w:hideMark/>
          </w:tcPr>
          <w:p w14:paraId="6E584494"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24.00</w:t>
            </w:r>
          </w:p>
        </w:tc>
      </w:tr>
      <w:tr w:rsidR="009613E6" w:rsidRPr="00E80090" w14:paraId="6E58449C" w14:textId="77777777" w:rsidTr="009613E6">
        <w:trPr>
          <w:trHeight w:val="256"/>
        </w:trPr>
        <w:tc>
          <w:tcPr>
            <w:tcW w:w="2347" w:type="dxa"/>
            <w:tcBorders>
              <w:top w:val="nil"/>
              <w:left w:val="single" w:sz="4" w:space="0" w:color="auto"/>
              <w:bottom w:val="single" w:sz="4" w:space="0" w:color="auto"/>
              <w:right w:val="single" w:sz="4" w:space="0" w:color="auto"/>
            </w:tcBorders>
            <w:shd w:val="clear" w:color="auto" w:fill="auto"/>
            <w:noWrap/>
            <w:vAlign w:val="bottom"/>
            <w:hideMark/>
          </w:tcPr>
          <w:p w14:paraId="6E584496" w14:textId="77777777" w:rsidR="009613E6" w:rsidRPr="00E80090" w:rsidRDefault="009613E6" w:rsidP="009613E6">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Monthly electronic statements</w:t>
            </w:r>
          </w:p>
        </w:tc>
        <w:tc>
          <w:tcPr>
            <w:tcW w:w="1898" w:type="dxa"/>
            <w:tcBorders>
              <w:top w:val="nil"/>
              <w:left w:val="nil"/>
              <w:bottom w:val="single" w:sz="4" w:space="0" w:color="auto"/>
              <w:right w:val="single" w:sz="4" w:space="0" w:color="auto"/>
            </w:tcBorders>
            <w:shd w:val="clear" w:color="auto" w:fill="auto"/>
            <w:noWrap/>
            <w:vAlign w:val="center"/>
            <w:hideMark/>
          </w:tcPr>
          <w:p w14:paraId="6E584497"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€ 1.00</w:t>
            </w:r>
          </w:p>
        </w:tc>
        <w:tc>
          <w:tcPr>
            <w:tcW w:w="1520" w:type="dxa"/>
            <w:tcBorders>
              <w:top w:val="nil"/>
              <w:left w:val="nil"/>
              <w:bottom w:val="single" w:sz="4" w:space="0" w:color="auto"/>
              <w:right w:val="single" w:sz="4" w:space="0" w:color="auto"/>
            </w:tcBorders>
            <w:shd w:val="clear" w:color="auto" w:fill="auto"/>
            <w:noWrap/>
            <w:vAlign w:val="center"/>
            <w:hideMark/>
          </w:tcPr>
          <w:p w14:paraId="6E584498"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€ 0.30</w:t>
            </w:r>
          </w:p>
        </w:tc>
        <w:tc>
          <w:tcPr>
            <w:tcW w:w="993" w:type="dxa"/>
            <w:tcBorders>
              <w:top w:val="nil"/>
              <w:left w:val="nil"/>
              <w:bottom w:val="single" w:sz="4" w:space="0" w:color="auto"/>
              <w:right w:val="single" w:sz="4" w:space="0" w:color="auto"/>
            </w:tcBorders>
            <w:shd w:val="clear" w:color="auto" w:fill="auto"/>
            <w:vAlign w:val="center"/>
            <w:hideMark/>
          </w:tcPr>
          <w:p w14:paraId="6E584499"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291" w:type="dxa"/>
            <w:tcBorders>
              <w:top w:val="nil"/>
              <w:left w:val="nil"/>
              <w:bottom w:val="single" w:sz="4" w:space="0" w:color="auto"/>
              <w:right w:val="single" w:sz="4" w:space="0" w:color="auto"/>
            </w:tcBorders>
            <w:shd w:val="clear" w:color="auto" w:fill="auto"/>
            <w:noWrap/>
            <w:vAlign w:val="center"/>
            <w:hideMark/>
          </w:tcPr>
          <w:p w14:paraId="6E58449A"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12.00</w:t>
            </w:r>
          </w:p>
        </w:tc>
        <w:tc>
          <w:tcPr>
            <w:tcW w:w="1193" w:type="dxa"/>
            <w:tcBorders>
              <w:top w:val="nil"/>
              <w:left w:val="nil"/>
              <w:bottom w:val="single" w:sz="4" w:space="0" w:color="auto"/>
              <w:right w:val="single" w:sz="4" w:space="0" w:color="auto"/>
            </w:tcBorders>
            <w:shd w:val="clear" w:color="auto" w:fill="auto"/>
            <w:noWrap/>
            <w:vAlign w:val="center"/>
            <w:hideMark/>
          </w:tcPr>
          <w:p w14:paraId="6E58449B" w14:textId="77777777" w:rsidR="009613E6" w:rsidRPr="00E80090" w:rsidRDefault="009613E6" w:rsidP="009613E6">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3.60</w:t>
            </w:r>
          </w:p>
        </w:tc>
      </w:tr>
      <w:tr w:rsidR="009613E6" w:rsidRPr="00E80090" w14:paraId="6E5844A3" w14:textId="77777777" w:rsidTr="009613E6">
        <w:trPr>
          <w:trHeight w:val="256"/>
        </w:trPr>
        <w:tc>
          <w:tcPr>
            <w:tcW w:w="2347" w:type="dxa"/>
            <w:tcBorders>
              <w:top w:val="nil"/>
              <w:left w:val="nil"/>
              <w:bottom w:val="nil"/>
              <w:right w:val="nil"/>
            </w:tcBorders>
            <w:shd w:val="clear" w:color="auto" w:fill="auto"/>
            <w:noWrap/>
            <w:vAlign w:val="bottom"/>
            <w:hideMark/>
          </w:tcPr>
          <w:p w14:paraId="6E58449D" w14:textId="77777777" w:rsidR="009613E6" w:rsidRPr="00E80090" w:rsidRDefault="009613E6" w:rsidP="009613E6">
            <w:pPr>
              <w:rPr>
                <w:rFonts w:asciiTheme="majorHAnsi" w:eastAsia="Times New Roman" w:hAnsiTheme="majorHAnsi" w:cs="Arial"/>
                <w:sz w:val="22"/>
                <w:szCs w:val="22"/>
                <w:lang w:val="en-GB" w:eastAsia="en-US"/>
              </w:rPr>
            </w:pPr>
          </w:p>
        </w:tc>
        <w:tc>
          <w:tcPr>
            <w:tcW w:w="1898" w:type="dxa"/>
            <w:tcBorders>
              <w:top w:val="nil"/>
              <w:left w:val="nil"/>
              <w:bottom w:val="nil"/>
              <w:right w:val="nil"/>
            </w:tcBorders>
            <w:shd w:val="clear" w:color="auto" w:fill="auto"/>
            <w:vAlign w:val="center"/>
            <w:hideMark/>
          </w:tcPr>
          <w:p w14:paraId="6E58449E" w14:textId="77777777" w:rsidR="009613E6" w:rsidRPr="00E80090" w:rsidRDefault="009613E6" w:rsidP="009613E6">
            <w:pPr>
              <w:rPr>
                <w:rFonts w:asciiTheme="majorHAnsi" w:eastAsia="Times New Roman" w:hAnsiTheme="majorHAnsi" w:cs="Arial"/>
                <w:sz w:val="22"/>
                <w:szCs w:val="22"/>
                <w:lang w:val="en-GB" w:eastAsia="en-US"/>
              </w:rPr>
            </w:pPr>
          </w:p>
        </w:tc>
        <w:tc>
          <w:tcPr>
            <w:tcW w:w="1520" w:type="dxa"/>
            <w:tcBorders>
              <w:top w:val="nil"/>
              <w:left w:val="nil"/>
              <w:bottom w:val="nil"/>
              <w:right w:val="nil"/>
            </w:tcBorders>
            <w:shd w:val="clear" w:color="auto" w:fill="auto"/>
            <w:vAlign w:val="center"/>
            <w:hideMark/>
          </w:tcPr>
          <w:p w14:paraId="6E58449F" w14:textId="77777777" w:rsidR="009613E6" w:rsidRPr="00E80090" w:rsidRDefault="009613E6" w:rsidP="009613E6">
            <w:pPr>
              <w:rPr>
                <w:rFonts w:asciiTheme="majorHAnsi" w:eastAsia="Times New Roman" w:hAnsiTheme="majorHAnsi" w:cs="Arial"/>
                <w:sz w:val="22"/>
                <w:szCs w:val="22"/>
                <w:lang w:val="en-GB" w:eastAsia="en-US"/>
              </w:rPr>
            </w:pPr>
          </w:p>
        </w:tc>
        <w:tc>
          <w:tcPr>
            <w:tcW w:w="993" w:type="dxa"/>
            <w:tcBorders>
              <w:top w:val="nil"/>
              <w:left w:val="nil"/>
              <w:bottom w:val="nil"/>
              <w:right w:val="single" w:sz="4" w:space="0" w:color="auto"/>
            </w:tcBorders>
            <w:shd w:val="clear" w:color="auto" w:fill="auto"/>
            <w:vAlign w:val="center"/>
            <w:hideMark/>
          </w:tcPr>
          <w:p w14:paraId="6E5844A0" w14:textId="77777777" w:rsidR="009613E6" w:rsidRPr="00E80090" w:rsidRDefault="009613E6" w:rsidP="009613E6">
            <w:pPr>
              <w:rPr>
                <w:rFonts w:asciiTheme="majorHAnsi" w:eastAsia="Times New Roman" w:hAnsiTheme="majorHAnsi" w:cs="Arial"/>
                <w:sz w:val="22"/>
                <w:szCs w:val="22"/>
                <w:lang w:val="en-GB" w:eastAsia="en-US"/>
              </w:rPr>
            </w:pPr>
          </w:p>
        </w:tc>
        <w:tc>
          <w:tcPr>
            <w:tcW w:w="1291"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5844A1" w14:textId="77777777" w:rsidR="009613E6" w:rsidRPr="00E80090" w:rsidRDefault="009613E6" w:rsidP="009613E6">
            <w:pPr>
              <w:jc w:val="right"/>
              <w:rPr>
                <w:rFonts w:asciiTheme="majorHAnsi" w:eastAsia="Times New Roman" w:hAnsiTheme="majorHAnsi" w:cs="Arial"/>
                <w:b/>
                <w:bCs/>
                <w:sz w:val="22"/>
                <w:szCs w:val="22"/>
                <w:lang w:val="en-GB" w:eastAsia="en-US"/>
              </w:rPr>
            </w:pPr>
            <w:r w:rsidRPr="00E80090">
              <w:rPr>
                <w:rFonts w:asciiTheme="majorHAnsi" w:eastAsia="Times New Roman" w:hAnsiTheme="majorHAnsi" w:cs="Arial"/>
                <w:sz w:val="22"/>
                <w:szCs w:val="22"/>
                <w:lang w:val="en-GB" w:eastAsia="en-US"/>
              </w:rPr>
              <w:t>€</w:t>
            </w:r>
            <w:r w:rsidRPr="00E80090">
              <w:rPr>
                <w:rFonts w:asciiTheme="majorHAnsi" w:hAnsiTheme="majorHAnsi"/>
                <w:sz w:val="22"/>
                <w:szCs w:val="22"/>
                <w:lang w:val="en-GB"/>
              </w:rPr>
              <w:t xml:space="preserve"> </w:t>
            </w:r>
            <w:r w:rsidRPr="00E80090">
              <w:rPr>
                <w:rFonts w:asciiTheme="majorHAnsi" w:eastAsia="Times New Roman" w:hAnsiTheme="majorHAnsi" w:cs="Arial"/>
                <w:b/>
                <w:bCs/>
                <w:sz w:val="22"/>
                <w:szCs w:val="22"/>
                <w:lang w:val="en-GB" w:eastAsia="en-US"/>
              </w:rPr>
              <w:t>207.69</w:t>
            </w:r>
          </w:p>
        </w:tc>
        <w:tc>
          <w:tcPr>
            <w:tcW w:w="119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5844A2" w14:textId="77777777" w:rsidR="009613E6" w:rsidRPr="00E80090" w:rsidRDefault="009613E6" w:rsidP="009613E6">
            <w:pPr>
              <w:jc w:val="right"/>
              <w:rPr>
                <w:rFonts w:asciiTheme="majorHAnsi" w:eastAsia="Times New Roman" w:hAnsiTheme="majorHAnsi" w:cs="Arial"/>
                <w:b/>
                <w:bCs/>
                <w:sz w:val="22"/>
                <w:szCs w:val="22"/>
                <w:lang w:val="en-GB" w:eastAsia="en-US"/>
              </w:rPr>
            </w:pPr>
            <w:r w:rsidRPr="00E80090">
              <w:rPr>
                <w:rFonts w:asciiTheme="majorHAnsi" w:eastAsia="Times New Roman" w:hAnsiTheme="majorHAnsi" w:cs="Arial"/>
                <w:sz w:val="22"/>
                <w:szCs w:val="22"/>
                <w:lang w:val="en-GB" w:eastAsia="en-US"/>
              </w:rPr>
              <w:t>€</w:t>
            </w:r>
            <w:r w:rsidRPr="00E80090">
              <w:rPr>
                <w:rFonts w:asciiTheme="majorHAnsi" w:hAnsiTheme="majorHAnsi"/>
                <w:sz w:val="22"/>
                <w:szCs w:val="22"/>
                <w:lang w:val="en-GB"/>
              </w:rPr>
              <w:t xml:space="preserve"> </w:t>
            </w:r>
            <w:r w:rsidRPr="00E80090">
              <w:rPr>
                <w:rFonts w:asciiTheme="majorHAnsi" w:eastAsia="Times New Roman" w:hAnsiTheme="majorHAnsi" w:cs="Arial"/>
                <w:b/>
                <w:bCs/>
                <w:sz w:val="22"/>
                <w:szCs w:val="22"/>
                <w:lang w:val="en-GB" w:eastAsia="en-US"/>
              </w:rPr>
              <w:t>307.40</w:t>
            </w:r>
          </w:p>
        </w:tc>
      </w:tr>
    </w:tbl>
    <w:p w14:paraId="6E5844A4" w14:textId="77777777" w:rsidR="007645B8" w:rsidRPr="00E80090" w:rsidRDefault="007645B8" w:rsidP="007645B8">
      <w:pPr>
        <w:spacing w:line="360" w:lineRule="auto"/>
        <w:jc w:val="both"/>
        <w:rPr>
          <w:rFonts w:asciiTheme="majorHAnsi" w:hAnsiTheme="majorHAnsi" w:cs="Cambria"/>
          <w:b/>
          <w:sz w:val="27"/>
          <w:szCs w:val="27"/>
          <w:lang w:val="en-GB"/>
        </w:rPr>
      </w:pPr>
    </w:p>
    <w:p w14:paraId="6E5844A5" w14:textId="77777777" w:rsidR="007645B8" w:rsidRPr="00E80090" w:rsidRDefault="007645B8">
      <w:pPr>
        <w:rPr>
          <w:rFonts w:asciiTheme="majorHAnsi" w:hAnsiTheme="majorHAnsi" w:cs="Cambria"/>
          <w:b/>
          <w:sz w:val="27"/>
          <w:szCs w:val="27"/>
          <w:lang w:val="en-GB" w:eastAsia="en-US"/>
        </w:rPr>
      </w:pPr>
      <w:r w:rsidRPr="00E80090">
        <w:rPr>
          <w:rFonts w:asciiTheme="majorHAnsi" w:hAnsiTheme="majorHAnsi" w:cs="Cambria"/>
          <w:b/>
          <w:sz w:val="27"/>
          <w:szCs w:val="27"/>
          <w:lang w:val="en-GB"/>
        </w:rPr>
        <w:br w:type="page"/>
      </w:r>
    </w:p>
    <w:p w14:paraId="6E5844A6" w14:textId="77777777" w:rsidR="00F04031" w:rsidRPr="00E80090" w:rsidRDefault="007645B8" w:rsidP="007645B8">
      <w:pPr>
        <w:pStyle w:val="Lijstalinea"/>
        <w:numPr>
          <w:ilvl w:val="0"/>
          <w:numId w:val="28"/>
        </w:numPr>
        <w:spacing w:line="360" w:lineRule="auto"/>
        <w:jc w:val="both"/>
        <w:rPr>
          <w:rFonts w:asciiTheme="majorHAnsi" w:hAnsiTheme="majorHAnsi"/>
          <w:b/>
          <w:sz w:val="27"/>
          <w:szCs w:val="27"/>
          <w:lang w:val="en-GB"/>
        </w:rPr>
      </w:pPr>
      <w:r w:rsidRPr="00E80090">
        <w:rPr>
          <w:rFonts w:asciiTheme="majorHAnsi" w:hAnsiTheme="majorHAnsi" w:cs="Cambria"/>
          <w:b/>
          <w:sz w:val="27"/>
          <w:szCs w:val="27"/>
          <w:lang w:val="en-GB"/>
        </w:rPr>
        <w:lastRenderedPageBreak/>
        <w:t>Slovenia</w:t>
      </w:r>
    </w:p>
    <w:p w14:paraId="6E5844A7" w14:textId="77777777" w:rsidR="00D63664" w:rsidRPr="00E80090" w:rsidRDefault="003D2F7B" w:rsidP="003D2F7B">
      <w:pPr>
        <w:spacing w:after="200" w:line="360" w:lineRule="auto"/>
        <w:jc w:val="both"/>
        <w:rPr>
          <w:rFonts w:asciiTheme="majorHAnsi" w:hAnsiTheme="majorHAnsi" w:cs="Cambria"/>
          <w:lang w:val="en-GB" w:eastAsia="en-US"/>
        </w:rPr>
      </w:pPr>
      <w:r w:rsidRPr="00E80090">
        <w:rPr>
          <w:rFonts w:asciiTheme="majorHAnsi" w:hAnsiTheme="majorHAnsi" w:cs="Cambria"/>
          <w:lang w:val="en-GB" w:eastAsia="en-US"/>
        </w:rPr>
        <w:t>Finally, for Slovenia, the calculation is based on the estimations of the local controller. No further assumptions needed to be applied.</w:t>
      </w:r>
    </w:p>
    <w:tbl>
      <w:tblPr>
        <w:tblpPr w:leftFromText="180" w:rightFromText="180" w:vertAnchor="text" w:horzAnchor="margin" w:tblpY="141"/>
        <w:tblW w:w="9223" w:type="dxa"/>
        <w:tblLook w:val="04A0" w:firstRow="1" w:lastRow="0" w:firstColumn="1" w:lastColumn="0" w:noHBand="0" w:noVBand="1"/>
      </w:tblPr>
      <w:tblGrid>
        <w:gridCol w:w="3155"/>
        <w:gridCol w:w="1242"/>
        <w:gridCol w:w="1164"/>
        <w:gridCol w:w="1142"/>
        <w:gridCol w:w="1242"/>
        <w:gridCol w:w="1278"/>
      </w:tblGrid>
      <w:tr w:rsidR="003D2F7B" w:rsidRPr="00E80090" w14:paraId="6E5844AE" w14:textId="77777777" w:rsidTr="0098214A">
        <w:trPr>
          <w:trHeight w:val="242"/>
        </w:trPr>
        <w:tc>
          <w:tcPr>
            <w:tcW w:w="3155"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6E5844A8" w14:textId="77777777" w:rsidR="003D2F7B" w:rsidRPr="00E80090" w:rsidRDefault="003D2F7B" w:rsidP="003D2F7B">
            <w:pPr>
              <w:rPr>
                <w:rFonts w:asciiTheme="majorHAnsi" w:eastAsia="Times New Roman" w:hAnsiTheme="majorHAnsi" w:cs="Arial"/>
                <w:b/>
                <w:sz w:val="21"/>
                <w:szCs w:val="21"/>
                <w:lang w:val="en-GB" w:eastAsia="en-US"/>
              </w:rPr>
            </w:pPr>
            <w:r w:rsidRPr="00E80090">
              <w:rPr>
                <w:rFonts w:asciiTheme="majorHAnsi" w:eastAsia="Times New Roman" w:hAnsiTheme="majorHAnsi" w:cs="Arial"/>
                <w:b/>
                <w:sz w:val="21"/>
                <w:szCs w:val="21"/>
                <w:lang w:val="en-GB" w:eastAsia="en-US"/>
              </w:rPr>
              <w:t>Slovenia</w:t>
            </w:r>
          </w:p>
        </w:tc>
        <w:tc>
          <w:tcPr>
            <w:tcW w:w="1242" w:type="dxa"/>
            <w:tcBorders>
              <w:top w:val="nil"/>
              <w:left w:val="nil"/>
              <w:bottom w:val="nil"/>
              <w:right w:val="nil"/>
            </w:tcBorders>
            <w:shd w:val="clear" w:color="auto" w:fill="auto"/>
            <w:noWrap/>
            <w:vAlign w:val="bottom"/>
            <w:hideMark/>
          </w:tcPr>
          <w:p w14:paraId="6E5844A9" w14:textId="77777777" w:rsidR="003D2F7B" w:rsidRPr="00E80090" w:rsidRDefault="003D2F7B" w:rsidP="003D2F7B">
            <w:pPr>
              <w:rPr>
                <w:rFonts w:asciiTheme="majorHAnsi" w:eastAsia="Times New Roman" w:hAnsiTheme="majorHAnsi" w:cs="Arial"/>
                <w:sz w:val="21"/>
                <w:szCs w:val="21"/>
                <w:lang w:val="en-GB" w:eastAsia="en-US"/>
              </w:rPr>
            </w:pPr>
          </w:p>
        </w:tc>
        <w:tc>
          <w:tcPr>
            <w:tcW w:w="1164" w:type="dxa"/>
            <w:tcBorders>
              <w:top w:val="nil"/>
              <w:left w:val="nil"/>
              <w:bottom w:val="nil"/>
              <w:right w:val="nil"/>
            </w:tcBorders>
            <w:shd w:val="clear" w:color="auto" w:fill="auto"/>
            <w:noWrap/>
            <w:vAlign w:val="bottom"/>
            <w:hideMark/>
          </w:tcPr>
          <w:p w14:paraId="6E5844AA" w14:textId="77777777" w:rsidR="003D2F7B" w:rsidRPr="00E80090" w:rsidRDefault="003D2F7B" w:rsidP="003D2F7B">
            <w:pPr>
              <w:rPr>
                <w:rFonts w:asciiTheme="majorHAnsi" w:eastAsia="Times New Roman" w:hAnsiTheme="majorHAnsi" w:cs="Arial"/>
                <w:sz w:val="21"/>
                <w:szCs w:val="21"/>
                <w:lang w:val="en-GB" w:eastAsia="en-US"/>
              </w:rPr>
            </w:pPr>
          </w:p>
        </w:tc>
        <w:tc>
          <w:tcPr>
            <w:tcW w:w="1142" w:type="dxa"/>
            <w:tcBorders>
              <w:top w:val="nil"/>
              <w:left w:val="nil"/>
              <w:bottom w:val="nil"/>
              <w:right w:val="nil"/>
            </w:tcBorders>
            <w:shd w:val="clear" w:color="auto" w:fill="auto"/>
            <w:noWrap/>
            <w:vAlign w:val="bottom"/>
            <w:hideMark/>
          </w:tcPr>
          <w:p w14:paraId="6E5844AB" w14:textId="77777777" w:rsidR="003D2F7B" w:rsidRPr="00E80090" w:rsidRDefault="003D2F7B" w:rsidP="003D2F7B">
            <w:pPr>
              <w:rPr>
                <w:rFonts w:asciiTheme="majorHAnsi" w:eastAsia="Times New Roman" w:hAnsiTheme="majorHAnsi" w:cs="Arial"/>
                <w:sz w:val="21"/>
                <w:szCs w:val="21"/>
                <w:lang w:val="en-GB" w:eastAsia="en-US"/>
              </w:rPr>
            </w:pPr>
          </w:p>
        </w:tc>
        <w:tc>
          <w:tcPr>
            <w:tcW w:w="1242" w:type="dxa"/>
            <w:tcBorders>
              <w:top w:val="nil"/>
              <w:left w:val="nil"/>
              <w:bottom w:val="nil"/>
              <w:right w:val="nil"/>
            </w:tcBorders>
            <w:shd w:val="clear" w:color="auto" w:fill="auto"/>
            <w:noWrap/>
            <w:vAlign w:val="bottom"/>
            <w:hideMark/>
          </w:tcPr>
          <w:p w14:paraId="6E5844AC" w14:textId="77777777" w:rsidR="003D2F7B" w:rsidRPr="00E80090" w:rsidRDefault="003D2F7B" w:rsidP="003D2F7B">
            <w:pPr>
              <w:rPr>
                <w:rFonts w:asciiTheme="majorHAnsi" w:eastAsia="Times New Roman" w:hAnsiTheme="majorHAnsi" w:cs="Arial"/>
                <w:sz w:val="21"/>
                <w:szCs w:val="21"/>
                <w:lang w:val="en-GB" w:eastAsia="en-US"/>
              </w:rPr>
            </w:pPr>
          </w:p>
        </w:tc>
        <w:tc>
          <w:tcPr>
            <w:tcW w:w="1278" w:type="dxa"/>
            <w:tcBorders>
              <w:top w:val="nil"/>
              <w:left w:val="nil"/>
              <w:bottom w:val="nil"/>
              <w:right w:val="nil"/>
            </w:tcBorders>
            <w:shd w:val="clear" w:color="auto" w:fill="auto"/>
            <w:noWrap/>
            <w:vAlign w:val="bottom"/>
            <w:hideMark/>
          </w:tcPr>
          <w:p w14:paraId="6E5844AD" w14:textId="77777777" w:rsidR="003D2F7B" w:rsidRPr="00E80090" w:rsidRDefault="003D2F7B" w:rsidP="003D2F7B">
            <w:pPr>
              <w:rPr>
                <w:rFonts w:asciiTheme="majorHAnsi" w:eastAsia="Times New Roman" w:hAnsiTheme="majorHAnsi" w:cs="Arial"/>
                <w:sz w:val="21"/>
                <w:szCs w:val="21"/>
                <w:lang w:val="en-GB" w:eastAsia="en-US"/>
              </w:rPr>
            </w:pPr>
          </w:p>
        </w:tc>
      </w:tr>
      <w:tr w:rsidR="003D2F7B" w:rsidRPr="00E80090" w14:paraId="6E5844B5" w14:textId="77777777" w:rsidTr="0098214A">
        <w:trPr>
          <w:trHeight w:val="484"/>
        </w:trPr>
        <w:tc>
          <w:tcPr>
            <w:tcW w:w="3155" w:type="dxa"/>
            <w:tcBorders>
              <w:top w:val="nil"/>
              <w:left w:val="single" w:sz="4" w:space="0" w:color="auto"/>
              <w:bottom w:val="single" w:sz="4" w:space="0" w:color="auto"/>
              <w:right w:val="single" w:sz="4" w:space="0" w:color="auto"/>
            </w:tcBorders>
            <w:shd w:val="clear" w:color="000000" w:fill="99CCFF"/>
            <w:noWrap/>
            <w:vAlign w:val="center"/>
            <w:hideMark/>
          </w:tcPr>
          <w:p w14:paraId="6E5844AF" w14:textId="77777777" w:rsidR="003D2F7B" w:rsidRPr="00E80090" w:rsidRDefault="003D2F7B" w:rsidP="003D2F7B">
            <w:pP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Product:</w:t>
            </w:r>
          </w:p>
        </w:tc>
        <w:tc>
          <w:tcPr>
            <w:tcW w:w="1242" w:type="dxa"/>
            <w:tcBorders>
              <w:top w:val="single" w:sz="4" w:space="0" w:color="auto"/>
              <w:left w:val="nil"/>
              <w:bottom w:val="single" w:sz="4" w:space="0" w:color="auto"/>
              <w:right w:val="single" w:sz="4" w:space="0" w:color="auto"/>
            </w:tcBorders>
            <w:shd w:val="clear" w:color="000000" w:fill="99CCFF"/>
            <w:noWrap/>
            <w:vAlign w:val="center"/>
            <w:hideMark/>
          </w:tcPr>
          <w:p w14:paraId="6E5844B0" w14:textId="77777777" w:rsidR="003D2F7B" w:rsidRPr="00E80090" w:rsidRDefault="003D2F7B" w:rsidP="003D2F7B">
            <w:pP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Volksbank</w:t>
            </w:r>
          </w:p>
        </w:tc>
        <w:tc>
          <w:tcPr>
            <w:tcW w:w="1164" w:type="dxa"/>
            <w:tcBorders>
              <w:top w:val="single" w:sz="4" w:space="0" w:color="auto"/>
              <w:left w:val="nil"/>
              <w:bottom w:val="single" w:sz="4" w:space="0" w:color="auto"/>
              <w:right w:val="single" w:sz="4" w:space="0" w:color="auto"/>
            </w:tcBorders>
            <w:shd w:val="clear" w:color="000000" w:fill="99CCFF"/>
            <w:noWrap/>
            <w:vAlign w:val="center"/>
            <w:hideMark/>
          </w:tcPr>
          <w:p w14:paraId="6E5844B1" w14:textId="77777777" w:rsidR="003D2F7B" w:rsidRPr="00E80090" w:rsidRDefault="003D2F7B" w:rsidP="003D2F7B">
            <w:pP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UniCredit</w:t>
            </w:r>
          </w:p>
        </w:tc>
        <w:tc>
          <w:tcPr>
            <w:tcW w:w="1142" w:type="dxa"/>
            <w:tcBorders>
              <w:top w:val="single" w:sz="4" w:space="0" w:color="auto"/>
              <w:left w:val="nil"/>
              <w:bottom w:val="single" w:sz="4" w:space="0" w:color="auto"/>
              <w:right w:val="single" w:sz="4" w:space="0" w:color="auto"/>
            </w:tcBorders>
            <w:shd w:val="clear" w:color="000000" w:fill="99CCFF"/>
            <w:noWrap/>
            <w:vAlign w:val="center"/>
            <w:hideMark/>
          </w:tcPr>
          <w:p w14:paraId="6E5844B2" w14:textId="77777777" w:rsidR="003D2F7B" w:rsidRPr="00E80090" w:rsidRDefault="003D2F7B" w:rsidP="003D2F7B">
            <w:pP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Annual Volume</w:t>
            </w:r>
          </w:p>
        </w:tc>
        <w:tc>
          <w:tcPr>
            <w:tcW w:w="1242" w:type="dxa"/>
            <w:tcBorders>
              <w:top w:val="single" w:sz="4" w:space="0" w:color="auto"/>
              <w:left w:val="nil"/>
              <w:bottom w:val="single" w:sz="4" w:space="0" w:color="auto"/>
              <w:right w:val="single" w:sz="4" w:space="0" w:color="auto"/>
            </w:tcBorders>
            <w:shd w:val="clear" w:color="000000" w:fill="99CCFF"/>
            <w:vAlign w:val="center"/>
            <w:hideMark/>
          </w:tcPr>
          <w:p w14:paraId="6E5844B3" w14:textId="77777777" w:rsidR="003D2F7B" w:rsidRPr="00E80090" w:rsidRDefault="003D2F7B" w:rsidP="003D2F7B">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Costs Volksbank</w:t>
            </w:r>
          </w:p>
        </w:tc>
        <w:tc>
          <w:tcPr>
            <w:tcW w:w="1278" w:type="dxa"/>
            <w:tcBorders>
              <w:top w:val="single" w:sz="4" w:space="0" w:color="auto"/>
              <w:left w:val="nil"/>
              <w:bottom w:val="single" w:sz="4" w:space="0" w:color="auto"/>
              <w:right w:val="single" w:sz="4" w:space="0" w:color="auto"/>
            </w:tcBorders>
            <w:shd w:val="clear" w:color="000000" w:fill="99CCFF"/>
            <w:vAlign w:val="center"/>
            <w:hideMark/>
          </w:tcPr>
          <w:p w14:paraId="6E5844B4" w14:textId="77777777" w:rsidR="003D2F7B" w:rsidRPr="00E80090" w:rsidRDefault="003D2F7B" w:rsidP="003D2F7B">
            <w:pPr>
              <w:jc w:val="center"/>
              <w:rPr>
                <w:rFonts w:asciiTheme="majorHAnsi" w:eastAsia="Times New Roman" w:hAnsiTheme="majorHAnsi" w:cs="Arial"/>
                <w:b/>
                <w:bCs/>
                <w:sz w:val="21"/>
                <w:szCs w:val="21"/>
                <w:lang w:val="en-GB" w:eastAsia="en-US"/>
              </w:rPr>
            </w:pPr>
            <w:r w:rsidRPr="00E80090">
              <w:rPr>
                <w:rFonts w:asciiTheme="majorHAnsi" w:eastAsia="Times New Roman" w:hAnsiTheme="majorHAnsi" w:cs="Arial"/>
                <w:b/>
                <w:bCs/>
                <w:sz w:val="21"/>
                <w:szCs w:val="21"/>
                <w:lang w:val="en-GB" w:eastAsia="en-US"/>
              </w:rPr>
              <w:t>Costs UniCredit</w:t>
            </w:r>
          </w:p>
        </w:tc>
      </w:tr>
      <w:tr w:rsidR="003D2F7B" w:rsidRPr="00E80090" w14:paraId="6E5844BC" w14:textId="77777777" w:rsidTr="0098214A">
        <w:trPr>
          <w:trHeight w:val="270"/>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6E5844B6" w14:textId="77777777" w:rsidR="003D2F7B" w:rsidRPr="00E80090" w:rsidRDefault="003D2F7B" w:rsidP="00BE02F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Account maintenance (monthly)</w:t>
            </w:r>
          </w:p>
        </w:tc>
        <w:tc>
          <w:tcPr>
            <w:tcW w:w="1242" w:type="dxa"/>
            <w:tcBorders>
              <w:top w:val="nil"/>
              <w:left w:val="nil"/>
              <w:bottom w:val="single" w:sz="4" w:space="0" w:color="auto"/>
              <w:right w:val="single" w:sz="4" w:space="0" w:color="auto"/>
            </w:tcBorders>
            <w:shd w:val="clear" w:color="auto" w:fill="auto"/>
            <w:vAlign w:val="center"/>
            <w:hideMark/>
          </w:tcPr>
          <w:p w14:paraId="6E5844B7"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€ 5.00</w:t>
            </w:r>
          </w:p>
        </w:tc>
        <w:tc>
          <w:tcPr>
            <w:tcW w:w="1164" w:type="dxa"/>
            <w:tcBorders>
              <w:top w:val="nil"/>
              <w:left w:val="nil"/>
              <w:bottom w:val="single" w:sz="4" w:space="0" w:color="auto"/>
              <w:right w:val="single" w:sz="4" w:space="0" w:color="auto"/>
            </w:tcBorders>
            <w:shd w:val="clear" w:color="auto" w:fill="auto"/>
            <w:vAlign w:val="center"/>
            <w:hideMark/>
          </w:tcPr>
          <w:p w14:paraId="6E5844B8"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€ 12.00</w:t>
            </w:r>
          </w:p>
        </w:tc>
        <w:tc>
          <w:tcPr>
            <w:tcW w:w="1142" w:type="dxa"/>
            <w:tcBorders>
              <w:top w:val="nil"/>
              <w:left w:val="nil"/>
              <w:bottom w:val="single" w:sz="4" w:space="0" w:color="auto"/>
              <w:right w:val="single" w:sz="4" w:space="0" w:color="auto"/>
            </w:tcBorders>
            <w:shd w:val="clear" w:color="auto" w:fill="auto"/>
            <w:vAlign w:val="center"/>
            <w:hideMark/>
          </w:tcPr>
          <w:p w14:paraId="6E5844B9"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242" w:type="dxa"/>
            <w:tcBorders>
              <w:top w:val="nil"/>
              <w:left w:val="nil"/>
              <w:bottom w:val="single" w:sz="4" w:space="0" w:color="auto"/>
              <w:right w:val="single" w:sz="4" w:space="0" w:color="auto"/>
            </w:tcBorders>
            <w:shd w:val="clear" w:color="auto" w:fill="auto"/>
            <w:vAlign w:val="center"/>
            <w:hideMark/>
          </w:tcPr>
          <w:p w14:paraId="6E5844BA"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60.00</w:t>
            </w:r>
          </w:p>
        </w:tc>
        <w:tc>
          <w:tcPr>
            <w:tcW w:w="1278" w:type="dxa"/>
            <w:tcBorders>
              <w:top w:val="nil"/>
              <w:left w:val="nil"/>
              <w:bottom w:val="single" w:sz="4" w:space="0" w:color="auto"/>
              <w:right w:val="single" w:sz="4" w:space="0" w:color="auto"/>
            </w:tcBorders>
            <w:shd w:val="clear" w:color="auto" w:fill="auto"/>
            <w:noWrap/>
            <w:vAlign w:val="center"/>
            <w:hideMark/>
          </w:tcPr>
          <w:p w14:paraId="6E5844BB"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144.00</w:t>
            </w:r>
          </w:p>
        </w:tc>
      </w:tr>
      <w:tr w:rsidR="003D2F7B" w:rsidRPr="00E80090" w14:paraId="6E5844C3" w14:textId="77777777" w:rsidTr="0098214A">
        <w:trPr>
          <w:trHeight w:val="270"/>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6E5844BD" w14:textId="77777777" w:rsidR="003D2F7B" w:rsidRPr="00E80090" w:rsidRDefault="003D2F7B" w:rsidP="00BE02F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Electronic banking (monthly)</w:t>
            </w:r>
          </w:p>
        </w:tc>
        <w:tc>
          <w:tcPr>
            <w:tcW w:w="1242" w:type="dxa"/>
            <w:tcBorders>
              <w:top w:val="nil"/>
              <w:left w:val="nil"/>
              <w:bottom w:val="single" w:sz="4" w:space="0" w:color="auto"/>
              <w:right w:val="single" w:sz="4" w:space="0" w:color="auto"/>
            </w:tcBorders>
            <w:shd w:val="clear" w:color="auto" w:fill="auto"/>
            <w:vAlign w:val="center"/>
            <w:hideMark/>
          </w:tcPr>
          <w:p w14:paraId="6E5844BE"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€ 8.00</w:t>
            </w:r>
          </w:p>
        </w:tc>
        <w:tc>
          <w:tcPr>
            <w:tcW w:w="1164" w:type="dxa"/>
            <w:tcBorders>
              <w:top w:val="nil"/>
              <w:left w:val="nil"/>
              <w:bottom w:val="single" w:sz="4" w:space="0" w:color="auto"/>
              <w:right w:val="single" w:sz="4" w:space="0" w:color="auto"/>
            </w:tcBorders>
            <w:shd w:val="clear" w:color="auto" w:fill="auto"/>
            <w:vAlign w:val="center"/>
            <w:hideMark/>
          </w:tcPr>
          <w:p w14:paraId="6E5844BF"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€ 9.00</w:t>
            </w:r>
          </w:p>
        </w:tc>
        <w:tc>
          <w:tcPr>
            <w:tcW w:w="1142" w:type="dxa"/>
            <w:tcBorders>
              <w:top w:val="nil"/>
              <w:left w:val="nil"/>
              <w:bottom w:val="single" w:sz="4" w:space="0" w:color="auto"/>
              <w:right w:val="single" w:sz="4" w:space="0" w:color="auto"/>
            </w:tcBorders>
            <w:shd w:val="clear" w:color="auto" w:fill="auto"/>
            <w:vAlign w:val="center"/>
            <w:hideMark/>
          </w:tcPr>
          <w:p w14:paraId="6E5844C0"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242" w:type="dxa"/>
            <w:tcBorders>
              <w:top w:val="nil"/>
              <w:left w:val="nil"/>
              <w:bottom w:val="single" w:sz="4" w:space="0" w:color="auto"/>
              <w:right w:val="single" w:sz="4" w:space="0" w:color="auto"/>
            </w:tcBorders>
            <w:shd w:val="clear" w:color="auto" w:fill="auto"/>
            <w:noWrap/>
            <w:vAlign w:val="center"/>
            <w:hideMark/>
          </w:tcPr>
          <w:p w14:paraId="6E5844C1"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€ 96.00</w:t>
            </w:r>
          </w:p>
        </w:tc>
        <w:tc>
          <w:tcPr>
            <w:tcW w:w="1278" w:type="dxa"/>
            <w:tcBorders>
              <w:top w:val="nil"/>
              <w:left w:val="nil"/>
              <w:bottom w:val="single" w:sz="4" w:space="0" w:color="auto"/>
              <w:right w:val="single" w:sz="4" w:space="0" w:color="auto"/>
            </w:tcBorders>
            <w:shd w:val="clear" w:color="auto" w:fill="auto"/>
            <w:noWrap/>
            <w:vAlign w:val="center"/>
            <w:hideMark/>
          </w:tcPr>
          <w:p w14:paraId="6E5844C2"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108.00</w:t>
            </w:r>
          </w:p>
        </w:tc>
      </w:tr>
      <w:tr w:rsidR="003D2F7B" w:rsidRPr="00E80090" w14:paraId="6E5844CA" w14:textId="77777777" w:rsidTr="0098214A">
        <w:trPr>
          <w:trHeight w:val="270"/>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6E5844C4" w14:textId="77777777" w:rsidR="003D2F7B" w:rsidRPr="00E80090" w:rsidRDefault="003D2F7B" w:rsidP="00BE02F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Incoming domestic payments</w:t>
            </w:r>
          </w:p>
        </w:tc>
        <w:tc>
          <w:tcPr>
            <w:tcW w:w="1242" w:type="dxa"/>
            <w:tcBorders>
              <w:top w:val="nil"/>
              <w:left w:val="nil"/>
              <w:bottom w:val="single" w:sz="4" w:space="0" w:color="auto"/>
              <w:right w:val="single" w:sz="4" w:space="0" w:color="auto"/>
            </w:tcBorders>
            <w:shd w:val="clear" w:color="auto" w:fill="auto"/>
            <w:vAlign w:val="center"/>
            <w:hideMark/>
          </w:tcPr>
          <w:p w14:paraId="6E5844C5"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€ 0.10</w:t>
            </w:r>
          </w:p>
        </w:tc>
        <w:tc>
          <w:tcPr>
            <w:tcW w:w="1164" w:type="dxa"/>
            <w:tcBorders>
              <w:top w:val="nil"/>
              <w:left w:val="nil"/>
              <w:bottom w:val="single" w:sz="4" w:space="0" w:color="auto"/>
              <w:right w:val="single" w:sz="4" w:space="0" w:color="auto"/>
            </w:tcBorders>
            <w:shd w:val="clear" w:color="auto" w:fill="auto"/>
            <w:vAlign w:val="center"/>
            <w:hideMark/>
          </w:tcPr>
          <w:p w14:paraId="6E5844C6"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€ 0.13</w:t>
            </w:r>
          </w:p>
        </w:tc>
        <w:tc>
          <w:tcPr>
            <w:tcW w:w="1142" w:type="dxa"/>
            <w:tcBorders>
              <w:top w:val="nil"/>
              <w:left w:val="nil"/>
              <w:bottom w:val="single" w:sz="4" w:space="0" w:color="auto"/>
              <w:right w:val="single" w:sz="4" w:space="0" w:color="auto"/>
            </w:tcBorders>
            <w:shd w:val="clear" w:color="auto" w:fill="auto"/>
            <w:vAlign w:val="center"/>
            <w:hideMark/>
          </w:tcPr>
          <w:p w14:paraId="6E5844C7"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4000</w:t>
            </w:r>
          </w:p>
        </w:tc>
        <w:tc>
          <w:tcPr>
            <w:tcW w:w="1242" w:type="dxa"/>
            <w:tcBorders>
              <w:top w:val="nil"/>
              <w:left w:val="nil"/>
              <w:bottom w:val="single" w:sz="4" w:space="0" w:color="auto"/>
              <w:right w:val="single" w:sz="4" w:space="0" w:color="auto"/>
            </w:tcBorders>
            <w:shd w:val="clear" w:color="auto" w:fill="auto"/>
            <w:noWrap/>
            <w:vAlign w:val="center"/>
            <w:hideMark/>
          </w:tcPr>
          <w:p w14:paraId="6E5844C8"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400.00</w:t>
            </w:r>
          </w:p>
        </w:tc>
        <w:tc>
          <w:tcPr>
            <w:tcW w:w="1278" w:type="dxa"/>
            <w:tcBorders>
              <w:top w:val="nil"/>
              <w:left w:val="nil"/>
              <w:bottom w:val="single" w:sz="4" w:space="0" w:color="auto"/>
              <w:right w:val="single" w:sz="4" w:space="0" w:color="auto"/>
            </w:tcBorders>
            <w:shd w:val="clear" w:color="auto" w:fill="auto"/>
            <w:noWrap/>
            <w:vAlign w:val="center"/>
            <w:hideMark/>
          </w:tcPr>
          <w:p w14:paraId="6E5844C9"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520.00</w:t>
            </w:r>
          </w:p>
        </w:tc>
      </w:tr>
      <w:tr w:rsidR="003D2F7B" w:rsidRPr="00E80090" w14:paraId="6E5844D1" w14:textId="77777777" w:rsidTr="0098214A">
        <w:trPr>
          <w:trHeight w:val="270"/>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6E5844CB" w14:textId="77777777" w:rsidR="003D2F7B" w:rsidRPr="00E80090" w:rsidRDefault="003D2F7B" w:rsidP="00BE02F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Outgoing domestic payments</w:t>
            </w:r>
          </w:p>
        </w:tc>
        <w:tc>
          <w:tcPr>
            <w:tcW w:w="1242" w:type="dxa"/>
            <w:tcBorders>
              <w:top w:val="nil"/>
              <w:left w:val="nil"/>
              <w:bottom w:val="single" w:sz="4" w:space="0" w:color="auto"/>
              <w:right w:val="single" w:sz="4" w:space="0" w:color="auto"/>
            </w:tcBorders>
            <w:shd w:val="clear" w:color="auto" w:fill="auto"/>
            <w:vAlign w:val="center"/>
            <w:hideMark/>
          </w:tcPr>
          <w:p w14:paraId="6E5844CC"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€ 0.80</w:t>
            </w:r>
          </w:p>
        </w:tc>
        <w:tc>
          <w:tcPr>
            <w:tcW w:w="1164" w:type="dxa"/>
            <w:tcBorders>
              <w:top w:val="nil"/>
              <w:left w:val="nil"/>
              <w:bottom w:val="single" w:sz="4" w:space="0" w:color="auto"/>
              <w:right w:val="single" w:sz="4" w:space="0" w:color="auto"/>
            </w:tcBorders>
            <w:shd w:val="clear" w:color="auto" w:fill="auto"/>
            <w:vAlign w:val="center"/>
            <w:hideMark/>
          </w:tcPr>
          <w:p w14:paraId="6E5844CD"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€ 0.80</w:t>
            </w:r>
          </w:p>
        </w:tc>
        <w:tc>
          <w:tcPr>
            <w:tcW w:w="1142" w:type="dxa"/>
            <w:tcBorders>
              <w:top w:val="nil"/>
              <w:left w:val="nil"/>
              <w:bottom w:val="single" w:sz="4" w:space="0" w:color="auto"/>
              <w:right w:val="single" w:sz="4" w:space="0" w:color="auto"/>
            </w:tcBorders>
            <w:shd w:val="clear" w:color="auto" w:fill="auto"/>
            <w:vAlign w:val="center"/>
            <w:hideMark/>
          </w:tcPr>
          <w:p w14:paraId="6E5844CE"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2200</w:t>
            </w:r>
          </w:p>
        </w:tc>
        <w:tc>
          <w:tcPr>
            <w:tcW w:w="1242" w:type="dxa"/>
            <w:tcBorders>
              <w:top w:val="nil"/>
              <w:left w:val="nil"/>
              <w:bottom w:val="single" w:sz="4" w:space="0" w:color="auto"/>
              <w:right w:val="single" w:sz="4" w:space="0" w:color="auto"/>
            </w:tcBorders>
            <w:shd w:val="clear" w:color="auto" w:fill="auto"/>
            <w:vAlign w:val="center"/>
            <w:hideMark/>
          </w:tcPr>
          <w:p w14:paraId="6E5844CF"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1,760.00</w:t>
            </w:r>
          </w:p>
        </w:tc>
        <w:tc>
          <w:tcPr>
            <w:tcW w:w="1278" w:type="dxa"/>
            <w:tcBorders>
              <w:top w:val="nil"/>
              <w:left w:val="nil"/>
              <w:bottom w:val="single" w:sz="4" w:space="0" w:color="auto"/>
              <w:right w:val="single" w:sz="4" w:space="0" w:color="auto"/>
            </w:tcBorders>
            <w:shd w:val="clear" w:color="auto" w:fill="auto"/>
            <w:vAlign w:val="center"/>
            <w:hideMark/>
          </w:tcPr>
          <w:p w14:paraId="6E5844D0"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1,760.00</w:t>
            </w:r>
          </w:p>
        </w:tc>
      </w:tr>
      <w:tr w:rsidR="003D2F7B" w:rsidRPr="00E80090" w14:paraId="6E5844D8" w14:textId="77777777" w:rsidTr="0098214A">
        <w:trPr>
          <w:trHeight w:val="270"/>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6E5844D2" w14:textId="77777777" w:rsidR="003D2F7B" w:rsidRPr="00E80090" w:rsidRDefault="003D2F7B" w:rsidP="00BE02F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Incoming cross-border payments (SEPA)</w:t>
            </w:r>
          </w:p>
        </w:tc>
        <w:tc>
          <w:tcPr>
            <w:tcW w:w="1242" w:type="dxa"/>
            <w:tcBorders>
              <w:top w:val="nil"/>
              <w:left w:val="nil"/>
              <w:bottom w:val="single" w:sz="4" w:space="0" w:color="auto"/>
              <w:right w:val="single" w:sz="4" w:space="0" w:color="auto"/>
            </w:tcBorders>
            <w:shd w:val="clear" w:color="auto" w:fill="auto"/>
            <w:vAlign w:val="center"/>
            <w:hideMark/>
          </w:tcPr>
          <w:p w14:paraId="6E5844D3"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€ 0.10</w:t>
            </w:r>
          </w:p>
        </w:tc>
        <w:tc>
          <w:tcPr>
            <w:tcW w:w="1164" w:type="dxa"/>
            <w:tcBorders>
              <w:top w:val="nil"/>
              <w:left w:val="nil"/>
              <w:bottom w:val="single" w:sz="4" w:space="0" w:color="auto"/>
              <w:right w:val="single" w:sz="4" w:space="0" w:color="auto"/>
            </w:tcBorders>
            <w:shd w:val="clear" w:color="auto" w:fill="auto"/>
            <w:vAlign w:val="center"/>
            <w:hideMark/>
          </w:tcPr>
          <w:p w14:paraId="6E5844D4"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€ 0.13</w:t>
            </w:r>
          </w:p>
        </w:tc>
        <w:tc>
          <w:tcPr>
            <w:tcW w:w="1142" w:type="dxa"/>
            <w:tcBorders>
              <w:top w:val="nil"/>
              <w:left w:val="nil"/>
              <w:bottom w:val="single" w:sz="4" w:space="0" w:color="auto"/>
              <w:right w:val="single" w:sz="4" w:space="0" w:color="auto"/>
            </w:tcBorders>
            <w:shd w:val="clear" w:color="auto" w:fill="auto"/>
            <w:vAlign w:val="center"/>
            <w:hideMark/>
          </w:tcPr>
          <w:p w14:paraId="6E5844D5"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40</w:t>
            </w:r>
          </w:p>
        </w:tc>
        <w:tc>
          <w:tcPr>
            <w:tcW w:w="1242" w:type="dxa"/>
            <w:tcBorders>
              <w:top w:val="nil"/>
              <w:left w:val="nil"/>
              <w:bottom w:val="single" w:sz="4" w:space="0" w:color="auto"/>
              <w:right w:val="single" w:sz="4" w:space="0" w:color="auto"/>
            </w:tcBorders>
            <w:shd w:val="clear" w:color="auto" w:fill="auto"/>
            <w:vAlign w:val="center"/>
            <w:hideMark/>
          </w:tcPr>
          <w:p w14:paraId="6E5844D6"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4.00</w:t>
            </w:r>
          </w:p>
        </w:tc>
        <w:tc>
          <w:tcPr>
            <w:tcW w:w="1278" w:type="dxa"/>
            <w:tcBorders>
              <w:top w:val="nil"/>
              <w:left w:val="nil"/>
              <w:bottom w:val="single" w:sz="4" w:space="0" w:color="auto"/>
              <w:right w:val="single" w:sz="4" w:space="0" w:color="auto"/>
            </w:tcBorders>
            <w:shd w:val="clear" w:color="auto" w:fill="auto"/>
            <w:vAlign w:val="center"/>
            <w:hideMark/>
          </w:tcPr>
          <w:p w14:paraId="6E5844D7"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5.20</w:t>
            </w:r>
          </w:p>
        </w:tc>
      </w:tr>
      <w:tr w:rsidR="003D2F7B" w:rsidRPr="00E80090" w14:paraId="6E5844DF" w14:textId="77777777" w:rsidTr="0098214A">
        <w:trPr>
          <w:trHeight w:val="270"/>
        </w:trPr>
        <w:tc>
          <w:tcPr>
            <w:tcW w:w="3155" w:type="dxa"/>
            <w:tcBorders>
              <w:top w:val="nil"/>
              <w:left w:val="single" w:sz="4" w:space="0" w:color="auto"/>
              <w:bottom w:val="single" w:sz="4" w:space="0" w:color="auto"/>
              <w:right w:val="single" w:sz="4" w:space="0" w:color="auto"/>
            </w:tcBorders>
            <w:shd w:val="clear" w:color="auto" w:fill="auto"/>
            <w:vAlign w:val="center"/>
            <w:hideMark/>
          </w:tcPr>
          <w:p w14:paraId="6E5844D9" w14:textId="77777777" w:rsidR="003D2F7B" w:rsidRPr="00E80090" w:rsidRDefault="003D2F7B" w:rsidP="00BE02F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Outgoing cross-border payments (SEPA)</w:t>
            </w:r>
          </w:p>
        </w:tc>
        <w:tc>
          <w:tcPr>
            <w:tcW w:w="1242" w:type="dxa"/>
            <w:tcBorders>
              <w:top w:val="nil"/>
              <w:left w:val="nil"/>
              <w:bottom w:val="single" w:sz="4" w:space="0" w:color="auto"/>
              <w:right w:val="single" w:sz="4" w:space="0" w:color="auto"/>
            </w:tcBorders>
            <w:shd w:val="clear" w:color="auto" w:fill="auto"/>
            <w:vAlign w:val="center"/>
            <w:hideMark/>
          </w:tcPr>
          <w:p w14:paraId="6E5844DA"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€ 0.80</w:t>
            </w:r>
          </w:p>
        </w:tc>
        <w:tc>
          <w:tcPr>
            <w:tcW w:w="1164" w:type="dxa"/>
            <w:tcBorders>
              <w:top w:val="nil"/>
              <w:left w:val="nil"/>
              <w:bottom w:val="single" w:sz="4" w:space="0" w:color="auto"/>
              <w:right w:val="single" w:sz="4" w:space="0" w:color="auto"/>
            </w:tcBorders>
            <w:shd w:val="clear" w:color="auto" w:fill="auto"/>
            <w:vAlign w:val="center"/>
            <w:hideMark/>
          </w:tcPr>
          <w:p w14:paraId="6E5844DB" w14:textId="77777777" w:rsidR="003D2F7B" w:rsidRPr="00E80090" w:rsidRDefault="003D2F7B" w:rsidP="003D2F7B">
            <w:pPr>
              <w:jc w:val="center"/>
              <w:rPr>
                <w:rFonts w:asciiTheme="majorHAnsi" w:eastAsia="Times New Roman" w:hAnsiTheme="majorHAnsi" w:cs="Arial"/>
                <w:color w:val="000000"/>
                <w:sz w:val="21"/>
                <w:szCs w:val="21"/>
                <w:lang w:val="en-GB" w:eastAsia="en-US"/>
              </w:rPr>
            </w:pPr>
            <w:r w:rsidRPr="00E80090">
              <w:rPr>
                <w:rFonts w:asciiTheme="majorHAnsi" w:eastAsia="Times New Roman" w:hAnsiTheme="majorHAnsi" w:cs="Arial"/>
                <w:color w:val="000000"/>
                <w:sz w:val="21"/>
                <w:szCs w:val="21"/>
                <w:lang w:val="en-GB" w:eastAsia="en-US"/>
              </w:rPr>
              <w:t>€ 0.50</w:t>
            </w:r>
          </w:p>
        </w:tc>
        <w:tc>
          <w:tcPr>
            <w:tcW w:w="1142" w:type="dxa"/>
            <w:tcBorders>
              <w:top w:val="nil"/>
              <w:left w:val="nil"/>
              <w:bottom w:val="single" w:sz="4" w:space="0" w:color="auto"/>
              <w:right w:val="single" w:sz="4" w:space="0" w:color="auto"/>
            </w:tcBorders>
            <w:shd w:val="clear" w:color="auto" w:fill="auto"/>
            <w:vAlign w:val="center"/>
            <w:hideMark/>
          </w:tcPr>
          <w:p w14:paraId="6E5844DC"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1000</w:t>
            </w:r>
          </w:p>
        </w:tc>
        <w:tc>
          <w:tcPr>
            <w:tcW w:w="1242" w:type="dxa"/>
            <w:tcBorders>
              <w:top w:val="nil"/>
              <w:left w:val="nil"/>
              <w:bottom w:val="single" w:sz="4" w:space="0" w:color="auto"/>
              <w:right w:val="single" w:sz="4" w:space="0" w:color="auto"/>
            </w:tcBorders>
            <w:shd w:val="clear" w:color="auto" w:fill="auto"/>
            <w:vAlign w:val="center"/>
            <w:hideMark/>
          </w:tcPr>
          <w:p w14:paraId="6E5844DD"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800.00</w:t>
            </w:r>
          </w:p>
        </w:tc>
        <w:tc>
          <w:tcPr>
            <w:tcW w:w="1278" w:type="dxa"/>
            <w:tcBorders>
              <w:top w:val="nil"/>
              <w:left w:val="nil"/>
              <w:bottom w:val="single" w:sz="4" w:space="0" w:color="auto"/>
              <w:right w:val="single" w:sz="4" w:space="0" w:color="auto"/>
            </w:tcBorders>
            <w:shd w:val="clear" w:color="auto" w:fill="auto"/>
            <w:noWrap/>
            <w:vAlign w:val="center"/>
            <w:hideMark/>
          </w:tcPr>
          <w:p w14:paraId="6E5844DE"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500.00</w:t>
            </w:r>
          </w:p>
        </w:tc>
      </w:tr>
      <w:tr w:rsidR="003D2F7B" w:rsidRPr="00E80090" w14:paraId="6E5844E6" w14:textId="77777777" w:rsidTr="0098214A">
        <w:trPr>
          <w:trHeight w:val="509"/>
        </w:trPr>
        <w:tc>
          <w:tcPr>
            <w:tcW w:w="3155" w:type="dxa"/>
            <w:tcBorders>
              <w:top w:val="nil"/>
              <w:left w:val="single" w:sz="4" w:space="0" w:color="auto"/>
              <w:bottom w:val="single" w:sz="4" w:space="0" w:color="auto"/>
              <w:right w:val="single" w:sz="4" w:space="0" w:color="auto"/>
            </w:tcBorders>
            <w:shd w:val="clear" w:color="auto" w:fill="auto"/>
            <w:noWrap/>
            <w:vAlign w:val="center"/>
            <w:hideMark/>
          </w:tcPr>
          <w:p w14:paraId="6E5844E0" w14:textId="77777777" w:rsidR="003D2F7B" w:rsidRPr="00E80090" w:rsidRDefault="003D2F7B" w:rsidP="00BE02F5">
            <w:pP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Monthly electronic statements</w:t>
            </w:r>
          </w:p>
        </w:tc>
        <w:tc>
          <w:tcPr>
            <w:tcW w:w="1242" w:type="dxa"/>
            <w:tcBorders>
              <w:top w:val="nil"/>
              <w:left w:val="nil"/>
              <w:bottom w:val="single" w:sz="4" w:space="0" w:color="auto"/>
              <w:right w:val="single" w:sz="4" w:space="0" w:color="auto"/>
            </w:tcBorders>
            <w:shd w:val="clear" w:color="auto" w:fill="auto"/>
            <w:vAlign w:val="center"/>
            <w:hideMark/>
          </w:tcPr>
          <w:p w14:paraId="6E5844E1"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of charge</w:t>
            </w:r>
          </w:p>
        </w:tc>
        <w:tc>
          <w:tcPr>
            <w:tcW w:w="1164" w:type="dxa"/>
            <w:tcBorders>
              <w:top w:val="nil"/>
              <w:left w:val="nil"/>
              <w:bottom w:val="single" w:sz="4" w:space="0" w:color="auto"/>
              <w:right w:val="single" w:sz="4" w:space="0" w:color="auto"/>
            </w:tcBorders>
            <w:shd w:val="clear" w:color="auto" w:fill="auto"/>
            <w:vAlign w:val="center"/>
            <w:hideMark/>
          </w:tcPr>
          <w:p w14:paraId="6E5844E2"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Free of charge</w:t>
            </w:r>
          </w:p>
        </w:tc>
        <w:tc>
          <w:tcPr>
            <w:tcW w:w="1142" w:type="dxa"/>
            <w:tcBorders>
              <w:top w:val="nil"/>
              <w:left w:val="nil"/>
              <w:bottom w:val="single" w:sz="4" w:space="0" w:color="auto"/>
              <w:right w:val="single" w:sz="4" w:space="0" w:color="auto"/>
            </w:tcBorders>
            <w:shd w:val="clear" w:color="auto" w:fill="auto"/>
            <w:vAlign w:val="center"/>
            <w:hideMark/>
          </w:tcPr>
          <w:p w14:paraId="6E5844E3"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12</w:t>
            </w:r>
          </w:p>
        </w:tc>
        <w:tc>
          <w:tcPr>
            <w:tcW w:w="1242" w:type="dxa"/>
            <w:tcBorders>
              <w:top w:val="nil"/>
              <w:left w:val="nil"/>
              <w:bottom w:val="single" w:sz="4" w:space="0" w:color="auto"/>
              <w:right w:val="single" w:sz="4" w:space="0" w:color="auto"/>
            </w:tcBorders>
            <w:shd w:val="clear" w:color="auto" w:fill="auto"/>
            <w:noWrap/>
            <w:vAlign w:val="center"/>
            <w:hideMark/>
          </w:tcPr>
          <w:p w14:paraId="6E5844E4"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E5844E5" w14:textId="77777777" w:rsidR="003D2F7B" w:rsidRPr="00E80090" w:rsidRDefault="003D2F7B" w:rsidP="003D2F7B">
            <w:pPr>
              <w:jc w:val="center"/>
              <w:rPr>
                <w:rFonts w:asciiTheme="majorHAnsi" w:eastAsia="Times New Roman" w:hAnsiTheme="majorHAnsi" w:cs="Arial"/>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sz w:val="21"/>
                <w:szCs w:val="21"/>
                <w:lang w:val="en-GB" w:eastAsia="en-US"/>
              </w:rPr>
              <w:t>0.00</w:t>
            </w:r>
          </w:p>
        </w:tc>
      </w:tr>
      <w:tr w:rsidR="003D2F7B" w:rsidRPr="0007435B" w14:paraId="6E5844ED" w14:textId="77777777" w:rsidTr="0098214A">
        <w:trPr>
          <w:trHeight w:val="242"/>
        </w:trPr>
        <w:tc>
          <w:tcPr>
            <w:tcW w:w="3155" w:type="dxa"/>
            <w:tcBorders>
              <w:top w:val="nil"/>
              <w:left w:val="nil"/>
              <w:bottom w:val="nil"/>
              <w:right w:val="nil"/>
            </w:tcBorders>
            <w:shd w:val="clear" w:color="auto" w:fill="auto"/>
            <w:noWrap/>
            <w:vAlign w:val="bottom"/>
            <w:hideMark/>
          </w:tcPr>
          <w:p w14:paraId="6E5844E7" w14:textId="77777777" w:rsidR="003D2F7B" w:rsidRPr="00E80090" w:rsidRDefault="003D2F7B" w:rsidP="003D2F7B">
            <w:pPr>
              <w:rPr>
                <w:rFonts w:asciiTheme="majorHAnsi" w:eastAsia="Times New Roman" w:hAnsiTheme="majorHAnsi" w:cs="Arial"/>
                <w:sz w:val="21"/>
                <w:szCs w:val="21"/>
                <w:lang w:val="en-GB" w:eastAsia="en-US"/>
              </w:rPr>
            </w:pPr>
          </w:p>
        </w:tc>
        <w:tc>
          <w:tcPr>
            <w:tcW w:w="1242" w:type="dxa"/>
            <w:tcBorders>
              <w:top w:val="nil"/>
              <w:left w:val="nil"/>
              <w:bottom w:val="nil"/>
              <w:right w:val="nil"/>
            </w:tcBorders>
            <w:shd w:val="clear" w:color="auto" w:fill="auto"/>
            <w:noWrap/>
            <w:vAlign w:val="bottom"/>
            <w:hideMark/>
          </w:tcPr>
          <w:p w14:paraId="6E5844E8" w14:textId="77777777" w:rsidR="003D2F7B" w:rsidRPr="00E80090" w:rsidRDefault="003D2F7B" w:rsidP="003D2F7B">
            <w:pPr>
              <w:rPr>
                <w:rFonts w:asciiTheme="majorHAnsi" w:eastAsia="Times New Roman" w:hAnsiTheme="majorHAnsi" w:cs="Arial"/>
                <w:sz w:val="21"/>
                <w:szCs w:val="21"/>
                <w:lang w:val="en-GB" w:eastAsia="en-US"/>
              </w:rPr>
            </w:pPr>
          </w:p>
        </w:tc>
        <w:tc>
          <w:tcPr>
            <w:tcW w:w="1164" w:type="dxa"/>
            <w:tcBorders>
              <w:top w:val="nil"/>
              <w:left w:val="nil"/>
              <w:bottom w:val="nil"/>
              <w:right w:val="nil"/>
            </w:tcBorders>
            <w:shd w:val="clear" w:color="auto" w:fill="auto"/>
            <w:noWrap/>
            <w:vAlign w:val="bottom"/>
            <w:hideMark/>
          </w:tcPr>
          <w:p w14:paraId="6E5844E9" w14:textId="77777777" w:rsidR="003D2F7B" w:rsidRPr="00E80090" w:rsidRDefault="003D2F7B" w:rsidP="003D2F7B">
            <w:pPr>
              <w:rPr>
                <w:rFonts w:asciiTheme="majorHAnsi" w:eastAsia="Times New Roman" w:hAnsiTheme="majorHAnsi" w:cs="Arial"/>
                <w:sz w:val="21"/>
                <w:szCs w:val="21"/>
                <w:lang w:val="en-GB" w:eastAsia="en-US"/>
              </w:rPr>
            </w:pPr>
          </w:p>
        </w:tc>
        <w:tc>
          <w:tcPr>
            <w:tcW w:w="1142" w:type="dxa"/>
            <w:tcBorders>
              <w:top w:val="nil"/>
              <w:left w:val="nil"/>
              <w:bottom w:val="nil"/>
              <w:right w:val="nil"/>
            </w:tcBorders>
            <w:shd w:val="clear" w:color="auto" w:fill="auto"/>
            <w:noWrap/>
            <w:vAlign w:val="bottom"/>
            <w:hideMark/>
          </w:tcPr>
          <w:p w14:paraId="6E5844EA" w14:textId="77777777" w:rsidR="003D2F7B" w:rsidRPr="00E80090" w:rsidRDefault="003D2F7B" w:rsidP="003D2F7B">
            <w:pPr>
              <w:rPr>
                <w:rFonts w:asciiTheme="majorHAnsi" w:eastAsia="Times New Roman" w:hAnsiTheme="majorHAnsi" w:cs="Arial"/>
                <w:sz w:val="21"/>
                <w:szCs w:val="21"/>
                <w:lang w:val="en-GB" w:eastAsia="en-US"/>
              </w:rPr>
            </w:pPr>
          </w:p>
        </w:tc>
        <w:tc>
          <w:tcPr>
            <w:tcW w:w="1242" w:type="dxa"/>
            <w:tcBorders>
              <w:top w:val="nil"/>
              <w:left w:val="nil"/>
              <w:bottom w:val="nil"/>
              <w:right w:val="nil"/>
            </w:tcBorders>
            <w:shd w:val="clear" w:color="000000" w:fill="92D050"/>
            <w:noWrap/>
            <w:vAlign w:val="bottom"/>
            <w:hideMark/>
          </w:tcPr>
          <w:p w14:paraId="6E5844EB" w14:textId="77777777" w:rsidR="003D2F7B" w:rsidRPr="00E80090" w:rsidRDefault="003D2F7B" w:rsidP="003D2F7B">
            <w:pPr>
              <w:jc w:val="right"/>
              <w:rPr>
                <w:rFonts w:asciiTheme="majorHAnsi" w:eastAsia="Times New Roman" w:hAnsiTheme="majorHAnsi" w:cs="Arial"/>
                <w:b/>
                <w:bCs/>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b/>
                <w:bCs/>
                <w:sz w:val="21"/>
                <w:szCs w:val="21"/>
                <w:lang w:val="en-GB" w:eastAsia="en-US"/>
              </w:rPr>
              <w:t>3,120.00</w:t>
            </w:r>
          </w:p>
        </w:tc>
        <w:tc>
          <w:tcPr>
            <w:tcW w:w="1278" w:type="dxa"/>
            <w:tcBorders>
              <w:top w:val="nil"/>
              <w:left w:val="nil"/>
              <w:bottom w:val="nil"/>
              <w:right w:val="nil"/>
            </w:tcBorders>
            <w:shd w:val="clear" w:color="000000" w:fill="92D050"/>
            <w:noWrap/>
            <w:vAlign w:val="bottom"/>
            <w:hideMark/>
          </w:tcPr>
          <w:p w14:paraId="6E5844EC" w14:textId="77777777" w:rsidR="003D2F7B" w:rsidRPr="0098214A" w:rsidRDefault="003D2F7B" w:rsidP="003D2F7B">
            <w:pPr>
              <w:jc w:val="right"/>
              <w:rPr>
                <w:rFonts w:asciiTheme="majorHAnsi" w:eastAsia="Times New Roman" w:hAnsiTheme="majorHAnsi" w:cs="Arial"/>
                <w:b/>
                <w:bCs/>
                <w:sz w:val="21"/>
                <w:szCs w:val="21"/>
                <w:lang w:val="en-GB" w:eastAsia="en-US"/>
              </w:rPr>
            </w:pPr>
            <w:r w:rsidRPr="00E80090">
              <w:rPr>
                <w:rFonts w:asciiTheme="majorHAnsi" w:eastAsia="Times New Roman" w:hAnsiTheme="majorHAnsi" w:cs="Arial"/>
                <w:sz w:val="21"/>
                <w:szCs w:val="21"/>
                <w:lang w:val="en-GB" w:eastAsia="en-US"/>
              </w:rPr>
              <w:t>€</w:t>
            </w:r>
            <w:r w:rsidRPr="00E80090">
              <w:rPr>
                <w:rFonts w:asciiTheme="majorHAnsi" w:hAnsiTheme="majorHAnsi"/>
                <w:sz w:val="21"/>
                <w:szCs w:val="21"/>
                <w:lang w:val="en-GB"/>
              </w:rPr>
              <w:t xml:space="preserve"> </w:t>
            </w:r>
            <w:r w:rsidRPr="00E80090">
              <w:rPr>
                <w:rFonts w:asciiTheme="majorHAnsi" w:eastAsia="Times New Roman" w:hAnsiTheme="majorHAnsi" w:cs="Arial"/>
                <w:b/>
                <w:bCs/>
                <w:sz w:val="21"/>
                <w:szCs w:val="21"/>
                <w:lang w:val="en-GB" w:eastAsia="en-US"/>
              </w:rPr>
              <w:t>3,037.20</w:t>
            </w:r>
          </w:p>
        </w:tc>
      </w:tr>
    </w:tbl>
    <w:p w14:paraId="6E5844EE" w14:textId="77777777" w:rsidR="00D63664" w:rsidRDefault="00D63664" w:rsidP="003D2F7B">
      <w:pPr>
        <w:rPr>
          <w:rFonts w:asciiTheme="majorHAnsi" w:hAnsiTheme="majorHAnsi"/>
          <w:lang w:val="en-GB"/>
        </w:rPr>
      </w:pPr>
    </w:p>
    <w:p w14:paraId="6E5844EF" w14:textId="77777777" w:rsidR="00B464D5" w:rsidRPr="0007435B" w:rsidRDefault="00B464D5" w:rsidP="006D7C4E">
      <w:pPr>
        <w:jc w:val="right"/>
        <w:rPr>
          <w:rFonts w:asciiTheme="majorHAnsi" w:hAnsiTheme="majorHAnsi"/>
          <w:lang w:val="en-GB"/>
        </w:rPr>
      </w:pPr>
    </w:p>
    <w:sectPr w:rsidR="00B464D5" w:rsidRPr="0007435B" w:rsidSect="0056084B">
      <w:footerReference w:type="default" r:id="rId16"/>
      <w:pgSz w:w="11906" w:h="17338"/>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844F8" w14:textId="77777777" w:rsidR="00E638F4" w:rsidRDefault="00E638F4">
      <w:r>
        <w:separator/>
      </w:r>
    </w:p>
  </w:endnote>
  <w:endnote w:type="continuationSeparator" w:id="0">
    <w:p w14:paraId="6E5844F9" w14:textId="77777777" w:rsidR="00E638F4" w:rsidRDefault="00E6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844FA" w14:textId="77777777" w:rsidR="00E80090" w:rsidRDefault="00E80090" w:rsidP="00620812">
    <w:pPr>
      <w:pStyle w:val="Voettekst"/>
      <w:framePr w:wrap="auto"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55DB4">
      <w:rPr>
        <w:rStyle w:val="Paginanummer"/>
        <w:noProof/>
      </w:rPr>
      <w:t>42</w:t>
    </w:r>
    <w:r>
      <w:rPr>
        <w:rStyle w:val="Paginanummer"/>
      </w:rPr>
      <w:fldChar w:fldCharType="end"/>
    </w:r>
  </w:p>
  <w:p w14:paraId="6E5844FB" w14:textId="77777777" w:rsidR="00E80090" w:rsidRPr="00766D44" w:rsidRDefault="00E80090" w:rsidP="00203401">
    <w:pPr>
      <w:pStyle w:val="Voettekst"/>
      <w:ind w:left="540" w:right="360"/>
    </w:pPr>
    <w:r w:rsidRPr="00766D44">
      <w:t>Bachelor Thesis/ Yana Antonova 1564450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844F6" w14:textId="77777777" w:rsidR="00E638F4" w:rsidRDefault="00E638F4">
      <w:r>
        <w:separator/>
      </w:r>
    </w:p>
  </w:footnote>
  <w:footnote w:type="continuationSeparator" w:id="0">
    <w:p w14:paraId="6E5844F7" w14:textId="77777777" w:rsidR="00E638F4" w:rsidRDefault="00E638F4">
      <w:r>
        <w:continuationSeparator/>
      </w:r>
    </w:p>
  </w:footnote>
  <w:footnote w:id="1">
    <w:p w14:paraId="6E5844FC" w14:textId="77777777" w:rsidR="00E80090" w:rsidRDefault="00E80090" w:rsidP="0064539B">
      <w:pPr>
        <w:pStyle w:val="Voetnoottekst"/>
      </w:pPr>
      <w:r>
        <w:rPr>
          <w:rStyle w:val="Voetnootmarkering"/>
        </w:rPr>
        <w:footnoteRef/>
      </w:r>
      <w:r>
        <w:t>The Strategic Business Unit controller for the CEE region is the person to whom those entities report</w:t>
      </w:r>
    </w:p>
  </w:footnote>
  <w:footnote w:id="2">
    <w:p w14:paraId="6E5844FD" w14:textId="77777777" w:rsidR="00E80090" w:rsidRDefault="00E80090" w:rsidP="00A50CC3">
      <w:pPr>
        <w:pStyle w:val="Voetnoottekst"/>
        <w:spacing w:line="300" w:lineRule="auto"/>
      </w:pPr>
      <w:r>
        <w:rPr>
          <w:rStyle w:val="Voetnootmarkering"/>
        </w:rPr>
        <w:footnoteRef/>
      </w:r>
      <w:r>
        <w:t xml:space="preserve"> Data on the current fees was collected from the local controllers, while the offers from the proposed banks ware gathered from Citibank and UniCredit.</w:t>
      </w:r>
    </w:p>
  </w:footnote>
  <w:footnote w:id="3">
    <w:p w14:paraId="6E5844FE" w14:textId="77777777" w:rsidR="00E80090" w:rsidRDefault="00E80090" w:rsidP="00A50CC3">
      <w:pPr>
        <w:pStyle w:val="Voetnoottekst"/>
        <w:spacing w:line="300" w:lineRule="auto"/>
      </w:pPr>
      <w:r>
        <w:rPr>
          <w:rStyle w:val="Voetnootmarkering"/>
        </w:rPr>
        <w:footnoteRef/>
      </w:r>
      <w:r>
        <w:t xml:space="preserve"> The EUR/BGN exchange rate used for the conversion is </w:t>
      </w:r>
      <w:r w:rsidRPr="00584B0A">
        <w:t>1.9557</w:t>
      </w:r>
      <w:r>
        <w:t xml:space="preserve"> (Bloomberg, 24 June 2013)</w:t>
      </w:r>
    </w:p>
  </w:footnote>
  <w:footnote w:id="4">
    <w:p w14:paraId="6E5844FF" w14:textId="77777777" w:rsidR="00E80090" w:rsidRDefault="00E80090" w:rsidP="00710694">
      <w:pPr>
        <w:pStyle w:val="Voetnoottekst"/>
      </w:pPr>
      <w:r>
        <w:rPr>
          <w:rStyle w:val="Voetnootmarkering"/>
        </w:rPr>
        <w:footnoteRef/>
      </w:r>
      <w:r>
        <w:t xml:space="preserve"> The EUR/RON exchange rate used for the conversion is </w:t>
      </w:r>
      <w:r w:rsidRPr="00584B0A">
        <w:t>4.5318</w:t>
      </w:r>
      <w:r>
        <w:t xml:space="preserve"> (Bloomberg, 24 June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B18"/>
    <w:multiLevelType w:val="hybridMultilevel"/>
    <w:tmpl w:val="D122878C"/>
    <w:lvl w:ilvl="0" w:tplc="78FA81FA">
      <w:start w:val="1"/>
      <w:numFmt w:val="bullet"/>
      <w:lvlText w:val="•"/>
      <w:lvlJc w:val="left"/>
      <w:pPr>
        <w:tabs>
          <w:tab w:val="num" w:pos="720"/>
        </w:tabs>
        <w:ind w:left="720" w:hanging="360"/>
      </w:pPr>
      <w:rPr>
        <w:rFonts w:ascii="Times New Roman" w:hAnsi="Times New Roman" w:hint="default"/>
      </w:rPr>
    </w:lvl>
    <w:lvl w:ilvl="1" w:tplc="B740B6CC">
      <w:start w:val="1"/>
      <w:numFmt w:val="bullet"/>
      <w:lvlText w:val="•"/>
      <w:lvlJc w:val="left"/>
      <w:pPr>
        <w:tabs>
          <w:tab w:val="num" w:pos="1440"/>
        </w:tabs>
        <w:ind w:left="1440" w:hanging="360"/>
      </w:pPr>
      <w:rPr>
        <w:rFonts w:ascii="Times New Roman" w:hAnsi="Times New Roman" w:hint="default"/>
      </w:rPr>
    </w:lvl>
    <w:lvl w:ilvl="2" w:tplc="351CDE5E" w:tentative="1">
      <w:start w:val="1"/>
      <w:numFmt w:val="bullet"/>
      <w:lvlText w:val="•"/>
      <w:lvlJc w:val="left"/>
      <w:pPr>
        <w:tabs>
          <w:tab w:val="num" w:pos="2160"/>
        </w:tabs>
        <w:ind w:left="2160" w:hanging="360"/>
      </w:pPr>
      <w:rPr>
        <w:rFonts w:ascii="Times New Roman" w:hAnsi="Times New Roman" w:hint="default"/>
      </w:rPr>
    </w:lvl>
    <w:lvl w:ilvl="3" w:tplc="62C48CB4" w:tentative="1">
      <w:start w:val="1"/>
      <w:numFmt w:val="bullet"/>
      <w:lvlText w:val="•"/>
      <w:lvlJc w:val="left"/>
      <w:pPr>
        <w:tabs>
          <w:tab w:val="num" w:pos="2880"/>
        </w:tabs>
        <w:ind w:left="2880" w:hanging="360"/>
      </w:pPr>
      <w:rPr>
        <w:rFonts w:ascii="Times New Roman" w:hAnsi="Times New Roman" w:hint="default"/>
      </w:rPr>
    </w:lvl>
    <w:lvl w:ilvl="4" w:tplc="7346A136" w:tentative="1">
      <w:start w:val="1"/>
      <w:numFmt w:val="bullet"/>
      <w:lvlText w:val="•"/>
      <w:lvlJc w:val="left"/>
      <w:pPr>
        <w:tabs>
          <w:tab w:val="num" w:pos="3600"/>
        </w:tabs>
        <w:ind w:left="3600" w:hanging="360"/>
      </w:pPr>
      <w:rPr>
        <w:rFonts w:ascii="Times New Roman" w:hAnsi="Times New Roman" w:hint="default"/>
      </w:rPr>
    </w:lvl>
    <w:lvl w:ilvl="5" w:tplc="03F29E42" w:tentative="1">
      <w:start w:val="1"/>
      <w:numFmt w:val="bullet"/>
      <w:lvlText w:val="•"/>
      <w:lvlJc w:val="left"/>
      <w:pPr>
        <w:tabs>
          <w:tab w:val="num" w:pos="4320"/>
        </w:tabs>
        <w:ind w:left="4320" w:hanging="360"/>
      </w:pPr>
      <w:rPr>
        <w:rFonts w:ascii="Times New Roman" w:hAnsi="Times New Roman" w:hint="default"/>
      </w:rPr>
    </w:lvl>
    <w:lvl w:ilvl="6" w:tplc="E1D2F976" w:tentative="1">
      <w:start w:val="1"/>
      <w:numFmt w:val="bullet"/>
      <w:lvlText w:val="•"/>
      <w:lvlJc w:val="left"/>
      <w:pPr>
        <w:tabs>
          <w:tab w:val="num" w:pos="5040"/>
        </w:tabs>
        <w:ind w:left="5040" w:hanging="360"/>
      </w:pPr>
      <w:rPr>
        <w:rFonts w:ascii="Times New Roman" w:hAnsi="Times New Roman" w:hint="default"/>
      </w:rPr>
    </w:lvl>
    <w:lvl w:ilvl="7" w:tplc="B65A520A" w:tentative="1">
      <w:start w:val="1"/>
      <w:numFmt w:val="bullet"/>
      <w:lvlText w:val="•"/>
      <w:lvlJc w:val="left"/>
      <w:pPr>
        <w:tabs>
          <w:tab w:val="num" w:pos="5760"/>
        </w:tabs>
        <w:ind w:left="5760" w:hanging="360"/>
      </w:pPr>
      <w:rPr>
        <w:rFonts w:ascii="Times New Roman" w:hAnsi="Times New Roman" w:hint="default"/>
      </w:rPr>
    </w:lvl>
    <w:lvl w:ilvl="8" w:tplc="E45063F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BC686F"/>
    <w:multiLevelType w:val="hybridMultilevel"/>
    <w:tmpl w:val="B786FE00"/>
    <w:lvl w:ilvl="0" w:tplc="AAFC05E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51DD1"/>
    <w:multiLevelType w:val="hybridMultilevel"/>
    <w:tmpl w:val="9452A04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39D2F0B"/>
    <w:multiLevelType w:val="hybridMultilevel"/>
    <w:tmpl w:val="DD9AEC3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
    <w:nsid w:val="13E32BFF"/>
    <w:multiLevelType w:val="multilevel"/>
    <w:tmpl w:val="C09A55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D341E1"/>
    <w:multiLevelType w:val="hybridMultilevel"/>
    <w:tmpl w:val="447EF14A"/>
    <w:lvl w:ilvl="0" w:tplc="A75AA264">
      <w:numFmt w:val="bullet"/>
      <w:lvlText w:val="-"/>
      <w:lvlJc w:val="left"/>
      <w:pPr>
        <w:tabs>
          <w:tab w:val="num" w:pos="1080"/>
        </w:tabs>
        <w:ind w:left="1080" w:hanging="360"/>
      </w:pPr>
      <w:rPr>
        <w:rFonts w:ascii="Times New Roman" w:eastAsia="MS Mincho"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267E5A3D"/>
    <w:multiLevelType w:val="multilevel"/>
    <w:tmpl w:val="E1FE8060"/>
    <w:styleLink w:val="Style1"/>
    <w:lvl w:ilvl="0">
      <w:start w:val="6"/>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AE560B9"/>
    <w:multiLevelType w:val="hybridMultilevel"/>
    <w:tmpl w:val="8012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314D8"/>
    <w:multiLevelType w:val="multilevel"/>
    <w:tmpl w:val="230CEB1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77C56C1"/>
    <w:multiLevelType w:val="multilevel"/>
    <w:tmpl w:val="081C7B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8F37761"/>
    <w:multiLevelType w:val="hybridMultilevel"/>
    <w:tmpl w:val="93280CE0"/>
    <w:lvl w:ilvl="0" w:tplc="2264B80E">
      <w:numFmt w:val="bullet"/>
      <w:lvlText w:val="-"/>
      <w:lvlJc w:val="left"/>
      <w:pPr>
        <w:ind w:left="720" w:hanging="360"/>
      </w:pPr>
      <w:rPr>
        <w:rFonts w:ascii="Cambria" w:eastAsia="MS Mincho"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DE2965"/>
    <w:multiLevelType w:val="hybridMultilevel"/>
    <w:tmpl w:val="959AB37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2">
    <w:nsid w:val="3E6F5AC0"/>
    <w:multiLevelType w:val="hybridMultilevel"/>
    <w:tmpl w:val="496C44DE"/>
    <w:lvl w:ilvl="0" w:tplc="23AE4DA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C57AD"/>
    <w:multiLevelType w:val="hybridMultilevel"/>
    <w:tmpl w:val="62E8EF60"/>
    <w:lvl w:ilvl="0" w:tplc="8D4C3504">
      <w:start w:val="5"/>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395717F"/>
    <w:multiLevelType w:val="multilevel"/>
    <w:tmpl w:val="D8A4AAE4"/>
    <w:numStyleLink w:val="Style2"/>
  </w:abstractNum>
  <w:abstractNum w:abstractNumId="15">
    <w:nsid w:val="4BAF34B8"/>
    <w:multiLevelType w:val="hybridMultilevel"/>
    <w:tmpl w:val="D424E906"/>
    <w:lvl w:ilvl="0" w:tplc="12047F30">
      <w:numFmt w:val="bullet"/>
      <w:lvlText w:val="-"/>
      <w:lvlJc w:val="left"/>
      <w:pPr>
        <w:ind w:left="720" w:hanging="360"/>
      </w:pPr>
      <w:rPr>
        <w:rFonts w:ascii="Cambria" w:eastAsia="MS Mincho"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F63D2"/>
    <w:multiLevelType w:val="multilevel"/>
    <w:tmpl w:val="2250E2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BA3B3B"/>
    <w:multiLevelType w:val="hybridMultilevel"/>
    <w:tmpl w:val="E2DEEB74"/>
    <w:lvl w:ilvl="0" w:tplc="5FA6B9B4">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nsid w:val="58B973EA"/>
    <w:multiLevelType w:val="multilevel"/>
    <w:tmpl w:val="081C7B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4AC659B"/>
    <w:multiLevelType w:val="hybridMultilevel"/>
    <w:tmpl w:val="7C4CDF9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64F31AB9"/>
    <w:multiLevelType w:val="hybridMultilevel"/>
    <w:tmpl w:val="A2A88B88"/>
    <w:lvl w:ilvl="0" w:tplc="46B886C0">
      <w:start w:val="1"/>
      <w:numFmt w:val="bullet"/>
      <w:lvlText w:val=""/>
      <w:lvlJc w:val="left"/>
      <w:pPr>
        <w:tabs>
          <w:tab w:val="num" w:pos="720"/>
        </w:tabs>
        <w:ind w:left="720" w:hanging="360"/>
      </w:pPr>
      <w:rPr>
        <w:rFonts w:ascii="Wingdings" w:hAnsi="Wingdings" w:hint="default"/>
      </w:rPr>
    </w:lvl>
    <w:lvl w:ilvl="1" w:tplc="DF96FF4C">
      <w:start w:val="1"/>
      <w:numFmt w:val="bullet"/>
      <w:lvlText w:val=""/>
      <w:lvlJc w:val="left"/>
      <w:pPr>
        <w:tabs>
          <w:tab w:val="num" w:pos="1440"/>
        </w:tabs>
        <w:ind w:left="1440" w:hanging="360"/>
      </w:pPr>
      <w:rPr>
        <w:rFonts w:ascii="Wingdings" w:hAnsi="Wingdings" w:hint="default"/>
      </w:rPr>
    </w:lvl>
    <w:lvl w:ilvl="2" w:tplc="9DAE9842" w:tentative="1">
      <w:start w:val="1"/>
      <w:numFmt w:val="bullet"/>
      <w:lvlText w:val=""/>
      <w:lvlJc w:val="left"/>
      <w:pPr>
        <w:tabs>
          <w:tab w:val="num" w:pos="2160"/>
        </w:tabs>
        <w:ind w:left="2160" w:hanging="360"/>
      </w:pPr>
      <w:rPr>
        <w:rFonts w:ascii="Wingdings" w:hAnsi="Wingdings" w:hint="default"/>
      </w:rPr>
    </w:lvl>
    <w:lvl w:ilvl="3" w:tplc="C40EE038" w:tentative="1">
      <w:start w:val="1"/>
      <w:numFmt w:val="bullet"/>
      <w:lvlText w:val=""/>
      <w:lvlJc w:val="left"/>
      <w:pPr>
        <w:tabs>
          <w:tab w:val="num" w:pos="2880"/>
        </w:tabs>
        <w:ind w:left="2880" w:hanging="360"/>
      </w:pPr>
      <w:rPr>
        <w:rFonts w:ascii="Wingdings" w:hAnsi="Wingdings" w:hint="default"/>
      </w:rPr>
    </w:lvl>
    <w:lvl w:ilvl="4" w:tplc="75223EBE" w:tentative="1">
      <w:start w:val="1"/>
      <w:numFmt w:val="bullet"/>
      <w:lvlText w:val=""/>
      <w:lvlJc w:val="left"/>
      <w:pPr>
        <w:tabs>
          <w:tab w:val="num" w:pos="3600"/>
        </w:tabs>
        <w:ind w:left="3600" w:hanging="360"/>
      </w:pPr>
      <w:rPr>
        <w:rFonts w:ascii="Wingdings" w:hAnsi="Wingdings" w:hint="default"/>
      </w:rPr>
    </w:lvl>
    <w:lvl w:ilvl="5" w:tplc="57F23D62" w:tentative="1">
      <w:start w:val="1"/>
      <w:numFmt w:val="bullet"/>
      <w:lvlText w:val=""/>
      <w:lvlJc w:val="left"/>
      <w:pPr>
        <w:tabs>
          <w:tab w:val="num" w:pos="4320"/>
        </w:tabs>
        <w:ind w:left="4320" w:hanging="360"/>
      </w:pPr>
      <w:rPr>
        <w:rFonts w:ascii="Wingdings" w:hAnsi="Wingdings" w:hint="default"/>
      </w:rPr>
    </w:lvl>
    <w:lvl w:ilvl="6" w:tplc="60AE66C0" w:tentative="1">
      <w:start w:val="1"/>
      <w:numFmt w:val="bullet"/>
      <w:lvlText w:val=""/>
      <w:lvlJc w:val="left"/>
      <w:pPr>
        <w:tabs>
          <w:tab w:val="num" w:pos="5040"/>
        </w:tabs>
        <w:ind w:left="5040" w:hanging="360"/>
      </w:pPr>
      <w:rPr>
        <w:rFonts w:ascii="Wingdings" w:hAnsi="Wingdings" w:hint="default"/>
      </w:rPr>
    </w:lvl>
    <w:lvl w:ilvl="7" w:tplc="68BC8A62" w:tentative="1">
      <w:start w:val="1"/>
      <w:numFmt w:val="bullet"/>
      <w:lvlText w:val=""/>
      <w:lvlJc w:val="left"/>
      <w:pPr>
        <w:tabs>
          <w:tab w:val="num" w:pos="5760"/>
        </w:tabs>
        <w:ind w:left="5760" w:hanging="360"/>
      </w:pPr>
      <w:rPr>
        <w:rFonts w:ascii="Wingdings" w:hAnsi="Wingdings" w:hint="default"/>
      </w:rPr>
    </w:lvl>
    <w:lvl w:ilvl="8" w:tplc="4A1A13DA" w:tentative="1">
      <w:start w:val="1"/>
      <w:numFmt w:val="bullet"/>
      <w:lvlText w:val=""/>
      <w:lvlJc w:val="left"/>
      <w:pPr>
        <w:tabs>
          <w:tab w:val="num" w:pos="6480"/>
        </w:tabs>
        <w:ind w:left="6480" w:hanging="360"/>
      </w:pPr>
      <w:rPr>
        <w:rFonts w:ascii="Wingdings" w:hAnsi="Wingdings" w:hint="default"/>
      </w:rPr>
    </w:lvl>
  </w:abstractNum>
  <w:abstractNum w:abstractNumId="21">
    <w:nsid w:val="68124663"/>
    <w:multiLevelType w:val="hybridMultilevel"/>
    <w:tmpl w:val="10C84154"/>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nsid w:val="68A83908"/>
    <w:multiLevelType w:val="multilevel"/>
    <w:tmpl w:val="42FE648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sz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68C818FE"/>
    <w:multiLevelType w:val="multilevel"/>
    <w:tmpl w:val="081C7B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ED0C43"/>
    <w:multiLevelType w:val="hybridMultilevel"/>
    <w:tmpl w:val="C6D0CD0C"/>
    <w:lvl w:ilvl="0" w:tplc="5A3C3DD0">
      <w:start w:val="6"/>
      <w:numFmt w:val="bullet"/>
      <w:lvlText w:val="-"/>
      <w:lvlJc w:val="left"/>
      <w:pPr>
        <w:ind w:left="720" w:hanging="360"/>
      </w:pPr>
      <w:rPr>
        <w:rFonts w:ascii="Cambria" w:eastAsia="MS Mincho"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A34013"/>
    <w:multiLevelType w:val="multilevel"/>
    <w:tmpl w:val="E1FE8060"/>
    <w:numStyleLink w:val="Style1"/>
  </w:abstractNum>
  <w:abstractNum w:abstractNumId="26">
    <w:nsid w:val="75674B87"/>
    <w:multiLevelType w:val="hybridMultilevel"/>
    <w:tmpl w:val="CF6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6417C88"/>
    <w:multiLevelType w:val="hybridMultilevel"/>
    <w:tmpl w:val="61D6E5F2"/>
    <w:lvl w:ilvl="0" w:tplc="259E78CC">
      <w:start w:val="2"/>
      <w:numFmt w:val="bullet"/>
      <w:lvlText w:val="-"/>
      <w:lvlJc w:val="left"/>
      <w:pPr>
        <w:tabs>
          <w:tab w:val="num" w:pos="720"/>
        </w:tabs>
        <w:ind w:left="720" w:hanging="360"/>
      </w:pPr>
      <w:rPr>
        <w:rFonts w:ascii="Cambria" w:eastAsia="Times New Roman" w:hAnsi="Cambri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778E4B56"/>
    <w:multiLevelType w:val="multilevel"/>
    <w:tmpl w:val="D8A4AAE4"/>
    <w:styleLink w:val="Styl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1"/>
  </w:num>
  <w:num w:numId="3">
    <w:abstractNumId w:val="19"/>
  </w:num>
  <w:num w:numId="4">
    <w:abstractNumId w:val="11"/>
  </w:num>
  <w:num w:numId="5">
    <w:abstractNumId w:val="5"/>
  </w:num>
  <w:num w:numId="6">
    <w:abstractNumId w:val="9"/>
  </w:num>
  <w:num w:numId="7">
    <w:abstractNumId w:val="18"/>
  </w:num>
  <w:num w:numId="8">
    <w:abstractNumId w:val="23"/>
  </w:num>
  <w:num w:numId="9">
    <w:abstractNumId w:val="26"/>
  </w:num>
  <w:num w:numId="10">
    <w:abstractNumId w:val="22"/>
  </w:num>
  <w:num w:numId="11">
    <w:abstractNumId w:val="4"/>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27"/>
  </w:num>
  <w:num w:numId="16">
    <w:abstractNumId w:val="17"/>
  </w:num>
  <w:num w:numId="17">
    <w:abstractNumId w:val="7"/>
  </w:num>
  <w:num w:numId="18">
    <w:abstractNumId w:val="24"/>
  </w:num>
  <w:num w:numId="19">
    <w:abstractNumId w:val="16"/>
  </w:num>
  <w:num w:numId="20">
    <w:abstractNumId w:val="25"/>
  </w:num>
  <w:num w:numId="21">
    <w:abstractNumId w:val="6"/>
  </w:num>
  <w:num w:numId="22">
    <w:abstractNumId w:val="10"/>
  </w:num>
  <w:num w:numId="23">
    <w:abstractNumId w:val="14"/>
  </w:num>
  <w:num w:numId="24">
    <w:abstractNumId w:val="28"/>
  </w:num>
  <w:num w:numId="25">
    <w:abstractNumId w:val="0"/>
  </w:num>
  <w:num w:numId="26">
    <w:abstractNumId w:val="20"/>
  </w:num>
  <w:num w:numId="27">
    <w:abstractNumId w:val="15"/>
  </w:num>
  <w:num w:numId="28">
    <w:abstractNumId w:val="8"/>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77"/>
    <w:rsid w:val="0000014C"/>
    <w:rsid w:val="00000C7D"/>
    <w:rsid w:val="00000DEA"/>
    <w:rsid w:val="00001664"/>
    <w:rsid w:val="00004B54"/>
    <w:rsid w:val="0000500A"/>
    <w:rsid w:val="00006A70"/>
    <w:rsid w:val="000070B7"/>
    <w:rsid w:val="00007AC9"/>
    <w:rsid w:val="00007C56"/>
    <w:rsid w:val="000117C0"/>
    <w:rsid w:val="00013167"/>
    <w:rsid w:val="00013621"/>
    <w:rsid w:val="00015052"/>
    <w:rsid w:val="00015BC2"/>
    <w:rsid w:val="00016143"/>
    <w:rsid w:val="000165EA"/>
    <w:rsid w:val="000178AB"/>
    <w:rsid w:val="00017B3F"/>
    <w:rsid w:val="00017F5F"/>
    <w:rsid w:val="0002074A"/>
    <w:rsid w:val="00022406"/>
    <w:rsid w:val="00022478"/>
    <w:rsid w:val="000228FC"/>
    <w:rsid w:val="0002309E"/>
    <w:rsid w:val="00023A9C"/>
    <w:rsid w:val="000252B5"/>
    <w:rsid w:val="0002561B"/>
    <w:rsid w:val="0002589F"/>
    <w:rsid w:val="000269AA"/>
    <w:rsid w:val="00026C4E"/>
    <w:rsid w:val="00031D75"/>
    <w:rsid w:val="00031FB5"/>
    <w:rsid w:val="00032118"/>
    <w:rsid w:val="00032EFD"/>
    <w:rsid w:val="00033039"/>
    <w:rsid w:val="00033161"/>
    <w:rsid w:val="000348B1"/>
    <w:rsid w:val="00036419"/>
    <w:rsid w:val="00036B55"/>
    <w:rsid w:val="00036E1C"/>
    <w:rsid w:val="0003756E"/>
    <w:rsid w:val="00040C66"/>
    <w:rsid w:val="00041145"/>
    <w:rsid w:val="000420D6"/>
    <w:rsid w:val="00043E6D"/>
    <w:rsid w:val="00046232"/>
    <w:rsid w:val="00046833"/>
    <w:rsid w:val="00046D59"/>
    <w:rsid w:val="000471E2"/>
    <w:rsid w:val="0004735D"/>
    <w:rsid w:val="00047754"/>
    <w:rsid w:val="00052F33"/>
    <w:rsid w:val="00053C41"/>
    <w:rsid w:val="00054F21"/>
    <w:rsid w:val="00055F92"/>
    <w:rsid w:val="000560CF"/>
    <w:rsid w:val="00056FDA"/>
    <w:rsid w:val="00057287"/>
    <w:rsid w:val="0005790E"/>
    <w:rsid w:val="0006229C"/>
    <w:rsid w:val="00062698"/>
    <w:rsid w:val="0006301E"/>
    <w:rsid w:val="00063610"/>
    <w:rsid w:val="00064597"/>
    <w:rsid w:val="00065148"/>
    <w:rsid w:val="000661CB"/>
    <w:rsid w:val="00066339"/>
    <w:rsid w:val="00066DCA"/>
    <w:rsid w:val="00067AC4"/>
    <w:rsid w:val="00070778"/>
    <w:rsid w:val="000708E6"/>
    <w:rsid w:val="00071E4B"/>
    <w:rsid w:val="000726BE"/>
    <w:rsid w:val="00073993"/>
    <w:rsid w:val="00074296"/>
    <w:rsid w:val="0007435B"/>
    <w:rsid w:val="000758B8"/>
    <w:rsid w:val="00075C35"/>
    <w:rsid w:val="00076A28"/>
    <w:rsid w:val="000771B2"/>
    <w:rsid w:val="000775EE"/>
    <w:rsid w:val="0008154D"/>
    <w:rsid w:val="000818CF"/>
    <w:rsid w:val="00081FD6"/>
    <w:rsid w:val="00082A43"/>
    <w:rsid w:val="00082CF4"/>
    <w:rsid w:val="000834D0"/>
    <w:rsid w:val="00087A99"/>
    <w:rsid w:val="00087BF3"/>
    <w:rsid w:val="00090C2F"/>
    <w:rsid w:val="00090DA6"/>
    <w:rsid w:val="00093831"/>
    <w:rsid w:val="000950C1"/>
    <w:rsid w:val="000959A3"/>
    <w:rsid w:val="0009663A"/>
    <w:rsid w:val="00096A71"/>
    <w:rsid w:val="00097B58"/>
    <w:rsid w:val="00097F09"/>
    <w:rsid w:val="000A09D3"/>
    <w:rsid w:val="000A1178"/>
    <w:rsid w:val="000A13A1"/>
    <w:rsid w:val="000A350C"/>
    <w:rsid w:val="000A40E6"/>
    <w:rsid w:val="000A4E0A"/>
    <w:rsid w:val="000A4E0F"/>
    <w:rsid w:val="000A5698"/>
    <w:rsid w:val="000A6999"/>
    <w:rsid w:val="000A6ECC"/>
    <w:rsid w:val="000B12B1"/>
    <w:rsid w:val="000B20BB"/>
    <w:rsid w:val="000B343F"/>
    <w:rsid w:val="000B3D2D"/>
    <w:rsid w:val="000B5624"/>
    <w:rsid w:val="000B5ABC"/>
    <w:rsid w:val="000C057F"/>
    <w:rsid w:val="000C2143"/>
    <w:rsid w:val="000C4119"/>
    <w:rsid w:val="000C4A51"/>
    <w:rsid w:val="000C57EA"/>
    <w:rsid w:val="000C65F6"/>
    <w:rsid w:val="000D1AE3"/>
    <w:rsid w:val="000D1D9D"/>
    <w:rsid w:val="000D35ED"/>
    <w:rsid w:val="000D3627"/>
    <w:rsid w:val="000D3DFA"/>
    <w:rsid w:val="000D4ECD"/>
    <w:rsid w:val="000D5266"/>
    <w:rsid w:val="000D67DA"/>
    <w:rsid w:val="000D7227"/>
    <w:rsid w:val="000D7D2D"/>
    <w:rsid w:val="000E134C"/>
    <w:rsid w:val="000E2413"/>
    <w:rsid w:val="000E3CF2"/>
    <w:rsid w:val="000E3FFC"/>
    <w:rsid w:val="000E442F"/>
    <w:rsid w:val="000E530D"/>
    <w:rsid w:val="000E79AF"/>
    <w:rsid w:val="000F0567"/>
    <w:rsid w:val="000F1D10"/>
    <w:rsid w:val="000F2AE4"/>
    <w:rsid w:val="000F30AE"/>
    <w:rsid w:val="000F3946"/>
    <w:rsid w:val="000F5540"/>
    <w:rsid w:val="000F6100"/>
    <w:rsid w:val="000F656F"/>
    <w:rsid w:val="001010D0"/>
    <w:rsid w:val="00102340"/>
    <w:rsid w:val="00102F99"/>
    <w:rsid w:val="0010584B"/>
    <w:rsid w:val="001066E0"/>
    <w:rsid w:val="0010780B"/>
    <w:rsid w:val="00110087"/>
    <w:rsid w:val="00111174"/>
    <w:rsid w:val="00112282"/>
    <w:rsid w:val="00113226"/>
    <w:rsid w:val="001135D4"/>
    <w:rsid w:val="001136CC"/>
    <w:rsid w:val="0011381C"/>
    <w:rsid w:val="001141C2"/>
    <w:rsid w:val="00114C5E"/>
    <w:rsid w:val="00122F2B"/>
    <w:rsid w:val="001250F8"/>
    <w:rsid w:val="00125558"/>
    <w:rsid w:val="0012623A"/>
    <w:rsid w:val="00126DCB"/>
    <w:rsid w:val="00130563"/>
    <w:rsid w:val="00130EF7"/>
    <w:rsid w:val="00131BD3"/>
    <w:rsid w:val="00132D51"/>
    <w:rsid w:val="001337AE"/>
    <w:rsid w:val="001344E5"/>
    <w:rsid w:val="001346CF"/>
    <w:rsid w:val="00134884"/>
    <w:rsid w:val="00135DBB"/>
    <w:rsid w:val="00137CC8"/>
    <w:rsid w:val="001403DC"/>
    <w:rsid w:val="00141022"/>
    <w:rsid w:val="00141F31"/>
    <w:rsid w:val="001427A3"/>
    <w:rsid w:val="001440D3"/>
    <w:rsid w:val="00147397"/>
    <w:rsid w:val="001502C7"/>
    <w:rsid w:val="00150606"/>
    <w:rsid w:val="0015231A"/>
    <w:rsid w:val="00152C08"/>
    <w:rsid w:val="00153F89"/>
    <w:rsid w:val="0015541D"/>
    <w:rsid w:val="00156355"/>
    <w:rsid w:val="00156DF4"/>
    <w:rsid w:val="00160448"/>
    <w:rsid w:val="00161B9E"/>
    <w:rsid w:val="00162172"/>
    <w:rsid w:val="00163636"/>
    <w:rsid w:val="0016616D"/>
    <w:rsid w:val="001662B6"/>
    <w:rsid w:val="00166FF3"/>
    <w:rsid w:val="0016722F"/>
    <w:rsid w:val="00167F0C"/>
    <w:rsid w:val="0017053F"/>
    <w:rsid w:val="00170847"/>
    <w:rsid w:val="00171829"/>
    <w:rsid w:val="00172351"/>
    <w:rsid w:val="00172F62"/>
    <w:rsid w:val="0017311E"/>
    <w:rsid w:val="0017326E"/>
    <w:rsid w:val="00174147"/>
    <w:rsid w:val="001762FF"/>
    <w:rsid w:val="00176339"/>
    <w:rsid w:val="00180822"/>
    <w:rsid w:val="00180C36"/>
    <w:rsid w:val="00180EDF"/>
    <w:rsid w:val="00182D39"/>
    <w:rsid w:val="00185511"/>
    <w:rsid w:val="00186C3B"/>
    <w:rsid w:val="00186DB1"/>
    <w:rsid w:val="00187DA5"/>
    <w:rsid w:val="001904D3"/>
    <w:rsid w:val="001908AC"/>
    <w:rsid w:val="00190E77"/>
    <w:rsid w:val="0019296D"/>
    <w:rsid w:val="00195E4B"/>
    <w:rsid w:val="00196522"/>
    <w:rsid w:val="001974A3"/>
    <w:rsid w:val="001A10B6"/>
    <w:rsid w:val="001A2425"/>
    <w:rsid w:val="001A434E"/>
    <w:rsid w:val="001A4CA6"/>
    <w:rsid w:val="001A52B4"/>
    <w:rsid w:val="001A5FC6"/>
    <w:rsid w:val="001A75A9"/>
    <w:rsid w:val="001A7DCC"/>
    <w:rsid w:val="001B07D8"/>
    <w:rsid w:val="001B08E6"/>
    <w:rsid w:val="001B2178"/>
    <w:rsid w:val="001B4301"/>
    <w:rsid w:val="001B48A1"/>
    <w:rsid w:val="001B5014"/>
    <w:rsid w:val="001B5F90"/>
    <w:rsid w:val="001B63FE"/>
    <w:rsid w:val="001B65ED"/>
    <w:rsid w:val="001B669F"/>
    <w:rsid w:val="001B6B31"/>
    <w:rsid w:val="001B77D4"/>
    <w:rsid w:val="001C2052"/>
    <w:rsid w:val="001C20A5"/>
    <w:rsid w:val="001C2D8D"/>
    <w:rsid w:val="001C3E20"/>
    <w:rsid w:val="001C3E67"/>
    <w:rsid w:val="001C410C"/>
    <w:rsid w:val="001C4162"/>
    <w:rsid w:val="001C733C"/>
    <w:rsid w:val="001C7681"/>
    <w:rsid w:val="001C77B6"/>
    <w:rsid w:val="001C7AD8"/>
    <w:rsid w:val="001D16DC"/>
    <w:rsid w:val="001D224A"/>
    <w:rsid w:val="001D4370"/>
    <w:rsid w:val="001D48BC"/>
    <w:rsid w:val="001D6131"/>
    <w:rsid w:val="001D7B93"/>
    <w:rsid w:val="001E18BB"/>
    <w:rsid w:val="001E20BE"/>
    <w:rsid w:val="001E26C5"/>
    <w:rsid w:val="001E32D0"/>
    <w:rsid w:val="001E388A"/>
    <w:rsid w:val="001E4428"/>
    <w:rsid w:val="001E51C3"/>
    <w:rsid w:val="001E5712"/>
    <w:rsid w:val="001E6518"/>
    <w:rsid w:val="001E6A7F"/>
    <w:rsid w:val="001E6ED8"/>
    <w:rsid w:val="001E7063"/>
    <w:rsid w:val="001E71AD"/>
    <w:rsid w:val="001E7436"/>
    <w:rsid w:val="001F0B61"/>
    <w:rsid w:val="001F1C55"/>
    <w:rsid w:val="001F37A7"/>
    <w:rsid w:val="0020061E"/>
    <w:rsid w:val="00200E07"/>
    <w:rsid w:val="0020176C"/>
    <w:rsid w:val="00203401"/>
    <w:rsid w:val="00206AED"/>
    <w:rsid w:val="0020778A"/>
    <w:rsid w:val="0021007F"/>
    <w:rsid w:val="00210CCF"/>
    <w:rsid w:val="002119A7"/>
    <w:rsid w:val="0021262C"/>
    <w:rsid w:val="00212812"/>
    <w:rsid w:val="00213663"/>
    <w:rsid w:val="00213796"/>
    <w:rsid w:val="0021513E"/>
    <w:rsid w:val="00215CD4"/>
    <w:rsid w:val="002225AA"/>
    <w:rsid w:val="0022319F"/>
    <w:rsid w:val="002245A6"/>
    <w:rsid w:val="00224CF0"/>
    <w:rsid w:val="0022509C"/>
    <w:rsid w:val="002254C4"/>
    <w:rsid w:val="00225C2C"/>
    <w:rsid w:val="00230795"/>
    <w:rsid w:val="00230B63"/>
    <w:rsid w:val="0023175C"/>
    <w:rsid w:val="002317E5"/>
    <w:rsid w:val="00234AF2"/>
    <w:rsid w:val="00236D47"/>
    <w:rsid w:val="00242722"/>
    <w:rsid w:val="00243770"/>
    <w:rsid w:val="002437C1"/>
    <w:rsid w:val="0024495B"/>
    <w:rsid w:val="00251B84"/>
    <w:rsid w:val="00253055"/>
    <w:rsid w:val="00253D21"/>
    <w:rsid w:val="0025452D"/>
    <w:rsid w:val="0025731B"/>
    <w:rsid w:val="00257AC6"/>
    <w:rsid w:val="00261CC3"/>
    <w:rsid w:val="00263714"/>
    <w:rsid w:val="0026387B"/>
    <w:rsid w:val="002647EE"/>
    <w:rsid w:val="00267A43"/>
    <w:rsid w:val="002718D9"/>
    <w:rsid w:val="00271E0E"/>
    <w:rsid w:val="00273D91"/>
    <w:rsid w:val="00275E9A"/>
    <w:rsid w:val="00276D26"/>
    <w:rsid w:val="00277E49"/>
    <w:rsid w:val="00283592"/>
    <w:rsid w:val="00283868"/>
    <w:rsid w:val="002839D1"/>
    <w:rsid w:val="00283F6F"/>
    <w:rsid w:val="00284EBB"/>
    <w:rsid w:val="002851B5"/>
    <w:rsid w:val="002852FF"/>
    <w:rsid w:val="00285D03"/>
    <w:rsid w:val="00286E7B"/>
    <w:rsid w:val="00291328"/>
    <w:rsid w:val="00291F2B"/>
    <w:rsid w:val="00294585"/>
    <w:rsid w:val="002947BE"/>
    <w:rsid w:val="00296EF2"/>
    <w:rsid w:val="002A2B0C"/>
    <w:rsid w:val="002A3A11"/>
    <w:rsid w:val="002A3D46"/>
    <w:rsid w:val="002A4981"/>
    <w:rsid w:val="002A4FD5"/>
    <w:rsid w:val="002A548E"/>
    <w:rsid w:val="002A5CFF"/>
    <w:rsid w:val="002A60B6"/>
    <w:rsid w:val="002A63A7"/>
    <w:rsid w:val="002A68B9"/>
    <w:rsid w:val="002B2CA1"/>
    <w:rsid w:val="002B3B9F"/>
    <w:rsid w:val="002B47D1"/>
    <w:rsid w:val="002B725C"/>
    <w:rsid w:val="002B737D"/>
    <w:rsid w:val="002B793A"/>
    <w:rsid w:val="002C0FAD"/>
    <w:rsid w:val="002C2FBF"/>
    <w:rsid w:val="002C344F"/>
    <w:rsid w:val="002C44B6"/>
    <w:rsid w:val="002C4571"/>
    <w:rsid w:val="002C467C"/>
    <w:rsid w:val="002C5456"/>
    <w:rsid w:val="002C6AAE"/>
    <w:rsid w:val="002D1871"/>
    <w:rsid w:val="002D1BAC"/>
    <w:rsid w:val="002D2B34"/>
    <w:rsid w:val="002D6C27"/>
    <w:rsid w:val="002D6CCA"/>
    <w:rsid w:val="002D74E8"/>
    <w:rsid w:val="002D7F49"/>
    <w:rsid w:val="002E09C5"/>
    <w:rsid w:val="002E0A35"/>
    <w:rsid w:val="002E1574"/>
    <w:rsid w:val="002E1FB0"/>
    <w:rsid w:val="002E3793"/>
    <w:rsid w:val="002E3A92"/>
    <w:rsid w:val="002E3F41"/>
    <w:rsid w:val="002E44F3"/>
    <w:rsid w:val="002E46D0"/>
    <w:rsid w:val="002E4EA9"/>
    <w:rsid w:val="002E5257"/>
    <w:rsid w:val="002E59B8"/>
    <w:rsid w:val="002E7EBB"/>
    <w:rsid w:val="002F2219"/>
    <w:rsid w:val="002F38E3"/>
    <w:rsid w:val="002F3A0A"/>
    <w:rsid w:val="002F3ACD"/>
    <w:rsid w:val="002F4B9E"/>
    <w:rsid w:val="002F4E70"/>
    <w:rsid w:val="002F6592"/>
    <w:rsid w:val="003002D1"/>
    <w:rsid w:val="003013D9"/>
    <w:rsid w:val="00302B55"/>
    <w:rsid w:val="00305B77"/>
    <w:rsid w:val="00305E15"/>
    <w:rsid w:val="003076D5"/>
    <w:rsid w:val="00307DF2"/>
    <w:rsid w:val="003100E5"/>
    <w:rsid w:val="003104B3"/>
    <w:rsid w:val="00311105"/>
    <w:rsid w:val="00312D5F"/>
    <w:rsid w:val="00313339"/>
    <w:rsid w:val="00313E1E"/>
    <w:rsid w:val="00314EA2"/>
    <w:rsid w:val="00314F9C"/>
    <w:rsid w:val="00316E45"/>
    <w:rsid w:val="00320CCB"/>
    <w:rsid w:val="003211CB"/>
    <w:rsid w:val="00323799"/>
    <w:rsid w:val="0032404E"/>
    <w:rsid w:val="003249A5"/>
    <w:rsid w:val="0032628F"/>
    <w:rsid w:val="003271A0"/>
    <w:rsid w:val="00330D30"/>
    <w:rsid w:val="0033130E"/>
    <w:rsid w:val="00334780"/>
    <w:rsid w:val="00334B69"/>
    <w:rsid w:val="00340507"/>
    <w:rsid w:val="0034202F"/>
    <w:rsid w:val="00343973"/>
    <w:rsid w:val="00345BD7"/>
    <w:rsid w:val="00345DD0"/>
    <w:rsid w:val="00346EDF"/>
    <w:rsid w:val="00350314"/>
    <w:rsid w:val="003503ED"/>
    <w:rsid w:val="00351EEA"/>
    <w:rsid w:val="003523C8"/>
    <w:rsid w:val="00353412"/>
    <w:rsid w:val="00354044"/>
    <w:rsid w:val="00354DD6"/>
    <w:rsid w:val="0035754C"/>
    <w:rsid w:val="003600CE"/>
    <w:rsid w:val="003605F4"/>
    <w:rsid w:val="00360CCE"/>
    <w:rsid w:val="00360DF9"/>
    <w:rsid w:val="00361EDD"/>
    <w:rsid w:val="00363715"/>
    <w:rsid w:val="00364AAE"/>
    <w:rsid w:val="00365CE3"/>
    <w:rsid w:val="0036724B"/>
    <w:rsid w:val="003721C8"/>
    <w:rsid w:val="00372404"/>
    <w:rsid w:val="00372C47"/>
    <w:rsid w:val="0037304C"/>
    <w:rsid w:val="003748D6"/>
    <w:rsid w:val="00374B95"/>
    <w:rsid w:val="00374C88"/>
    <w:rsid w:val="00380AA9"/>
    <w:rsid w:val="00381434"/>
    <w:rsid w:val="00382565"/>
    <w:rsid w:val="0038659F"/>
    <w:rsid w:val="00386C11"/>
    <w:rsid w:val="0038776B"/>
    <w:rsid w:val="00390F4E"/>
    <w:rsid w:val="00391E74"/>
    <w:rsid w:val="0039210A"/>
    <w:rsid w:val="0039248B"/>
    <w:rsid w:val="0039445E"/>
    <w:rsid w:val="00394A62"/>
    <w:rsid w:val="00396E0D"/>
    <w:rsid w:val="003A0320"/>
    <w:rsid w:val="003A0B5C"/>
    <w:rsid w:val="003A114E"/>
    <w:rsid w:val="003A1F66"/>
    <w:rsid w:val="003A36BB"/>
    <w:rsid w:val="003A4511"/>
    <w:rsid w:val="003A4ECE"/>
    <w:rsid w:val="003A5DBA"/>
    <w:rsid w:val="003A6782"/>
    <w:rsid w:val="003A7246"/>
    <w:rsid w:val="003B2AB9"/>
    <w:rsid w:val="003B3171"/>
    <w:rsid w:val="003B336A"/>
    <w:rsid w:val="003B4612"/>
    <w:rsid w:val="003B6163"/>
    <w:rsid w:val="003B6D54"/>
    <w:rsid w:val="003C20F0"/>
    <w:rsid w:val="003C316C"/>
    <w:rsid w:val="003C3964"/>
    <w:rsid w:val="003C633F"/>
    <w:rsid w:val="003D0395"/>
    <w:rsid w:val="003D0AA3"/>
    <w:rsid w:val="003D0C1E"/>
    <w:rsid w:val="003D18F1"/>
    <w:rsid w:val="003D2B16"/>
    <w:rsid w:val="003D2F7B"/>
    <w:rsid w:val="003D3BD6"/>
    <w:rsid w:val="003D599B"/>
    <w:rsid w:val="003D5D8A"/>
    <w:rsid w:val="003D6DB1"/>
    <w:rsid w:val="003D6EEE"/>
    <w:rsid w:val="003D7677"/>
    <w:rsid w:val="003E2695"/>
    <w:rsid w:val="003E2B34"/>
    <w:rsid w:val="003E2E13"/>
    <w:rsid w:val="003E3639"/>
    <w:rsid w:val="003E45DB"/>
    <w:rsid w:val="003E5AD8"/>
    <w:rsid w:val="003E6078"/>
    <w:rsid w:val="003E78D3"/>
    <w:rsid w:val="003E7C14"/>
    <w:rsid w:val="003F111F"/>
    <w:rsid w:val="003F1212"/>
    <w:rsid w:val="003F1F9D"/>
    <w:rsid w:val="003F33DE"/>
    <w:rsid w:val="003F398E"/>
    <w:rsid w:val="004003AD"/>
    <w:rsid w:val="00400ADD"/>
    <w:rsid w:val="00400F55"/>
    <w:rsid w:val="0040129E"/>
    <w:rsid w:val="004016F3"/>
    <w:rsid w:val="00401767"/>
    <w:rsid w:val="00401E91"/>
    <w:rsid w:val="00403116"/>
    <w:rsid w:val="00403CDA"/>
    <w:rsid w:val="00404954"/>
    <w:rsid w:val="00413323"/>
    <w:rsid w:val="00413C91"/>
    <w:rsid w:val="004172B9"/>
    <w:rsid w:val="00417686"/>
    <w:rsid w:val="00420686"/>
    <w:rsid w:val="00422FA3"/>
    <w:rsid w:val="004246FA"/>
    <w:rsid w:val="00424C44"/>
    <w:rsid w:val="00425658"/>
    <w:rsid w:val="00426490"/>
    <w:rsid w:val="00426CC6"/>
    <w:rsid w:val="00430583"/>
    <w:rsid w:val="00430E79"/>
    <w:rsid w:val="004326FC"/>
    <w:rsid w:val="00433469"/>
    <w:rsid w:val="00433907"/>
    <w:rsid w:val="0043451D"/>
    <w:rsid w:val="004345F4"/>
    <w:rsid w:val="0043579A"/>
    <w:rsid w:val="00435B19"/>
    <w:rsid w:val="00435E4A"/>
    <w:rsid w:val="00437432"/>
    <w:rsid w:val="00440217"/>
    <w:rsid w:val="004404C2"/>
    <w:rsid w:val="0044089B"/>
    <w:rsid w:val="00441186"/>
    <w:rsid w:val="00443133"/>
    <w:rsid w:val="004450A5"/>
    <w:rsid w:val="00445F36"/>
    <w:rsid w:val="00446CE8"/>
    <w:rsid w:val="00446D1D"/>
    <w:rsid w:val="0044765B"/>
    <w:rsid w:val="00450369"/>
    <w:rsid w:val="0045101C"/>
    <w:rsid w:val="00453A6D"/>
    <w:rsid w:val="00453AFD"/>
    <w:rsid w:val="00455DB4"/>
    <w:rsid w:val="00456C19"/>
    <w:rsid w:val="00456F62"/>
    <w:rsid w:val="00460400"/>
    <w:rsid w:val="00460767"/>
    <w:rsid w:val="00461E65"/>
    <w:rsid w:val="004635FE"/>
    <w:rsid w:val="00464915"/>
    <w:rsid w:val="004650D0"/>
    <w:rsid w:val="004669D0"/>
    <w:rsid w:val="00466F62"/>
    <w:rsid w:val="00467EF8"/>
    <w:rsid w:val="004705DD"/>
    <w:rsid w:val="004717EB"/>
    <w:rsid w:val="00471B40"/>
    <w:rsid w:val="00472017"/>
    <w:rsid w:val="004731D8"/>
    <w:rsid w:val="00473B8F"/>
    <w:rsid w:val="00473E60"/>
    <w:rsid w:val="00475C4F"/>
    <w:rsid w:val="00476E8C"/>
    <w:rsid w:val="00477FC9"/>
    <w:rsid w:val="004812FA"/>
    <w:rsid w:val="0048164A"/>
    <w:rsid w:val="0048272A"/>
    <w:rsid w:val="00484218"/>
    <w:rsid w:val="00484D13"/>
    <w:rsid w:val="00485BBC"/>
    <w:rsid w:val="00487D53"/>
    <w:rsid w:val="0049054F"/>
    <w:rsid w:val="00491197"/>
    <w:rsid w:val="0049152E"/>
    <w:rsid w:val="004917BC"/>
    <w:rsid w:val="00492604"/>
    <w:rsid w:val="004928A0"/>
    <w:rsid w:val="00492E85"/>
    <w:rsid w:val="00494458"/>
    <w:rsid w:val="0049475B"/>
    <w:rsid w:val="0049477B"/>
    <w:rsid w:val="00494A96"/>
    <w:rsid w:val="004952A2"/>
    <w:rsid w:val="0049544E"/>
    <w:rsid w:val="00495B05"/>
    <w:rsid w:val="00496581"/>
    <w:rsid w:val="0049690E"/>
    <w:rsid w:val="00496CBD"/>
    <w:rsid w:val="00496F3A"/>
    <w:rsid w:val="00497760"/>
    <w:rsid w:val="004A06B0"/>
    <w:rsid w:val="004A10B5"/>
    <w:rsid w:val="004A1398"/>
    <w:rsid w:val="004A1E36"/>
    <w:rsid w:val="004A2314"/>
    <w:rsid w:val="004A2541"/>
    <w:rsid w:val="004A3188"/>
    <w:rsid w:val="004A3E33"/>
    <w:rsid w:val="004A3F8D"/>
    <w:rsid w:val="004A6808"/>
    <w:rsid w:val="004A6B38"/>
    <w:rsid w:val="004A7F45"/>
    <w:rsid w:val="004B1E9E"/>
    <w:rsid w:val="004B2CF8"/>
    <w:rsid w:val="004B2D3D"/>
    <w:rsid w:val="004B427D"/>
    <w:rsid w:val="004B515F"/>
    <w:rsid w:val="004B52F8"/>
    <w:rsid w:val="004B5767"/>
    <w:rsid w:val="004B6FDE"/>
    <w:rsid w:val="004B74E0"/>
    <w:rsid w:val="004B7EF9"/>
    <w:rsid w:val="004C184D"/>
    <w:rsid w:val="004C1F5C"/>
    <w:rsid w:val="004C299E"/>
    <w:rsid w:val="004C5331"/>
    <w:rsid w:val="004C5C99"/>
    <w:rsid w:val="004C6ABF"/>
    <w:rsid w:val="004D10F6"/>
    <w:rsid w:val="004D1237"/>
    <w:rsid w:val="004D17BD"/>
    <w:rsid w:val="004D2AB6"/>
    <w:rsid w:val="004D31B5"/>
    <w:rsid w:val="004D37A9"/>
    <w:rsid w:val="004D3F38"/>
    <w:rsid w:val="004D4EFE"/>
    <w:rsid w:val="004D6093"/>
    <w:rsid w:val="004E0765"/>
    <w:rsid w:val="004E2DC1"/>
    <w:rsid w:val="004E4DF2"/>
    <w:rsid w:val="004E59F6"/>
    <w:rsid w:val="004E73C9"/>
    <w:rsid w:val="004F00F8"/>
    <w:rsid w:val="004F04CA"/>
    <w:rsid w:val="004F0551"/>
    <w:rsid w:val="004F0D36"/>
    <w:rsid w:val="004F3BD3"/>
    <w:rsid w:val="004F3EAA"/>
    <w:rsid w:val="004F4DF3"/>
    <w:rsid w:val="004F6E4D"/>
    <w:rsid w:val="005003D9"/>
    <w:rsid w:val="00500681"/>
    <w:rsid w:val="0050094B"/>
    <w:rsid w:val="00500B5F"/>
    <w:rsid w:val="00501DD2"/>
    <w:rsid w:val="005031BF"/>
    <w:rsid w:val="00503407"/>
    <w:rsid w:val="005051BB"/>
    <w:rsid w:val="005057D5"/>
    <w:rsid w:val="005063E6"/>
    <w:rsid w:val="00506573"/>
    <w:rsid w:val="005066A3"/>
    <w:rsid w:val="00507690"/>
    <w:rsid w:val="00507D92"/>
    <w:rsid w:val="0051034B"/>
    <w:rsid w:val="005106D8"/>
    <w:rsid w:val="00511541"/>
    <w:rsid w:val="005118E5"/>
    <w:rsid w:val="00511941"/>
    <w:rsid w:val="00512C73"/>
    <w:rsid w:val="0051318F"/>
    <w:rsid w:val="00513555"/>
    <w:rsid w:val="00515087"/>
    <w:rsid w:val="00515246"/>
    <w:rsid w:val="00515CB7"/>
    <w:rsid w:val="0051616F"/>
    <w:rsid w:val="00517639"/>
    <w:rsid w:val="00520954"/>
    <w:rsid w:val="00520A0C"/>
    <w:rsid w:val="00520CD8"/>
    <w:rsid w:val="00520FA8"/>
    <w:rsid w:val="00522160"/>
    <w:rsid w:val="00522587"/>
    <w:rsid w:val="00525028"/>
    <w:rsid w:val="005266CC"/>
    <w:rsid w:val="00527425"/>
    <w:rsid w:val="00527EE0"/>
    <w:rsid w:val="005301F5"/>
    <w:rsid w:val="00532735"/>
    <w:rsid w:val="005329AC"/>
    <w:rsid w:val="005331DE"/>
    <w:rsid w:val="00533765"/>
    <w:rsid w:val="005341C0"/>
    <w:rsid w:val="005358DB"/>
    <w:rsid w:val="0053669A"/>
    <w:rsid w:val="00536CD3"/>
    <w:rsid w:val="00536D4D"/>
    <w:rsid w:val="00537768"/>
    <w:rsid w:val="00537F1A"/>
    <w:rsid w:val="00540BAF"/>
    <w:rsid w:val="005412B9"/>
    <w:rsid w:val="00541C98"/>
    <w:rsid w:val="00543C6F"/>
    <w:rsid w:val="0054487D"/>
    <w:rsid w:val="00544AED"/>
    <w:rsid w:val="00544B61"/>
    <w:rsid w:val="005453AF"/>
    <w:rsid w:val="00545527"/>
    <w:rsid w:val="00546255"/>
    <w:rsid w:val="0054749A"/>
    <w:rsid w:val="00550C58"/>
    <w:rsid w:val="00551618"/>
    <w:rsid w:val="00551D17"/>
    <w:rsid w:val="0055257C"/>
    <w:rsid w:val="00552600"/>
    <w:rsid w:val="005568C4"/>
    <w:rsid w:val="00556D3C"/>
    <w:rsid w:val="00560101"/>
    <w:rsid w:val="00560209"/>
    <w:rsid w:val="00560226"/>
    <w:rsid w:val="0056084B"/>
    <w:rsid w:val="00562D73"/>
    <w:rsid w:val="005635CD"/>
    <w:rsid w:val="00564A46"/>
    <w:rsid w:val="005677CA"/>
    <w:rsid w:val="00567C4A"/>
    <w:rsid w:val="00567F00"/>
    <w:rsid w:val="005706F5"/>
    <w:rsid w:val="005714E7"/>
    <w:rsid w:val="00572951"/>
    <w:rsid w:val="00572A10"/>
    <w:rsid w:val="005730B9"/>
    <w:rsid w:val="00573479"/>
    <w:rsid w:val="005761F1"/>
    <w:rsid w:val="00577A1C"/>
    <w:rsid w:val="005806FE"/>
    <w:rsid w:val="00580C14"/>
    <w:rsid w:val="00580D10"/>
    <w:rsid w:val="00582129"/>
    <w:rsid w:val="005822A2"/>
    <w:rsid w:val="00582B10"/>
    <w:rsid w:val="00584B0A"/>
    <w:rsid w:val="00584F42"/>
    <w:rsid w:val="00585DC7"/>
    <w:rsid w:val="00585E72"/>
    <w:rsid w:val="0058661C"/>
    <w:rsid w:val="00586D47"/>
    <w:rsid w:val="00587740"/>
    <w:rsid w:val="00587DA1"/>
    <w:rsid w:val="005913A3"/>
    <w:rsid w:val="0059268A"/>
    <w:rsid w:val="00592820"/>
    <w:rsid w:val="005938A9"/>
    <w:rsid w:val="005939AF"/>
    <w:rsid w:val="005941FC"/>
    <w:rsid w:val="00595773"/>
    <w:rsid w:val="00597A30"/>
    <w:rsid w:val="00597A7C"/>
    <w:rsid w:val="00597BB5"/>
    <w:rsid w:val="005A1842"/>
    <w:rsid w:val="005A190E"/>
    <w:rsid w:val="005A1D94"/>
    <w:rsid w:val="005A42A2"/>
    <w:rsid w:val="005A5BAC"/>
    <w:rsid w:val="005A6784"/>
    <w:rsid w:val="005A7EE9"/>
    <w:rsid w:val="005B0BFF"/>
    <w:rsid w:val="005B0DBB"/>
    <w:rsid w:val="005B2C1B"/>
    <w:rsid w:val="005B40EE"/>
    <w:rsid w:val="005B4A40"/>
    <w:rsid w:val="005B4A46"/>
    <w:rsid w:val="005B54C3"/>
    <w:rsid w:val="005B6AD6"/>
    <w:rsid w:val="005C153E"/>
    <w:rsid w:val="005C159F"/>
    <w:rsid w:val="005C182E"/>
    <w:rsid w:val="005C19E5"/>
    <w:rsid w:val="005C3D53"/>
    <w:rsid w:val="005C6156"/>
    <w:rsid w:val="005C7C1B"/>
    <w:rsid w:val="005D1F0F"/>
    <w:rsid w:val="005D22BD"/>
    <w:rsid w:val="005D296D"/>
    <w:rsid w:val="005D3945"/>
    <w:rsid w:val="005D3DB2"/>
    <w:rsid w:val="005D4960"/>
    <w:rsid w:val="005D4F8B"/>
    <w:rsid w:val="005D7F10"/>
    <w:rsid w:val="005D7FD4"/>
    <w:rsid w:val="005E062A"/>
    <w:rsid w:val="005E4BE4"/>
    <w:rsid w:val="005F032A"/>
    <w:rsid w:val="005F189D"/>
    <w:rsid w:val="005F217F"/>
    <w:rsid w:val="005F26CB"/>
    <w:rsid w:val="005F365B"/>
    <w:rsid w:val="005F3DBE"/>
    <w:rsid w:val="005F4978"/>
    <w:rsid w:val="005F675E"/>
    <w:rsid w:val="005F6E5A"/>
    <w:rsid w:val="005F770D"/>
    <w:rsid w:val="005F7A42"/>
    <w:rsid w:val="00601E1F"/>
    <w:rsid w:val="00602022"/>
    <w:rsid w:val="006039DA"/>
    <w:rsid w:val="006049E8"/>
    <w:rsid w:val="0060553C"/>
    <w:rsid w:val="0060776D"/>
    <w:rsid w:val="00607808"/>
    <w:rsid w:val="0061046B"/>
    <w:rsid w:val="0061143A"/>
    <w:rsid w:val="006129DA"/>
    <w:rsid w:val="00613797"/>
    <w:rsid w:val="006138A8"/>
    <w:rsid w:val="00613DD4"/>
    <w:rsid w:val="00614C69"/>
    <w:rsid w:val="006152CC"/>
    <w:rsid w:val="006161A2"/>
    <w:rsid w:val="00620812"/>
    <w:rsid w:val="00621F3E"/>
    <w:rsid w:val="00621F88"/>
    <w:rsid w:val="006230A3"/>
    <w:rsid w:val="00625471"/>
    <w:rsid w:val="0063020E"/>
    <w:rsid w:val="00630BF0"/>
    <w:rsid w:val="00632DC4"/>
    <w:rsid w:val="006333D1"/>
    <w:rsid w:val="006333F6"/>
    <w:rsid w:val="00633C53"/>
    <w:rsid w:val="006367EB"/>
    <w:rsid w:val="006412D2"/>
    <w:rsid w:val="006420D9"/>
    <w:rsid w:val="00642A76"/>
    <w:rsid w:val="00644643"/>
    <w:rsid w:val="0064539B"/>
    <w:rsid w:val="00646779"/>
    <w:rsid w:val="00646A55"/>
    <w:rsid w:val="00647167"/>
    <w:rsid w:val="00647383"/>
    <w:rsid w:val="00647CB6"/>
    <w:rsid w:val="00652AA8"/>
    <w:rsid w:val="00652F69"/>
    <w:rsid w:val="00652F6C"/>
    <w:rsid w:val="00654F28"/>
    <w:rsid w:val="00655D6F"/>
    <w:rsid w:val="0066118E"/>
    <w:rsid w:val="00662CEE"/>
    <w:rsid w:val="00665DB3"/>
    <w:rsid w:val="006668D0"/>
    <w:rsid w:val="006673C1"/>
    <w:rsid w:val="0066785F"/>
    <w:rsid w:val="00670220"/>
    <w:rsid w:val="00672688"/>
    <w:rsid w:val="00673F1E"/>
    <w:rsid w:val="00674B7F"/>
    <w:rsid w:val="00676AE0"/>
    <w:rsid w:val="0067737C"/>
    <w:rsid w:val="00677AB7"/>
    <w:rsid w:val="00677B15"/>
    <w:rsid w:val="0068032F"/>
    <w:rsid w:val="006812C1"/>
    <w:rsid w:val="006826FD"/>
    <w:rsid w:val="00682D29"/>
    <w:rsid w:val="00683246"/>
    <w:rsid w:val="006837FF"/>
    <w:rsid w:val="00684450"/>
    <w:rsid w:val="006844E4"/>
    <w:rsid w:val="00686045"/>
    <w:rsid w:val="0068613D"/>
    <w:rsid w:val="00687C08"/>
    <w:rsid w:val="00690B5B"/>
    <w:rsid w:val="006922A6"/>
    <w:rsid w:val="00693D30"/>
    <w:rsid w:val="00693DBB"/>
    <w:rsid w:val="006955A3"/>
    <w:rsid w:val="00695CE0"/>
    <w:rsid w:val="006A094B"/>
    <w:rsid w:val="006A0A6F"/>
    <w:rsid w:val="006A0E61"/>
    <w:rsid w:val="006A17A0"/>
    <w:rsid w:val="006A6486"/>
    <w:rsid w:val="006A6D97"/>
    <w:rsid w:val="006A7CEC"/>
    <w:rsid w:val="006B0F97"/>
    <w:rsid w:val="006B1E16"/>
    <w:rsid w:val="006B3529"/>
    <w:rsid w:val="006B37B0"/>
    <w:rsid w:val="006B3D71"/>
    <w:rsid w:val="006B4ED7"/>
    <w:rsid w:val="006B4FC2"/>
    <w:rsid w:val="006C1300"/>
    <w:rsid w:val="006C1419"/>
    <w:rsid w:val="006C15D3"/>
    <w:rsid w:val="006C1997"/>
    <w:rsid w:val="006C6771"/>
    <w:rsid w:val="006C685E"/>
    <w:rsid w:val="006C774C"/>
    <w:rsid w:val="006D1030"/>
    <w:rsid w:val="006D3833"/>
    <w:rsid w:val="006D3E1D"/>
    <w:rsid w:val="006D3F4F"/>
    <w:rsid w:val="006D4520"/>
    <w:rsid w:val="006D502D"/>
    <w:rsid w:val="006D522A"/>
    <w:rsid w:val="006D63AB"/>
    <w:rsid w:val="006D7C4E"/>
    <w:rsid w:val="006E025D"/>
    <w:rsid w:val="006E04CB"/>
    <w:rsid w:val="006E0FC1"/>
    <w:rsid w:val="006E11E5"/>
    <w:rsid w:val="006E1FD0"/>
    <w:rsid w:val="006E2722"/>
    <w:rsid w:val="006E38AB"/>
    <w:rsid w:val="006E4304"/>
    <w:rsid w:val="006E4927"/>
    <w:rsid w:val="006E5D9C"/>
    <w:rsid w:val="006E6E60"/>
    <w:rsid w:val="006E6F87"/>
    <w:rsid w:val="006F0069"/>
    <w:rsid w:val="006F2777"/>
    <w:rsid w:val="006F2A6B"/>
    <w:rsid w:val="006F37C6"/>
    <w:rsid w:val="006F37F6"/>
    <w:rsid w:val="006F4BBB"/>
    <w:rsid w:val="006F4BD0"/>
    <w:rsid w:val="006F76EE"/>
    <w:rsid w:val="00700AD0"/>
    <w:rsid w:val="00700B7C"/>
    <w:rsid w:val="00700BCC"/>
    <w:rsid w:val="00702A74"/>
    <w:rsid w:val="00703134"/>
    <w:rsid w:val="0070360B"/>
    <w:rsid w:val="00704872"/>
    <w:rsid w:val="0070517A"/>
    <w:rsid w:val="0070541E"/>
    <w:rsid w:val="007058BA"/>
    <w:rsid w:val="0070640C"/>
    <w:rsid w:val="00706E92"/>
    <w:rsid w:val="0070728D"/>
    <w:rsid w:val="0071030E"/>
    <w:rsid w:val="00710694"/>
    <w:rsid w:val="007106CF"/>
    <w:rsid w:val="00712543"/>
    <w:rsid w:val="007130F1"/>
    <w:rsid w:val="00713549"/>
    <w:rsid w:val="00713C18"/>
    <w:rsid w:val="007155D5"/>
    <w:rsid w:val="00716785"/>
    <w:rsid w:val="007168AB"/>
    <w:rsid w:val="0071796E"/>
    <w:rsid w:val="00717AC1"/>
    <w:rsid w:val="00720DC7"/>
    <w:rsid w:val="00721461"/>
    <w:rsid w:val="007225DB"/>
    <w:rsid w:val="00725736"/>
    <w:rsid w:val="007262AC"/>
    <w:rsid w:val="0072656A"/>
    <w:rsid w:val="007265DA"/>
    <w:rsid w:val="00726E38"/>
    <w:rsid w:val="00730798"/>
    <w:rsid w:val="0073099E"/>
    <w:rsid w:val="007336C7"/>
    <w:rsid w:val="007342BD"/>
    <w:rsid w:val="00734D31"/>
    <w:rsid w:val="00736863"/>
    <w:rsid w:val="00740266"/>
    <w:rsid w:val="00740FFE"/>
    <w:rsid w:val="007420B8"/>
    <w:rsid w:val="00742535"/>
    <w:rsid w:val="00742C43"/>
    <w:rsid w:val="00742E66"/>
    <w:rsid w:val="0074412A"/>
    <w:rsid w:val="00745199"/>
    <w:rsid w:val="0074569A"/>
    <w:rsid w:val="00745B56"/>
    <w:rsid w:val="00747085"/>
    <w:rsid w:val="00751E02"/>
    <w:rsid w:val="00760B8A"/>
    <w:rsid w:val="0076170B"/>
    <w:rsid w:val="007623BC"/>
    <w:rsid w:val="00763B74"/>
    <w:rsid w:val="007645B8"/>
    <w:rsid w:val="0076619B"/>
    <w:rsid w:val="007664DA"/>
    <w:rsid w:val="00766D44"/>
    <w:rsid w:val="00766EE0"/>
    <w:rsid w:val="00771104"/>
    <w:rsid w:val="00771AE4"/>
    <w:rsid w:val="00772534"/>
    <w:rsid w:val="0077258C"/>
    <w:rsid w:val="00774072"/>
    <w:rsid w:val="00777D10"/>
    <w:rsid w:val="00783192"/>
    <w:rsid w:val="00783995"/>
    <w:rsid w:val="00783AD4"/>
    <w:rsid w:val="00783D2D"/>
    <w:rsid w:val="00784190"/>
    <w:rsid w:val="00784EF5"/>
    <w:rsid w:val="00785E06"/>
    <w:rsid w:val="00786DF5"/>
    <w:rsid w:val="00786E69"/>
    <w:rsid w:val="00792CE4"/>
    <w:rsid w:val="00792D0C"/>
    <w:rsid w:val="00792F29"/>
    <w:rsid w:val="007935CA"/>
    <w:rsid w:val="00794181"/>
    <w:rsid w:val="007957AA"/>
    <w:rsid w:val="00795B9A"/>
    <w:rsid w:val="00797BAD"/>
    <w:rsid w:val="007A0CDE"/>
    <w:rsid w:val="007A1390"/>
    <w:rsid w:val="007A16F2"/>
    <w:rsid w:val="007A249A"/>
    <w:rsid w:val="007A2E76"/>
    <w:rsid w:val="007A2FA7"/>
    <w:rsid w:val="007A2FAB"/>
    <w:rsid w:val="007A425F"/>
    <w:rsid w:val="007A4702"/>
    <w:rsid w:val="007A4F89"/>
    <w:rsid w:val="007A52FF"/>
    <w:rsid w:val="007A5D24"/>
    <w:rsid w:val="007A6167"/>
    <w:rsid w:val="007A74E1"/>
    <w:rsid w:val="007A7527"/>
    <w:rsid w:val="007A7768"/>
    <w:rsid w:val="007B2E60"/>
    <w:rsid w:val="007B3298"/>
    <w:rsid w:val="007B33C2"/>
    <w:rsid w:val="007B3945"/>
    <w:rsid w:val="007B4297"/>
    <w:rsid w:val="007B44E1"/>
    <w:rsid w:val="007B4893"/>
    <w:rsid w:val="007B5F5F"/>
    <w:rsid w:val="007B6A5E"/>
    <w:rsid w:val="007B6BB1"/>
    <w:rsid w:val="007C0D92"/>
    <w:rsid w:val="007C140E"/>
    <w:rsid w:val="007C404C"/>
    <w:rsid w:val="007C5FEF"/>
    <w:rsid w:val="007C6F31"/>
    <w:rsid w:val="007C719B"/>
    <w:rsid w:val="007C75A4"/>
    <w:rsid w:val="007D2AEE"/>
    <w:rsid w:val="007D3A45"/>
    <w:rsid w:val="007D44C9"/>
    <w:rsid w:val="007D74CC"/>
    <w:rsid w:val="007D7503"/>
    <w:rsid w:val="007E2623"/>
    <w:rsid w:val="007E6A02"/>
    <w:rsid w:val="007E6DCD"/>
    <w:rsid w:val="007E7057"/>
    <w:rsid w:val="007E7665"/>
    <w:rsid w:val="007F0186"/>
    <w:rsid w:val="007F0227"/>
    <w:rsid w:val="007F09D4"/>
    <w:rsid w:val="007F0B34"/>
    <w:rsid w:val="007F0D4A"/>
    <w:rsid w:val="007F10E3"/>
    <w:rsid w:val="007F1323"/>
    <w:rsid w:val="007F196B"/>
    <w:rsid w:val="007F1BBD"/>
    <w:rsid w:val="007F24B6"/>
    <w:rsid w:val="007F26D2"/>
    <w:rsid w:val="007F281D"/>
    <w:rsid w:val="007F359D"/>
    <w:rsid w:val="007F3935"/>
    <w:rsid w:val="007F58C8"/>
    <w:rsid w:val="007F5A65"/>
    <w:rsid w:val="007F5BD3"/>
    <w:rsid w:val="007F66E9"/>
    <w:rsid w:val="007F6A9D"/>
    <w:rsid w:val="007F75D5"/>
    <w:rsid w:val="00800546"/>
    <w:rsid w:val="00803653"/>
    <w:rsid w:val="008045A1"/>
    <w:rsid w:val="00804753"/>
    <w:rsid w:val="00804AD7"/>
    <w:rsid w:val="00804BD6"/>
    <w:rsid w:val="008058C9"/>
    <w:rsid w:val="00806D30"/>
    <w:rsid w:val="008078D3"/>
    <w:rsid w:val="00810008"/>
    <w:rsid w:val="008103DB"/>
    <w:rsid w:val="00810D0C"/>
    <w:rsid w:val="00811639"/>
    <w:rsid w:val="00812CC7"/>
    <w:rsid w:val="00813C5B"/>
    <w:rsid w:val="008141C2"/>
    <w:rsid w:val="0081422D"/>
    <w:rsid w:val="0081435E"/>
    <w:rsid w:val="00814AA7"/>
    <w:rsid w:val="00815463"/>
    <w:rsid w:val="008161C4"/>
    <w:rsid w:val="00816C2B"/>
    <w:rsid w:val="00817743"/>
    <w:rsid w:val="008212CE"/>
    <w:rsid w:val="00821FF3"/>
    <w:rsid w:val="00822E61"/>
    <w:rsid w:val="00822F2F"/>
    <w:rsid w:val="00823AD8"/>
    <w:rsid w:val="00825017"/>
    <w:rsid w:val="0082549C"/>
    <w:rsid w:val="008259FC"/>
    <w:rsid w:val="00826EB0"/>
    <w:rsid w:val="008270F5"/>
    <w:rsid w:val="0082791B"/>
    <w:rsid w:val="00827E92"/>
    <w:rsid w:val="00830958"/>
    <w:rsid w:val="00830E0C"/>
    <w:rsid w:val="00831294"/>
    <w:rsid w:val="00831F57"/>
    <w:rsid w:val="0083680D"/>
    <w:rsid w:val="0084051C"/>
    <w:rsid w:val="00840FB0"/>
    <w:rsid w:val="00841B06"/>
    <w:rsid w:val="00843209"/>
    <w:rsid w:val="00843A78"/>
    <w:rsid w:val="00844FBF"/>
    <w:rsid w:val="008450FF"/>
    <w:rsid w:val="0084551E"/>
    <w:rsid w:val="00846DB6"/>
    <w:rsid w:val="0084711E"/>
    <w:rsid w:val="008477A8"/>
    <w:rsid w:val="0085051D"/>
    <w:rsid w:val="00851338"/>
    <w:rsid w:val="00851B94"/>
    <w:rsid w:val="00851C11"/>
    <w:rsid w:val="008529FD"/>
    <w:rsid w:val="00852A83"/>
    <w:rsid w:val="0085382B"/>
    <w:rsid w:val="008538F1"/>
    <w:rsid w:val="00853FD1"/>
    <w:rsid w:val="00854ED5"/>
    <w:rsid w:val="008578BE"/>
    <w:rsid w:val="008619DB"/>
    <w:rsid w:val="00863238"/>
    <w:rsid w:val="00864C71"/>
    <w:rsid w:val="00864E08"/>
    <w:rsid w:val="008658A3"/>
    <w:rsid w:val="00865E3D"/>
    <w:rsid w:val="00866D45"/>
    <w:rsid w:val="00866DB2"/>
    <w:rsid w:val="0086705B"/>
    <w:rsid w:val="00867762"/>
    <w:rsid w:val="008711D7"/>
    <w:rsid w:val="00873E24"/>
    <w:rsid w:val="00874547"/>
    <w:rsid w:val="00876C81"/>
    <w:rsid w:val="00876CBE"/>
    <w:rsid w:val="008812FD"/>
    <w:rsid w:val="00881485"/>
    <w:rsid w:val="00881C7B"/>
    <w:rsid w:val="0088528D"/>
    <w:rsid w:val="00885D57"/>
    <w:rsid w:val="00885EF0"/>
    <w:rsid w:val="008861AE"/>
    <w:rsid w:val="008878BB"/>
    <w:rsid w:val="00887EFA"/>
    <w:rsid w:val="0089122B"/>
    <w:rsid w:val="008935D0"/>
    <w:rsid w:val="00893D49"/>
    <w:rsid w:val="008945E4"/>
    <w:rsid w:val="00896259"/>
    <w:rsid w:val="008965B3"/>
    <w:rsid w:val="008974C4"/>
    <w:rsid w:val="008979B0"/>
    <w:rsid w:val="008A02EC"/>
    <w:rsid w:val="008A1338"/>
    <w:rsid w:val="008A1C73"/>
    <w:rsid w:val="008A2C77"/>
    <w:rsid w:val="008A42CC"/>
    <w:rsid w:val="008A4608"/>
    <w:rsid w:val="008A6F68"/>
    <w:rsid w:val="008A725A"/>
    <w:rsid w:val="008B0745"/>
    <w:rsid w:val="008B1613"/>
    <w:rsid w:val="008B2318"/>
    <w:rsid w:val="008B3417"/>
    <w:rsid w:val="008B3D01"/>
    <w:rsid w:val="008B3D16"/>
    <w:rsid w:val="008B587E"/>
    <w:rsid w:val="008B6432"/>
    <w:rsid w:val="008C130E"/>
    <w:rsid w:val="008C161D"/>
    <w:rsid w:val="008C1BB6"/>
    <w:rsid w:val="008C1CB4"/>
    <w:rsid w:val="008C244E"/>
    <w:rsid w:val="008C2E95"/>
    <w:rsid w:val="008C3015"/>
    <w:rsid w:val="008C3027"/>
    <w:rsid w:val="008C63EB"/>
    <w:rsid w:val="008C7F0E"/>
    <w:rsid w:val="008D0962"/>
    <w:rsid w:val="008D3041"/>
    <w:rsid w:val="008D3B44"/>
    <w:rsid w:val="008D7274"/>
    <w:rsid w:val="008D783A"/>
    <w:rsid w:val="008D7F1D"/>
    <w:rsid w:val="008E0919"/>
    <w:rsid w:val="008E1C85"/>
    <w:rsid w:val="008E2CFA"/>
    <w:rsid w:val="008E4A9F"/>
    <w:rsid w:val="008E57BE"/>
    <w:rsid w:val="008E654E"/>
    <w:rsid w:val="008F1B84"/>
    <w:rsid w:val="008F3DD8"/>
    <w:rsid w:val="008F4E40"/>
    <w:rsid w:val="008F526B"/>
    <w:rsid w:val="008F72BB"/>
    <w:rsid w:val="009009E9"/>
    <w:rsid w:val="00901CC4"/>
    <w:rsid w:val="00904E5C"/>
    <w:rsid w:val="00905D53"/>
    <w:rsid w:val="009070C3"/>
    <w:rsid w:val="0090711B"/>
    <w:rsid w:val="0090792F"/>
    <w:rsid w:val="00907C68"/>
    <w:rsid w:val="00910A9E"/>
    <w:rsid w:val="00911385"/>
    <w:rsid w:val="00912016"/>
    <w:rsid w:val="00913069"/>
    <w:rsid w:val="00913729"/>
    <w:rsid w:val="00913936"/>
    <w:rsid w:val="009140FD"/>
    <w:rsid w:val="00914BB0"/>
    <w:rsid w:val="00915A95"/>
    <w:rsid w:val="00915B60"/>
    <w:rsid w:val="00917165"/>
    <w:rsid w:val="00917BEA"/>
    <w:rsid w:val="00922AE6"/>
    <w:rsid w:val="00923079"/>
    <w:rsid w:val="00923A52"/>
    <w:rsid w:val="00923E2A"/>
    <w:rsid w:val="0092464C"/>
    <w:rsid w:val="0092494B"/>
    <w:rsid w:val="009255F4"/>
    <w:rsid w:val="0092580F"/>
    <w:rsid w:val="00926463"/>
    <w:rsid w:val="00926D81"/>
    <w:rsid w:val="0092745A"/>
    <w:rsid w:val="00927821"/>
    <w:rsid w:val="00931271"/>
    <w:rsid w:val="00931428"/>
    <w:rsid w:val="00931A81"/>
    <w:rsid w:val="00932442"/>
    <w:rsid w:val="00932D4C"/>
    <w:rsid w:val="00935092"/>
    <w:rsid w:val="00936186"/>
    <w:rsid w:val="00937427"/>
    <w:rsid w:val="0093785A"/>
    <w:rsid w:val="00940811"/>
    <w:rsid w:val="00941917"/>
    <w:rsid w:val="00941DB8"/>
    <w:rsid w:val="009420DA"/>
    <w:rsid w:val="0094331B"/>
    <w:rsid w:val="00943A95"/>
    <w:rsid w:val="00945D91"/>
    <w:rsid w:val="009475E2"/>
    <w:rsid w:val="00947A3E"/>
    <w:rsid w:val="009506D5"/>
    <w:rsid w:val="009509DB"/>
    <w:rsid w:val="00951380"/>
    <w:rsid w:val="00951C0E"/>
    <w:rsid w:val="00952E42"/>
    <w:rsid w:val="00952E5D"/>
    <w:rsid w:val="0095352D"/>
    <w:rsid w:val="009542BC"/>
    <w:rsid w:val="009543B0"/>
    <w:rsid w:val="0095640E"/>
    <w:rsid w:val="00957A49"/>
    <w:rsid w:val="009613E6"/>
    <w:rsid w:val="009614F3"/>
    <w:rsid w:val="009622E2"/>
    <w:rsid w:val="009639E7"/>
    <w:rsid w:val="00963DA7"/>
    <w:rsid w:val="009653E3"/>
    <w:rsid w:val="0096589F"/>
    <w:rsid w:val="00965C02"/>
    <w:rsid w:val="00966120"/>
    <w:rsid w:val="00967237"/>
    <w:rsid w:val="00967A4C"/>
    <w:rsid w:val="00967C48"/>
    <w:rsid w:val="009706F6"/>
    <w:rsid w:val="009715DF"/>
    <w:rsid w:val="0097235A"/>
    <w:rsid w:val="00973326"/>
    <w:rsid w:val="00973761"/>
    <w:rsid w:val="00975030"/>
    <w:rsid w:val="0097569B"/>
    <w:rsid w:val="00975D0A"/>
    <w:rsid w:val="0097730B"/>
    <w:rsid w:val="0098214A"/>
    <w:rsid w:val="00982EEE"/>
    <w:rsid w:val="00983E28"/>
    <w:rsid w:val="009841AF"/>
    <w:rsid w:val="009842B7"/>
    <w:rsid w:val="00984384"/>
    <w:rsid w:val="00987A32"/>
    <w:rsid w:val="0099102E"/>
    <w:rsid w:val="0099290D"/>
    <w:rsid w:val="00993095"/>
    <w:rsid w:val="00993144"/>
    <w:rsid w:val="009935CB"/>
    <w:rsid w:val="00993EF5"/>
    <w:rsid w:val="009943AD"/>
    <w:rsid w:val="009956AC"/>
    <w:rsid w:val="00995BAF"/>
    <w:rsid w:val="00997065"/>
    <w:rsid w:val="00997977"/>
    <w:rsid w:val="00997A67"/>
    <w:rsid w:val="009A0BEE"/>
    <w:rsid w:val="009A247B"/>
    <w:rsid w:val="009A2EE4"/>
    <w:rsid w:val="009A36EE"/>
    <w:rsid w:val="009A4EAD"/>
    <w:rsid w:val="009A57AB"/>
    <w:rsid w:val="009A63F4"/>
    <w:rsid w:val="009B016E"/>
    <w:rsid w:val="009B090A"/>
    <w:rsid w:val="009B09F6"/>
    <w:rsid w:val="009B172A"/>
    <w:rsid w:val="009B28B0"/>
    <w:rsid w:val="009B47E3"/>
    <w:rsid w:val="009B6C4A"/>
    <w:rsid w:val="009C00AC"/>
    <w:rsid w:val="009C08C9"/>
    <w:rsid w:val="009C0AF4"/>
    <w:rsid w:val="009C148B"/>
    <w:rsid w:val="009C1834"/>
    <w:rsid w:val="009C4733"/>
    <w:rsid w:val="009C4CFB"/>
    <w:rsid w:val="009C52E6"/>
    <w:rsid w:val="009C57DC"/>
    <w:rsid w:val="009C6273"/>
    <w:rsid w:val="009C7ACB"/>
    <w:rsid w:val="009C7EE8"/>
    <w:rsid w:val="009D15E5"/>
    <w:rsid w:val="009D2776"/>
    <w:rsid w:val="009D2885"/>
    <w:rsid w:val="009D43FE"/>
    <w:rsid w:val="009D6858"/>
    <w:rsid w:val="009D6FF1"/>
    <w:rsid w:val="009E0454"/>
    <w:rsid w:val="009E47CF"/>
    <w:rsid w:val="009E4C0A"/>
    <w:rsid w:val="009E5310"/>
    <w:rsid w:val="009E7069"/>
    <w:rsid w:val="009E73F9"/>
    <w:rsid w:val="009F013D"/>
    <w:rsid w:val="009F0269"/>
    <w:rsid w:val="009F13CB"/>
    <w:rsid w:val="009F1406"/>
    <w:rsid w:val="009F243D"/>
    <w:rsid w:val="009F2B6B"/>
    <w:rsid w:val="009F4FE8"/>
    <w:rsid w:val="009F77C5"/>
    <w:rsid w:val="009F7F47"/>
    <w:rsid w:val="00A01253"/>
    <w:rsid w:val="00A02A00"/>
    <w:rsid w:val="00A04347"/>
    <w:rsid w:val="00A05E1E"/>
    <w:rsid w:val="00A06A6C"/>
    <w:rsid w:val="00A06E00"/>
    <w:rsid w:val="00A07763"/>
    <w:rsid w:val="00A07FD9"/>
    <w:rsid w:val="00A10D8E"/>
    <w:rsid w:val="00A1112D"/>
    <w:rsid w:val="00A13779"/>
    <w:rsid w:val="00A15AF2"/>
    <w:rsid w:val="00A15B9A"/>
    <w:rsid w:val="00A16AB3"/>
    <w:rsid w:val="00A16AED"/>
    <w:rsid w:val="00A1788C"/>
    <w:rsid w:val="00A22076"/>
    <w:rsid w:val="00A2274F"/>
    <w:rsid w:val="00A22B59"/>
    <w:rsid w:val="00A2381C"/>
    <w:rsid w:val="00A23A64"/>
    <w:rsid w:val="00A24492"/>
    <w:rsid w:val="00A2648A"/>
    <w:rsid w:val="00A26513"/>
    <w:rsid w:val="00A26FDF"/>
    <w:rsid w:val="00A27410"/>
    <w:rsid w:val="00A27985"/>
    <w:rsid w:val="00A306D9"/>
    <w:rsid w:val="00A310EF"/>
    <w:rsid w:val="00A31C93"/>
    <w:rsid w:val="00A3251E"/>
    <w:rsid w:val="00A32C66"/>
    <w:rsid w:val="00A33022"/>
    <w:rsid w:val="00A33743"/>
    <w:rsid w:val="00A34CBB"/>
    <w:rsid w:val="00A351EE"/>
    <w:rsid w:val="00A35588"/>
    <w:rsid w:val="00A41805"/>
    <w:rsid w:val="00A43256"/>
    <w:rsid w:val="00A438A3"/>
    <w:rsid w:val="00A44CE5"/>
    <w:rsid w:val="00A45249"/>
    <w:rsid w:val="00A46B2D"/>
    <w:rsid w:val="00A46DB3"/>
    <w:rsid w:val="00A475DD"/>
    <w:rsid w:val="00A47FCE"/>
    <w:rsid w:val="00A50AB6"/>
    <w:rsid w:val="00A50CC3"/>
    <w:rsid w:val="00A5217B"/>
    <w:rsid w:val="00A56F20"/>
    <w:rsid w:val="00A57DDD"/>
    <w:rsid w:val="00A60F9E"/>
    <w:rsid w:val="00A625AC"/>
    <w:rsid w:val="00A62BEE"/>
    <w:rsid w:val="00A62F96"/>
    <w:rsid w:val="00A63654"/>
    <w:rsid w:val="00A7013E"/>
    <w:rsid w:val="00A7043F"/>
    <w:rsid w:val="00A71FEE"/>
    <w:rsid w:val="00A7249E"/>
    <w:rsid w:val="00A73E42"/>
    <w:rsid w:val="00A76271"/>
    <w:rsid w:val="00A769BC"/>
    <w:rsid w:val="00A76B2A"/>
    <w:rsid w:val="00A80861"/>
    <w:rsid w:val="00A81AE5"/>
    <w:rsid w:val="00A82011"/>
    <w:rsid w:val="00A822DD"/>
    <w:rsid w:val="00A82F6C"/>
    <w:rsid w:val="00A852DB"/>
    <w:rsid w:val="00A87B0A"/>
    <w:rsid w:val="00A87F44"/>
    <w:rsid w:val="00A95252"/>
    <w:rsid w:val="00A97062"/>
    <w:rsid w:val="00AA02EF"/>
    <w:rsid w:val="00AA05B9"/>
    <w:rsid w:val="00AA23D1"/>
    <w:rsid w:val="00AA3A66"/>
    <w:rsid w:val="00AA3DF9"/>
    <w:rsid w:val="00AA4AF7"/>
    <w:rsid w:val="00AA5B91"/>
    <w:rsid w:val="00AA6CFD"/>
    <w:rsid w:val="00AA7B38"/>
    <w:rsid w:val="00AB069B"/>
    <w:rsid w:val="00AB38A5"/>
    <w:rsid w:val="00AB3EFE"/>
    <w:rsid w:val="00AB4150"/>
    <w:rsid w:val="00AB4E56"/>
    <w:rsid w:val="00AC00EE"/>
    <w:rsid w:val="00AC2B35"/>
    <w:rsid w:val="00AC4377"/>
    <w:rsid w:val="00AC4E18"/>
    <w:rsid w:val="00AC6EF7"/>
    <w:rsid w:val="00AD15AC"/>
    <w:rsid w:val="00AD19E8"/>
    <w:rsid w:val="00AD1D5B"/>
    <w:rsid w:val="00AD2CE0"/>
    <w:rsid w:val="00AD2EE0"/>
    <w:rsid w:val="00AD3759"/>
    <w:rsid w:val="00AD4746"/>
    <w:rsid w:val="00AD5848"/>
    <w:rsid w:val="00AD5A1E"/>
    <w:rsid w:val="00AD6038"/>
    <w:rsid w:val="00AD7A90"/>
    <w:rsid w:val="00AE02E7"/>
    <w:rsid w:val="00AE252F"/>
    <w:rsid w:val="00AE2601"/>
    <w:rsid w:val="00AE2DDB"/>
    <w:rsid w:val="00AE3277"/>
    <w:rsid w:val="00AE3ADC"/>
    <w:rsid w:val="00AE4898"/>
    <w:rsid w:val="00AE4CDA"/>
    <w:rsid w:val="00AE6248"/>
    <w:rsid w:val="00AE7616"/>
    <w:rsid w:val="00AF24E4"/>
    <w:rsid w:val="00AF5BD6"/>
    <w:rsid w:val="00AF7F5A"/>
    <w:rsid w:val="00B0042E"/>
    <w:rsid w:val="00B007DE"/>
    <w:rsid w:val="00B0162A"/>
    <w:rsid w:val="00B01B10"/>
    <w:rsid w:val="00B01FED"/>
    <w:rsid w:val="00B02327"/>
    <w:rsid w:val="00B05BA2"/>
    <w:rsid w:val="00B07398"/>
    <w:rsid w:val="00B0753E"/>
    <w:rsid w:val="00B1026A"/>
    <w:rsid w:val="00B10A6A"/>
    <w:rsid w:val="00B10E77"/>
    <w:rsid w:val="00B10F40"/>
    <w:rsid w:val="00B11303"/>
    <w:rsid w:val="00B11F18"/>
    <w:rsid w:val="00B12999"/>
    <w:rsid w:val="00B12F83"/>
    <w:rsid w:val="00B13AFF"/>
    <w:rsid w:val="00B15BD4"/>
    <w:rsid w:val="00B16510"/>
    <w:rsid w:val="00B2161E"/>
    <w:rsid w:val="00B2458F"/>
    <w:rsid w:val="00B2617B"/>
    <w:rsid w:val="00B31419"/>
    <w:rsid w:val="00B314E6"/>
    <w:rsid w:val="00B323F0"/>
    <w:rsid w:val="00B327C0"/>
    <w:rsid w:val="00B347F9"/>
    <w:rsid w:val="00B3548B"/>
    <w:rsid w:val="00B35F8E"/>
    <w:rsid w:val="00B3602F"/>
    <w:rsid w:val="00B36F1F"/>
    <w:rsid w:val="00B403AB"/>
    <w:rsid w:val="00B428BB"/>
    <w:rsid w:val="00B43028"/>
    <w:rsid w:val="00B4303E"/>
    <w:rsid w:val="00B4514F"/>
    <w:rsid w:val="00B45C5B"/>
    <w:rsid w:val="00B464D5"/>
    <w:rsid w:val="00B46FA6"/>
    <w:rsid w:val="00B4708A"/>
    <w:rsid w:val="00B47135"/>
    <w:rsid w:val="00B50D3D"/>
    <w:rsid w:val="00B51259"/>
    <w:rsid w:val="00B51F80"/>
    <w:rsid w:val="00B5259D"/>
    <w:rsid w:val="00B52B98"/>
    <w:rsid w:val="00B5470F"/>
    <w:rsid w:val="00B547C6"/>
    <w:rsid w:val="00B55E8D"/>
    <w:rsid w:val="00B56F0A"/>
    <w:rsid w:val="00B60F3E"/>
    <w:rsid w:val="00B61C84"/>
    <w:rsid w:val="00B61E6B"/>
    <w:rsid w:val="00B62760"/>
    <w:rsid w:val="00B6360A"/>
    <w:rsid w:val="00B6465A"/>
    <w:rsid w:val="00B65912"/>
    <w:rsid w:val="00B66153"/>
    <w:rsid w:val="00B66BC2"/>
    <w:rsid w:val="00B66D4C"/>
    <w:rsid w:val="00B70798"/>
    <w:rsid w:val="00B74505"/>
    <w:rsid w:val="00B74951"/>
    <w:rsid w:val="00B75640"/>
    <w:rsid w:val="00B767E8"/>
    <w:rsid w:val="00B80855"/>
    <w:rsid w:val="00B8363E"/>
    <w:rsid w:val="00B83BF5"/>
    <w:rsid w:val="00B83DA1"/>
    <w:rsid w:val="00B84178"/>
    <w:rsid w:val="00B85486"/>
    <w:rsid w:val="00B86DDC"/>
    <w:rsid w:val="00B87440"/>
    <w:rsid w:val="00B91242"/>
    <w:rsid w:val="00B9215B"/>
    <w:rsid w:val="00B9664A"/>
    <w:rsid w:val="00B96B2F"/>
    <w:rsid w:val="00B9737B"/>
    <w:rsid w:val="00B974B8"/>
    <w:rsid w:val="00BA0763"/>
    <w:rsid w:val="00BA1A5E"/>
    <w:rsid w:val="00BA43C2"/>
    <w:rsid w:val="00BA4BEE"/>
    <w:rsid w:val="00BA7F5F"/>
    <w:rsid w:val="00BB0183"/>
    <w:rsid w:val="00BB11CA"/>
    <w:rsid w:val="00BB1F9F"/>
    <w:rsid w:val="00BB3AC9"/>
    <w:rsid w:val="00BB68E6"/>
    <w:rsid w:val="00BC15ED"/>
    <w:rsid w:val="00BC20D4"/>
    <w:rsid w:val="00BC28BF"/>
    <w:rsid w:val="00BC3D09"/>
    <w:rsid w:val="00BC4D88"/>
    <w:rsid w:val="00BC55D9"/>
    <w:rsid w:val="00BC5727"/>
    <w:rsid w:val="00BC5E7A"/>
    <w:rsid w:val="00BC642A"/>
    <w:rsid w:val="00BD1952"/>
    <w:rsid w:val="00BD228F"/>
    <w:rsid w:val="00BD2615"/>
    <w:rsid w:val="00BD2E67"/>
    <w:rsid w:val="00BD58DE"/>
    <w:rsid w:val="00BD7426"/>
    <w:rsid w:val="00BE02F5"/>
    <w:rsid w:val="00BE22DA"/>
    <w:rsid w:val="00BE43F7"/>
    <w:rsid w:val="00BE4DDF"/>
    <w:rsid w:val="00BE4E03"/>
    <w:rsid w:val="00BE7CE3"/>
    <w:rsid w:val="00BF032E"/>
    <w:rsid w:val="00BF1487"/>
    <w:rsid w:val="00BF1BFA"/>
    <w:rsid w:val="00BF1D91"/>
    <w:rsid w:val="00BF2869"/>
    <w:rsid w:val="00BF3A52"/>
    <w:rsid w:val="00BF4C4A"/>
    <w:rsid w:val="00BF556D"/>
    <w:rsid w:val="00BF70B2"/>
    <w:rsid w:val="00BF7343"/>
    <w:rsid w:val="00C01D2D"/>
    <w:rsid w:val="00C01D76"/>
    <w:rsid w:val="00C0370C"/>
    <w:rsid w:val="00C04188"/>
    <w:rsid w:val="00C061DA"/>
    <w:rsid w:val="00C062A3"/>
    <w:rsid w:val="00C10CB7"/>
    <w:rsid w:val="00C131C5"/>
    <w:rsid w:val="00C13989"/>
    <w:rsid w:val="00C17B98"/>
    <w:rsid w:val="00C17FC8"/>
    <w:rsid w:val="00C20FAA"/>
    <w:rsid w:val="00C21717"/>
    <w:rsid w:val="00C21B03"/>
    <w:rsid w:val="00C251BF"/>
    <w:rsid w:val="00C26C80"/>
    <w:rsid w:val="00C279EC"/>
    <w:rsid w:val="00C27BDD"/>
    <w:rsid w:val="00C308E5"/>
    <w:rsid w:val="00C31523"/>
    <w:rsid w:val="00C33525"/>
    <w:rsid w:val="00C344DD"/>
    <w:rsid w:val="00C34C94"/>
    <w:rsid w:val="00C37202"/>
    <w:rsid w:val="00C37426"/>
    <w:rsid w:val="00C37980"/>
    <w:rsid w:val="00C40BCB"/>
    <w:rsid w:val="00C40D28"/>
    <w:rsid w:val="00C413AD"/>
    <w:rsid w:val="00C425F9"/>
    <w:rsid w:val="00C430F0"/>
    <w:rsid w:val="00C45C4D"/>
    <w:rsid w:val="00C4700E"/>
    <w:rsid w:val="00C50F7D"/>
    <w:rsid w:val="00C51500"/>
    <w:rsid w:val="00C52306"/>
    <w:rsid w:val="00C52694"/>
    <w:rsid w:val="00C52717"/>
    <w:rsid w:val="00C52FAC"/>
    <w:rsid w:val="00C5337C"/>
    <w:rsid w:val="00C53E19"/>
    <w:rsid w:val="00C5416A"/>
    <w:rsid w:val="00C5495A"/>
    <w:rsid w:val="00C55706"/>
    <w:rsid w:val="00C56525"/>
    <w:rsid w:val="00C57092"/>
    <w:rsid w:val="00C57A8E"/>
    <w:rsid w:val="00C600BE"/>
    <w:rsid w:val="00C606E0"/>
    <w:rsid w:val="00C60F6E"/>
    <w:rsid w:val="00C6222A"/>
    <w:rsid w:val="00C6281B"/>
    <w:rsid w:val="00C635A0"/>
    <w:rsid w:val="00C6488F"/>
    <w:rsid w:val="00C65A1D"/>
    <w:rsid w:val="00C66A80"/>
    <w:rsid w:val="00C676CB"/>
    <w:rsid w:val="00C678FB"/>
    <w:rsid w:val="00C70762"/>
    <w:rsid w:val="00C70886"/>
    <w:rsid w:val="00C71B3F"/>
    <w:rsid w:val="00C71D42"/>
    <w:rsid w:val="00C71E9A"/>
    <w:rsid w:val="00C732F1"/>
    <w:rsid w:val="00C74209"/>
    <w:rsid w:val="00C762BB"/>
    <w:rsid w:val="00C76475"/>
    <w:rsid w:val="00C76490"/>
    <w:rsid w:val="00C76AB5"/>
    <w:rsid w:val="00C77173"/>
    <w:rsid w:val="00C80EB0"/>
    <w:rsid w:val="00C81017"/>
    <w:rsid w:val="00C83087"/>
    <w:rsid w:val="00C83459"/>
    <w:rsid w:val="00C835EB"/>
    <w:rsid w:val="00C84A7B"/>
    <w:rsid w:val="00C84FAE"/>
    <w:rsid w:val="00C855F1"/>
    <w:rsid w:val="00C857A1"/>
    <w:rsid w:val="00C86782"/>
    <w:rsid w:val="00C86A7B"/>
    <w:rsid w:val="00C86AC7"/>
    <w:rsid w:val="00C874F2"/>
    <w:rsid w:val="00C90E2B"/>
    <w:rsid w:val="00C93BF0"/>
    <w:rsid w:val="00C93F05"/>
    <w:rsid w:val="00C95514"/>
    <w:rsid w:val="00C9740F"/>
    <w:rsid w:val="00CA0C94"/>
    <w:rsid w:val="00CA1E87"/>
    <w:rsid w:val="00CA23F1"/>
    <w:rsid w:val="00CA637E"/>
    <w:rsid w:val="00CB02CC"/>
    <w:rsid w:val="00CB0B76"/>
    <w:rsid w:val="00CB20B2"/>
    <w:rsid w:val="00CB3A6B"/>
    <w:rsid w:val="00CB4376"/>
    <w:rsid w:val="00CB44B6"/>
    <w:rsid w:val="00CB4ECD"/>
    <w:rsid w:val="00CB5059"/>
    <w:rsid w:val="00CB6BA4"/>
    <w:rsid w:val="00CB73AD"/>
    <w:rsid w:val="00CC067A"/>
    <w:rsid w:val="00CC2046"/>
    <w:rsid w:val="00CC3CA5"/>
    <w:rsid w:val="00CC426D"/>
    <w:rsid w:val="00CC44AF"/>
    <w:rsid w:val="00CC4693"/>
    <w:rsid w:val="00CC66B3"/>
    <w:rsid w:val="00CC7610"/>
    <w:rsid w:val="00CD0588"/>
    <w:rsid w:val="00CD42F9"/>
    <w:rsid w:val="00CD48FB"/>
    <w:rsid w:val="00CD491D"/>
    <w:rsid w:val="00CD6B6A"/>
    <w:rsid w:val="00CE0105"/>
    <w:rsid w:val="00CE04B2"/>
    <w:rsid w:val="00CE0807"/>
    <w:rsid w:val="00CE0EDE"/>
    <w:rsid w:val="00CE22EC"/>
    <w:rsid w:val="00CE3098"/>
    <w:rsid w:val="00CE36BD"/>
    <w:rsid w:val="00CE4811"/>
    <w:rsid w:val="00CE605C"/>
    <w:rsid w:val="00CF05B3"/>
    <w:rsid w:val="00CF0C86"/>
    <w:rsid w:val="00CF0CE2"/>
    <w:rsid w:val="00CF2BCE"/>
    <w:rsid w:val="00CF305E"/>
    <w:rsid w:val="00CF434A"/>
    <w:rsid w:val="00CF46A4"/>
    <w:rsid w:val="00CF68EB"/>
    <w:rsid w:val="00CF782D"/>
    <w:rsid w:val="00D0133E"/>
    <w:rsid w:val="00D01A20"/>
    <w:rsid w:val="00D03E3F"/>
    <w:rsid w:val="00D0418E"/>
    <w:rsid w:val="00D05E2A"/>
    <w:rsid w:val="00D06006"/>
    <w:rsid w:val="00D06C00"/>
    <w:rsid w:val="00D078C0"/>
    <w:rsid w:val="00D102C2"/>
    <w:rsid w:val="00D11189"/>
    <w:rsid w:val="00D13BA6"/>
    <w:rsid w:val="00D14BEF"/>
    <w:rsid w:val="00D15B75"/>
    <w:rsid w:val="00D16ADE"/>
    <w:rsid w:val="00D20C93"/>
    <w:rsid w:val="00D21428"/>
    <w:rsid w:val="00D21D03"/>
    <w:rsid w:val="00D22FC3"/>
    <w:rsid w:val="00D23F37"/>
    <w:rsid w:val="00D25059"/>
    <w:rsid w:val="00D251D5"/>
    <w:rsid w:val="00D25605"/>
    <w:rsid w:val="00D26256"/>
    <w:rsid w:val="00D26652"/>
    <w:rsid w:val="00D26FEC"/>
    <w:rsid w:val="00D2776F"/>
    <w:rsid w:val="00D31F0A"/>
    <w:rsid w:val="00D3240E"/>
    <w:rsid w:val="00D349F8"/>
    <w:rsid w:val="00D3623E"/>
    <w:rsid w:val="00D44629"/>
    <w:rsid w:val="00D458BB"/>
    <w:rsid w:val="00D46BBC"/>
    <w:rsid w:val="00D475EC"/>
    <w:rsid w:val="00D477BB"/>
    <w:rsid w:val="00D477DA"/>
    <w:rsid w:val="00D52C66"/>
    <w:rsid w:val="00D54B1A"/>
    <w:rsid w:val="00D54E76"/>
    <w:rsid w:val="00D5731D"/>
    <w:rsid w:val="00D600EE"/>
    <w:rsid w:val="00D60300"/>
    <w:rsid w:val="00D60511"/>
    <w:rsid w:val="00D61667"/>
    <w:rsid w:val="00D620D2"/>
    <w:rsid w:val="00D631A5"/>
    <w:rsid w:val="00D63664"/>
    <w:rsid w:val="00D648AF"/>
    <w:rsid w:val="00D64DF4"/>
    <w:rsid w:val="00D67416"/>
    <w:rsid w:val="00D676BF"/>
    <w:rsid w:val="00D70110"/>
    <w:rsid w:val="00D710BC"/>
    <w:rsid w:val="00D72F6D"/>
    <w:rsid w:val="00D771D5"/>
    <w:rsid w:val="00D77929"/>
    <w:rsid w:val="00D77D9E"/>
    <w:rsid w:val="00D81FD5"/>
    <w:rsid w:val="00D8491F"/>
    <w:rsid w:val="00D8576A"/>
    <w:rsid w:val="00D869F2"/>
    <w:rsid w:val="00D8739B"/>
    <w:rsid w:val="00D8764E"/>
    <w:rsid w:val="00D87C17"/>
    <w:rsid w:val="00D90404"/>
    <w:rsid w:val="00D9116F"/>
    <w:rsid w:val="00D91913"/>
    <w:rsid w:val="00D92765"/>
    <w:rsid w:val="00D92B49"/>
    <w:rsid w:val="00D92F48"/>
    <w:rsid w:val="00D92FB7"/>
    <w:rsid w:val="00D936BB"/>
    <w:rsid w:val="00D94003"/>
    <w:rsid w:val="00D94DE1"/>
    <w:rsid w:val="00D95D6B"/>
    <w:rsid w:val="00D963E6"/>
    <w:rsid w:val="00D96890"/>
    <w:rsid w:val="00DA2F8A"/>
    <w:rsid w:val="00DA3073"/>
    <w:rsid w:val="00DA350B"/>
    <w:rsid w:val="00DA48AF"/>
    <w:rsid w:val="00DA5D48"/>
    <w:rsid w:val="00DA69C8"/>
    <w:rsid w:val="00DA6EE7"/>
    <w:rsid w:val="00DA75A8"/>
    <w:rsid w:val="00DB0C07"/>
    <w:rsid w:val="00DB1503"/>
    <w:rsid w:val="00DB1DED"/>
    <w:rsid w:val="00DB2229"/>
    <w:rsid w:val="00DB2D25"/>
    <w:rsid w:val="00DB69EB"/>
    <w:rsid w:val="00DB7965"/>
    <w:rsid w:val="00DB7AE4"/>
    <w:rsid w:val="00DC01CC"/>
    <w:rsid w:val="00DC0E2C"/>
    <w:rsid w:val="00DC1541"/>
    <w:rsid w:val="00DC2605"/>
    <w:rsid w:val="00DC39E9"/>
    <w:rsid w:val="00DC3B30"/>
    <w:rsid w:val="00DC43EF"/>
    <w:rsid w:val="00DC4923"/>
    <w:rsid w:val="00DC4CB8"/>
    <w:rsid w:val="00DC4F20"/>
    <w:rsid w:val="00DC5161"/>
    <w:rsid w:val="00DC5514"/>
    <w:rsid w:val="00DC5A61"/>
    <w:rsid w:val="00DC7A56"/>
    <w:rsid w:val="00DD0D36"/>
    <w:rsid w:val="00DD150E"/>
    <w:rsid w:val="00DD2728"/>
    <w:rsid w:val="00DD2A0D"/>
    <w:rsid w:val="00DD3D8D"/>
    <w:rsid w:val="00DD3E3B"/>
    <w:rsid w:val="00DD4919"/>
    <w:rsid w:val="00DD51C9"/>
    <w:rsid w:val="00DD78E6"/>
    <w:rsid w:val="00DE1B95"/>
    <w:rsid w:val="00DE46B7"/>
    <w:rsid w:val="00DE5291"/>
    <w:rsid w:val="00DE6F63"/>
    <w:rsid w:val="00DE72D4"/>
    <w:rsid w:val="00DF0A5E"/>
    <w:rsid w:val="00DF1276"/>
    <w:rsid w:val="00DF17A0"/>
    <w:rsid w:val="00DF213A"/>
    <w:rsid w:val="00DF4E09"/>
    <w:rsid w:val="00DF5C6A"/>
    <w:rsid w:val="00DF6012"/>
    <w:rsid w:val="00DF6135"/>
    <w:rsid w:val="00DF6D5F"/>
    <w:rsid w:val="00DF7C50"/>
    <w:rsid w:val="00DF7D7D"/>
    <w:rsid w:val="00E0052D"/>
    <w:rsid w:val="00E025C2"/>
    <w:rsid w:val="00E0297E"/>
    <w:rsid w:val="00E02B25"/>
    <w:rsid w:val="00E03D65"/>
    <w:rsid w:val="00E05040"/>
    <w:rsid w:val="00E06C3A"/>
    <w:rsid w:val="00E06DEB"/>
    <w:rsid w:val="00E070D6"/>
    <w:rsid w:val="00E079E4"/>
    <w:rsid w:val="00E07A6B"/>
    <w:rsid w:val="00E10AE2"/>
    <w:rsid w:val="00E12678"/>
    <w:rsid w:val="00E1327C"/>
    <w:rsid w:val="00E13BB1"/>
    <w:rsid w:val="00E13CD4"/>
    <w:rsid w:val="00E13CF1"/>
    <w:rsid w:val="00E14DD9"/>
    <w:rsid w:val="00E17018"/>
    <w:rsid w:val="00E17206"/>
    <w:rsid w:val="00E17FC8"/>
    <w:rsid w:val="00E22FA1"/>
    <w:rsid w:val="00E2477B"/>
    <w:rsid w:val="00E261DF"/>
    <w:rsid w:val="00E267A1"/>
    <w:rsid w:val="00E30D3A"/>
    <w:rsid w:val="00E31002"/>
    <w:rsid w:val="00E3381C"/>
    <w:rsid w:val="00E341B9"/>
    <w:rsid w:val="00E345A2"/>
    <w:rsid w:val="00E34B3A"/>
    <w:rsid w:val="00E35387"/>
    <w:rsid w:val="00E357C2"/>
    <w:rsid w:val="00E35B18"/>
    <w:rsid w:val="00E35EC4"/>
    <w:rsid w:val="00E369A2"/>
    <w:rsid w:val="00E402F2"/>
    <w:rsid w:val="00E41603"/>
    <w:rsid w:val="00E42B51"/>
    <w:rsid w:val="00E4628C"/>
    <w:rsid w:val="00E4651B"/>
    <w:rsid w:val="00E46D4D"/>
    <w:rsid w:val="00E47727"/>
    <w:rsid w:val="00E47990"/>
    <w:rsid w:val="00E50303"/>
    <w:rsid w:val="00E50668"/>
    <w:rsid w:val="00E507AC"/>
    <w:rsid w:val="00E522C2"/>
    <w:rsid w:val="00E55EA0"/>
    <w:rsid w:val="00E563CC"/>
    <w:rsid w:val="00E566E8"/>
    <w:rsid w:val="00E600DA"/>
    <w:rsid w:val="00E6019C"/>
    <w:rsid w:val="00E614F9"/>
    <w:rsid w:val="00E638F4"/>
    <w:rsid w:val="00E647D8"/>
    <w:rsid w:val="00E65289"/>
    <w:rsid w:val="00E67614"/>
    <w:rsid w:val="00E6783A"/>
    <w:rsid w:val="00E710A6"/>
    <w:rsid w:val="00E71D8C"/>
    <w:rsid w:val="00E72D55"/>
    <w:rsid w:val="00E72E67"/>
    <w:rsid w:val="00E75490"/>
    <w:rsid w:val="00E77966"/>
    <w:rsid w:val="00E80090"/>
    <w:rsid w:val="00E83372"/>
    <w:rsid w:val="00E84687"/>
    <w:rsid w:val="00E859C9"/>
    <w:rsid w:val="00E864C4"/>
    <w:rsid w:val="00E87948"/>
    <w:rsid w:val="00E9026C"/>
    <w:rsid w:val="00E905A4"/>
    <w:rsid w:val="00E90DBE"/>
    <w:rsid w:val="00E91CD9"/>
    <w:rsid w:val="00E97948"/>
    <w:rsid w:val="00EA3B2C"/>
    <w:rsid w:val="00EA44C0"/>
    <w:rsid w:val="00EA4A91"/>
    <w:rsid w:val="00EA4FE2"/>
    <w:rsid w:val="00EA57A4"/>
    <w:rsid w:val="00EB283E"/>
    <w:rsid w:val="00EB2922"/>
    <w:rsid w:val="00EB3259"/>
    <w:rsid w:val="00EB43F3"/>
    <w:rsid w:val="00EB4F9A"/>
    <w:rsid w:val="00EC2485"/>
    <w:rsid w:val="00EC456D"/>
    <w:rsid w:val="00EC4D47"/>
    <w:rsid w:val="00EC7595"/>
    <w:rsid w:val="00EC7728"/>
    <w:rsid w:val="00ED049B"/>
    <w:rsid w:val="00ED0BCD"/>
    <w:rsid w:val="00ED10F2"/>
    <w:rsid w:val="00ED1FBC"/>
    <w:rsid w:val="00ED2615"/>
    <w:rsid w:val="00ED2BB9"/>
    <w:rsid w:val="00ED40B9"/>
    <w:rsid w:val="00ED448F"/>
    <w:rsid w:val="00ED4F1E"/>
    <w:rsid w:val="00ED5D8A"/>
    <w:rsid w:val="00ED5EA4"/>
    <w:rsid w:val="00EE05EE"/>
    <w:rsid w:val="00EE0ABC"/>
    <w:rsid w:val="00EE2D46"/>
    <w:rsid w:val="00EE3090"/>
    <w:rsid w:val="00EE436E"/>
    <w:rsid w:val="00EE4E72"/>
    <w:rsid w:val="00EE5C8F"/>
    <w:rsid w:val="00EE6258"/>
    <w:rsid w:val="00EE6A2B"/>
    <w:rsid w:val="00EE6D00"/>
    <w:rsid w:val="00EE6D79"/>
    <w:rsid w:val="00EE73F0"/>
    <w:rsid w:val="00EE7BC7"/>
    <w:rsid w:val="00EF2E17"/>
    <w:rsid w:val="00EF513D"/>
    <w:rsid w:val="00EF5BA0"/>
    <w:rsid w:val="00F009B4"/>
    <w:rsid w:val="00F00F40"/>
    <w:rsid w:val="00F026EA"/>
    <w:rsid w:val="00F04031"/>
    <w:rsid w:val="00F05DD8"/>
    <w:rsid w:val="00F07B07"/>
    <w:rsid w:val="00F10034"/>
    <w:rsid w:val="00F101A7"/>
    <w:rsid w:val="00F10B00"/>
    <w:rsid w:val="00F11011"/>
    <w:rsid w:val="00F152AA"/>
    <w:rsid w:val="00F2290C"/>
    <w:rsid w:val="00F23C87"/>
    <w:rsid w:val="00F240FE"/>
    <w:rsid w:val="00F257D3"/>
    <w:rsid w:val="00F25A8D"/>
    <w:rsid w:val="00F30074"/>
    <w:rsid w:val="00F309D0"/>
    <w:rsid w:val="00F30ECB"/>
    <w:rsid w:val="00F30EEE"/>
    <w:rsid w:val="00F30F7B"/>
    <w:rsid w:val="00F31443"/>
    <w:rsid w:val="00F31D90"/>
    <w:rsid w:val="00F32CF8"/>
    <w:rsid w:val="00F331D5"/>
    <w:rsid w:val="00F33E21"/>
    <w:rsid w:val="00F3533C"/>
    <w:rsid w:val="00F363D7"/>
    <w:rsid w:val="00F364D9"/>
    <w:rsid w:val="00F3794A"/>
    <w:rsid w:val="00F37ABB"/>
    <w:rsid w:val="00F37B1A"/>
    <w:rsid w:val="00F37FDA"/>
    <w:rsid w:val="00F4033C"/>
    <w:rsid w:val="00F41849"/>
    <w:rsid w:val="00F41C97"/>
    <w:rsid w:val="00F41DFC"/>
    <w:rsid w:val="00F42590"/>
    <w:rsid w:val="00F43283"/>
    <w:rsid w:val="00F43535"/>
    <w:rsid w:val="00F446A0"/>
    <w:rsid w:val="00F45541"/>
    <w:rsid w:val="00F45FD8"/>
    <w:rsid w:val="00F465E4"/>
    <w:rsid w:val="00F47AF5"/>
    <w:rsid w:val="00F5036B"/>
    <w:rsid w:val="00F5066C"/>
    <w:rsid w:val="00F5349B"/>
    <w:rsid w:val="00F54C0B"/>
    <w:rsid w:val="00F557CF"/>
    <w:rsid w:val="00F56DC4"/>
    <w:rsid w:val="00F57517"/>
    <w:rsid w:val="00F65027"/>
    <w:rsid w:val="00F65AC3"/>
    <w:rsid w:val="00F7414C"/>
    <w:rsid w:val="00F741C7"/>
    <w:rsid w:val="00F753A8"/>
    <w:rsid w:val="00F76361"/>
    <w:rsid w:val="00F80781"/>
    <w:rsid w:val="00F81229"/>
    <w:rsid w:val="00F81A23"/>
    <w:rsid w:val="00F82C6E"/>
    <w:rsid w:val="00F83780"/>
    <w:rsid w:val="00F8463D"/>
    <w:rsid w:val="00F84FA7"/>
    <w:rsid w:val="00F85263"/>
    <w:rsid w:val="00F85B3B"/>
    <w:rsid w:val="00F8717D"/>
    <w:rsid w:val="00F87466"/>
    <w:rsid w:val="00F87AC2"/>
    <w:rsid w:val="00F90876"/>
    <w:rsid w:val="00F9271E"/>
    <w:rsid w:val="00F92E06"/>
    <w:rsid w:val="00F93C3D"/>
    <w:rsid w:val="00F946BC"/>
    <w:rsid w:val="00F94744"/>
    <w:rsid w:val="00F9482F"/>
    <w:rsid w:val="00F9552B"/>
    <w:rsid w:val="00F96409"/>
    <w:rsid w:val="00F972EA"/>
    <w:rsid w:val="00FA071D"/>
    <w:rsid w:val="00FA1617"/>
    <w:rsid w:val="00FA26AA"/>
    <w:rsid w:val="00FA4527"/>
    <w:rsid w:val="00FA47A0"/>
    <w:rsid w:val="00FA4800"/>
    <w:rsid w:val="00FA4D3A"/>
    <w:rsid w:val="00FA5085"/>
    <w:rsid w:val="00FA5620"/>
    <w:rsid w:val="00FA59CC"/>
    <w:rsid w:val="00FA6AA5"/>
    <w:rsid w:val="00FA73F3"/>
    <w:rsid w:val="00FA76F5"/>
    <w:rsid w:val="00FA7DF3"/>
    <w:rsid w:val="00FB089D"/>
    <w:rsid w:val="00FB1665"/>
    <w:rsid w:val="00FB1D20"/>
    <w:rsid w:val="00FB1D2C"/>
    <w:rsid w:val="00FB2456"/>
    <w:rsid w:val="00FB2DD0"/>
    <w:rsid w:val="00FB36B2"/>
    <w:rsid w:val="00FB5416"/>
    <w:rsid w:val="00FB57B1"/>
    <w:rsid w:val="00FB5E61"/>
    <w:rsid w:val="00FB7C32"/>
    <w:rsid w:val="00FB7EBE"/>
    <w:rsid w:val="00FC2674"/>
    <w:rsid w:val="00FC399E"/>
    <w:rsid w:val="00FC42A9"/>
    <w:rsid w:val="00FC488F"/>
    <w:rsid w:val="00FC4D07"/>
    <w:rsid w:val="00FC53E4"/>
    <w:rsid w:val="00FC6379"/>
    <w:rsid w:val="00FD0100"/>
    <w:rsid w:val="00FD02B8"/>
    <w:rsid w:val="00FD0D4B"/>
    <w:rsid w:val="00FD0E48"/>
    <w:rsid w:val="00FD1375"/>
    <w:rsid w:val="00FD1A52"/>
    <w:rsid w:val="00FD3D74"/>
    <w:rsid w:val="00FD4091"/>
    <w:rsid w:val="00FD46C2"/>
    <w:rsid w:val="00FD4AD3"/>
    <w:rsid w:val="00FD667D"/>
    <w:rsid w:val="00FD6954"/>
    <w:rsid w:val="00FD6D39"/>
    <w:rsid w:val="00FD7889"/>
    <w:rsid w:val="00FD7FAC"/>
    <w:rsid w:val="00FE05CA"/>
    <w:rsid w:val="00FE26DA"/>
    <w:rsid w:val="00FE294B"/>
    <w:rsid w:val="00FE4F2D"/>
    <w:rsid w:val="00FE58E0"/>
    <w:rsid w:val="00FE641B"/>
    <w:rsid w:val="00FE6E1F"/>
    <w:rsid w:val="00FE71FB"/>
    <w:rsid w:val="00FF0AC2"/>
    <w:rsid w:val="00FF1788"/>
    <w:rsid w:val="00FF1B7C"/>
    <w:rsid w:val="00FF34FF"/>
    <w:rsid w:val="00FF3C9C"/>
    <w:rsid w:val="00FF438C"/>
    <w:rsid w:val="00FF5953"/>
    <w:rsid w:val="00FF61A1"/>
    <w:rsid w:val="00FF64FD"/>
    <w:rsid w:val="00FF6F1D"/>
    <w:rsid w:val="00FF7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58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AD19E8"/>
    <w:rPr>
      <w:sz w:val="24"/>
      <w:szCs w:val="24"/>
      <w:lang w:eastAsia="ja-JP"/>
    </w:rPr>
  </w:style>
  <w:style w:type="paragraph" w:styleId="Kop1">
    <w:name w:val="heading 1"/>
    <w:basedOn w:val="Standaard"/>
    <w:next w:val="Standaard"/>
    <w:link w:val="Kop1Char"/>
    <w:uiPriority w:val="99"/>
    <w:qFormat/>
    <w:rsid w:val="00195E4B"/>
    <w:pPr>
      <w:keepNext/>
      <w:keepLines/>
      <w:spacing w:before="480" w:line="276" w:lineRule="auto"/>
      <w:outlineLvl w:val="0"/>
    </w:pPr>
    <w:rPr>
      <w:rFonts w:ascii="Cambria" w:hAnsi="Cambria" w:cs="Cambria"/>
      <w:b/>
      <w:bCs/>
      <w:color w:val="365F91"/>
      <w:sz w:val="28"/>
      <w:szCs w:val="28"/>
    </w:rPr>
  </w:style>
  <w:style w:type="paragraph" w:styleId="Kop2">
    <w:name w:val="heading 2"/>
    <w:basedOn w:val="Standaard"/>
    <w:next w:val="Standaard"/>
    <w:link w:val="Kop2Char"/>
    <w:uiPriority w:val="99"/>
    <w:qFormat/>
    <w:rsid w:val="00C855F1"/>
    <w:pPr>
      <w:keepNext/>
      <w:keepLines/>
      <w:spacing w:before="200"/>
      <w:outlineLvl w:val="1"/>
    </w:pPr>
    <w:rPr>
      <w:rFonts w:ascii="Cambria" w:hAnsi="Cambria" w:cs="Cambria"/>
      <w:b/>
      <w:bCs/>
      <w:color w:val="4F81BD"/>
      <w:sz w:val="26"/>
      <w:szCs w:val="26"/>
      <w:lang w:val="nl-NL"/>
    </w:rPr>
  </w:style>
  <w:style w:type="paragraph" w:styleId="Kop3">
    <w:name w:val="heading 3"/>
    <w:basedOn w:val="Standaard"/>
    <w:next w:val="Standaard"/>
    <w:link w:val="Kop3Char"/>
    <w:unhideWhenUsed/>
    <w:qFormat/>
    <w:locked/>
    <w:rsid w:val="00A15AF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195E4B"/>
    <w:rPr>
      <w:rFonts w:ascii="Cambria" w:eastAsia="Times New Roman" w:hAnsi="Cambria" w:cs="Cambria"/>
      <w:b/>
      <w:bCs/>
      <w:color w:val="365F91"/>
      <w:sz w:val="28"/>
      <w:szCs w:val="28"/>
      <w:lang w:val="en-US" w:eastAsia="ja-JP"/>
    </w:rPr>
  </w:style>
  <w:style w:type="character" w:customStyle="1" w:styleId="Kop2Char">
    <w:name w:val="Kop 2 Char"/>
    <w:link w:val="Kop2"/>
    <w:uiPriority w:val="99"/>
    <w:locked/>
    <w:rsid w:val="00C855F1"/>
    <w:rPr>
      <w:rFonts w:ascii="Cambria" w:hAnsi="Cambria" w:cs="Cambria"/>
      <w:b/>
      <w:bCs/>
      <w:color w:val="4F81BD"/>
      <w:sz w:val="26"/>
      <w:szCs w:val="26"/>
      <w:lang w:val="nl-NL" w:eastAsia="ja-JP"/>
    </w:rPr>
  </w:style>
  <w:style w:type="paragraph" w:customStyle="1" w:styleId="Default">
    <w:name w:val="Default"/>
    <w:rsid w:val="00494A96"/>
    <w:pPr>
      <w:autoSpaceDE w:val="0"/>
      <w:autoSpaceDN w:val="0"/>
      <w:adjustRightInd w:val="0"/>
    </w:pPr>
    <w:rPr>
      <w:rFonts w:ascii="Arial" w:hAnsi="Arial" w:cs="Arial"/>
      <w:color w:val="000000"/>
      <w:sz w:val="24"/>
      <w:szCs w:val="24"/>
      <w:lang w:eastAsia="ja-JP"/>
    </w:rPr>
  </w:style>
  <w:style w:type="paragraph" w:styleId="Lijstalinea">
    <w:name w:val="List Paragraph"/>
    <w:basedOn w:val="Standaard"/>
    <w:uiPriority w:val="99"/>
    <w:qFormat/>
    <w:rsid w:val="00090C2F"/>
    <w:pPr>
      <w:spacing w:after="200" w:line="276" w:lineRule="auto"/>
      <w:ind w:left="720"/>
    </w:pPr>
    <w:rPr>
      <w:rFonts w:ascii="Calibri" w:hAnsi="Calibri" w:cs="Calibri"/>
      <w:sz w:val="22"/>
      <w:szCs w:val="22"/>
      <w:lang w:val="nl-NL" w:eastAsia="en-US"/>
    </w:rPr>
  </w:style>
  <w:style w:type="paragraph" w:styleId="Voettekst">
    <w:name w:val="footer"/>
    <w:basedOn w:val="Standaard"/>
    <w:link w:val="VoettekstChar"/>
    <w:uiPriority w:val="99"/>
    <w:rsid w:val="00203401"/>
    <w:pPr>
      <w:tabs>
        <w:tab w:val="center" w:pos="4320"/>
        <w:tab w:val="right" w:pos="8640"/>
      </w:tabs>
    </w:pPr>
  </w:style>
  <w:style w:type="character" w:customStyle="1" w:styleId="VoettekstChar">
    <w:name w:val="Voettekst Char"/>
    <w:link w:val="Voettekst"/>
    <w:uiPriority w:val="99"/>
    <w:semiHidden/>
    <w:rsid w:val="00A37C3F"/>
    <w:rPr>
      <w:sz w:val="24"/>
      <w:szCs w:val="24"/>
      <w:lang w:eastAsia="ja-JP"/>
    </w:rPr>
  </w:style>
  <w:style w:type="character" w:styleId="Paginanummer">
    <w:name w:val="page number"/>
    <w:basedOn w:val="Standaardalinea-lettertype"/>
    <w:uiPriority w:val="99"/>
    <w:rsid w:val="00203401"/>
  </w:style>
  <w:style w:type="paragraph" w:styleId="Koptekst">
    <w:name w:val="header"/>
    <w:basedOn w:val="Standaard"/>
    <w:link w:val="KoptekstChar"/>
    <w:uiPriority w:val="99"/>
    <w:rsid w:val="00203401"/>
    <w:pPr>
      <w:tabs>
        <w:tab w:val="center" w:pos="4320"/>
        <w:tab w:val="right" w:pos="8640"/>
      </w:tabs>
    </w:pPr>
  </w:style>
  <w:style w:type="character" w:customStyle="1" w:styleId="KoptekstChar">
    <w:name w:val="Koptekst Char"/>
    <w:link w:val="Koptekst"/>
    <w:uiPriority w:val="99"/>
    <w:semiHidden/>
    <w:rsid w:val="00A37C3F"/>
    <w:rPr>
      <w:sz w:val="24"/>
      <w:szCs w:val="24"/>
      <w:lang w:eastAsia="ja-JP"/>
    </w:rPr>
  </w:style>
  <w:style w:type="paragraph" w:styleId="Bibliografie">
    <w:name w:val="Bibliography"/>
    <w:basedOn w:val="Standaard"/>
    <w:next w:val="Standaard"/>
    <w:uiPriority w:val="99"/>
    <w:rsid w:val="00195E4B"/>
    <w:pPr>
      <w:spacing w:after="200" w:line="276" w:lineRule="auto"/>
    </w:pPr>
    <w:rPr>
      <w:rFonts w:ascii="Calibri" w:hAnsi="Calibri" w:cs="Calibri"/>
      <w:sz w:val="22"/>
      <w:szCs w:val="22"/>
      <w:lang w:val="en-GB" w:eastAsia="en-US"/>
    </w:rPr>
  </w:style>
  <w:style w:type="paragraph" w:styleId="Kopvaninhoudsopgave">
    <w:name w:val="TOC Heading"/>
    <w:basedOn w:val="Kop1"/>
    <w:next w:val="Standaard"/>
    <w:uiPriority w:val="39"/>
    <w:qFormat/>
    <w:rsid w:val="003D6DB1"/>
    <w:pPr>
      <w:outlineLvl w:val="9"/>
    </w:pPr>
    <w:rPr>
      <w:rFonts w:eastAsia="MS Gothic"/>
    </w:rPr>
  </w:style>
  <w:style w:type="paragraph" w:styleId="Inhopg1">
    <w:name w:val="toc 1"/>
    <w:basedOn w:val="Standaard"/>
    <w:next w:val="Standaard"/>
    <w:autoRedefine/>
    <w:uiPriority w:val="39"/>
    <w:rsid w:val="003D6DB1"/>
  </w:style>
  <w:style w:type="character" w:styleId="Hyperlink">
    <w:name w:val="Hyperlink"/>
    <w:uiPriority w:val="99"/>
    <w:rsid w:val="003D6DB1"/>
    <w:rPr>
      <w:color w:val="0000FF"/>
      <w:u w:val="single"/>
    </w:rPr>
  </w:style>
  <w:style w:type="paragraph" w:styleId="Inhopg2">
    <w:name w:val="toc 2"/>
    <w:basedOn w:val="Standaard"/>
    <w:next w:val="Standaard"/>
    <w:autoRedefine/>
    <w:uiPriority w:val="39"/>
    <w:rsid w:val="003E45DB"/>
    <w:pPr>
      <w:spacing w:after="100"/>
      <w:ind w:left="240"/>
    </w:pPr>
  </w:style>
  <w:style w:type="paragraph" w:styleId="Ballontekst">
    <w:name w:val="Balloon Text"/>
    <w:basedOn w:val="Standaard"/>
    <w:link w:val="BallontekstChar"/>
    <w:uiPriority w:val="99"/>
    <w:semiHidden/>
    <w:rsid w:val="003E45DB"/>
    <w:rPr>
      <w:rFonts w:ascii="Tahoma" w:hAnsi="Tahoma" w:cs="Tahoma"/>
      <w:sz w:val="16"/>
      <w:szCs w:val="16"/>
    </w:rPr>
  </w:style>
  <w:style w:type="character" w:customStyle="1" w:styleId="BallontekstChar">
    <w:name w:val="Ballontekst Char"/>
    <w:link w:val="Ballontekst"/>
    <w:uiPriority w:val="99"/>
    <w:locked/>
    <w:rsid w:val="003E45DB"/>
    <w:rPr>
      <w:rFonts w:ascii="Tahoma" w:hAnsi="Tahoma" w:cs="Tahoma"/>
      <w:sz w:val="16"/>
      <w:szCs w:val="16"/>
      <w:lang w:eastAsia="ja-JP"/>
    </w:rPr>
  </w:style>
  <w:style w:type="paragraph" w:styleId="Bijschrift">
    <w:name w:val="caption"/>
    <w:basedOn w:val="Standaard"/>
    <w:next w:val="Standaard"/>
    <w:uiPriority w:val="99"/>
    <w:qFormat/>
    <w:rsid w:val="00EE7BC7"/>
    <w:rPr>
      <w:b/>
      <w:bCs/>
      <w:sz w:val="20"/>
      <w:szCs w:val="20"/>
    </w:rPr>
  </w:style>
  <w:style w:type="table" w:styleId="Gemiddeldelijst2-accent1">
    <w:name w:val="Medium List 2 Accent 1"/>
    <w:basedOn w:val="Standaardtabel"/>
    <w:uiPriority w:val="99"/>
    <w:rsid w:val="00CD6B6A"/>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raster3-accent5">
    <w:name w:val="Medium Grid 3 Accent 5"/>
    <w:basedOn w:val="Standaardtabel"/>
    <w:uiPriority w:val="99"/>
    <w:rsid w:val="00CD6B6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2-accent4">
    <w:name w:val="Medium Grid 2 Accent 4"/>
    <w:basedOn w:val="Standaardtabel"/>
    <w:uiPriority w:val="99"/>
    <w:rsid w:val="00CD6B6A"/>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leurrijkelijst-accent6">
    <w:name w:val="Colorful List Accent 6"/>
    <w:basedOn w:val="Standaardtabel"/>
    <w:uiPriority w:val="99"/>
    <w:rsid w:val="00CD6B6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Gemiddeldraster3-accent6">
    <w:name w:val="Medium Grid 3 Accent 6"/>
    <w:basedOn w:val="Standaardtabel"/>
    <w:uiPriority w:val="99"/>
    <w:rsid w:val="004650D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Voetnoottekst">
    <w:name w:val="footnote text"/>
    <w:basedOn w:val="Standaard"/>
    <w:link w:val="VoetnoottekstChar"/>
    <w:uiPriority w:val="99"/>
    <w:semiHidden/>
    <w:rsid w:val="0064539B"/>
    <w:rPr>
      <w:sz w:val="20"/>
      <w:szCs w:val="20"/>
    </w:rPr>
  </w:style>
  <w:style w:type="character" w:customStyle="1" w:styleId="VoetnoottekstChar">
    <w:name w:val="Voetnoottekst Char"/>
    <w:link w:val="Voetnoottekst"/>
    <w:uiPriority w:val="99"/>
    <w:locked/>
    <w:rsid w:val="0064539B"/>
    <w:rPr>
      <w:lang w:eastAsia="ja-JP"/>
    </w:rPr>
  </w:style>
  <w:style w:type="character" w:styleId="Voetnootmarkering">
    <w:name w:val="footnote reference"/>
    <w:uiPriority w:val="99"/>
    <w:semiHidden/>
    <w:rsid w:val="0064539B"/>
    <w:rPr>
      <w:vertAlign w:val="superscript"/>
    </w:rPr>
  </w:style>
  <w:style w:type="table" w:styleId="Lichtelijst-accent5">
    <w:name w:val="Light List Accent 5"/>
    <w:basedOn w:val="Standaardtabel"/>
    <w:uiPriority w:val="99"/>
    <w:rsid w:val="004404C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uiPriority w:val="99"/>
    <w:rsid w:val="00E402F2"/>
    <w:pPr>
      <w:numPr>
        <w:numId w:val="21"/>
      </w:numPr>
    </w:pPr>
  </w:style>
  <w:style w:type="character" w:styleId="GevolgdeHyperlink">
    <w:name w:val="FollowedHyperlink"/>
    <w:basedOn w:val="Standaardalinea-lettertype"/>
    <w:uiPriority w:val="99"/>
    <w:semiHidden/>
    <w:unhideWhenUsed/>
    <w:rsid w:val="00360DF9"/>
    <w:rPr>
      <w:color w:val="800080" w:themeColor="followedHyperlink"/>
      <w:u w:val="single"/>
    </w:rPr>
  </w:style>
  <w:style w:type="numbering" w:customStyle="1" w:styleId="Style2">
    <w:name w:val="Style2"/>
    <w:uiPriority w:val="99"/>
    <w:rsid w:val="00963DA7"/>
    <w:pPr>
      <w:numPr>
        <w:numId w:val="24"/>
      </w:numPr>
    </w:pPr>
  </w:style>
  <w:style w:type="character" w:customStyle="1" w:styleId="Kop3Char">
    <w:name w:val="Kop 3 Char"/>
    <w:basedOn w:val="Standaardalinea-lettertype"/>
    <w:link w:val="Kop3"/>
    <w:rsid w:val="00A15AF2"/>
    <w:rPr>
      <w:rFonts w:asciiTheme="majorHAnsi" w:eastAsiaTheme="majorEastAsia" w:hAnsiTheme="majorHAnsi" w:cstheme="majorBidi"/>
      <w:b/>
      <w:bCs/>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ard">
    <w:name w:val="Normal"/>
    <w:qFormat/>
    <w:rsid w:val="00AD19E8"/>
    <w:rPr>
      <w:sz w:val="24"/>
      <w:szCs w:val="24"/>
      <w:lang w:eastAsia="ja-JP"/>
    </w:rPr>
  </w:style>
  <w:style w:type="paragraph" w:styleId="Kop1">
    <w:name w:val="heading 1"/>
    <w:basedOn w:val="Standaard"/>
    <w:next w:val="Standaard"/>
    <w:link w:val="Kop1Char"/>
    <w:uiPriority w:val="99"/>
    <w:qFormat/>
    <w:rsid w:val="00195E4B"/>
    <w:pPr>
      <w:keepNext/>
      <w:keepLines/>
      <w:spacing w:before="480" w:line="276" w:lineRule="auto"/>
      <w:outlineLvl w:val="0"/>
    </w:pPr>
    <w:rPr>
      <w:rFonts w:ascii="Cambria" w:hAnsi="Cambria" w:cs="Cambria"/>
      <w:b/>
      <w:bCs/>
      <w:color w:val="365F91"/>
      <w:sz w:val="28"/>
      <w:szCs w:val="28"/>
    </w:rPr>
  </w:style>
  <w:style w:type="paragraph" w:styleId="Kop2">
    <w:name w:val="heading 2"/>
    <w:basedOn w:val="Standaard"/>
    <w:next w:val="Standaard"/>
    <w:link w:val="Kop2Char"/>
    <w:uiPriority w:val="99"/>
    <w:qFormat/>
    <w:rsid w:val="00C855F1"/>
    <w:pPr>
      <w:keepNext/>
      <w:keepLines/>
      <w:spacing w:before="200"/>
      <w:outlineLvl w:val="1"/>
    </w:pPr>
    <w:rPr>
      <w:rFonts w:ascii="Cambria" w:hAnsi="Cambria" w:cs="Cambria"/>
      <w:b/>
      <w:bCs/>
      <w:color w:val="4F81BD"/>
      <w:sz w:val="26"/>
      <w:szCs w:val="26"/>
      <w:lang w:val="nl-NL"/>
    </w:rPr>
  </w:style>
  <w:style w:type="paragraph" w:styleId="Kop3">
    <w:name w:val="heading 3"/>
    <w:basedOn w:val="Standaard"/>
    <w:next w:val="Standaard"/>
    <w:link w:val="Kop3Char"/>
    <w:unhideWhenUsed/>
    <w:qFormat/>
    <w:locked/>
    <w:rsid w:val="00A15AF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195E4B"/>
    <w:rPr>
      <w:rFonts w:ascii="Cambria" w:eastAsia="Times New Roman" w:hAnsi="Cambria" w:cs="Cambria"/>
      <w:b/>
      <w:bCs/>
      <w:color w:val="365F91"/>
      <w:sz w:val="28"/>
      <w:szCs w:val="28"/>
      <w:lang w:val="en-US" w:eastAsia="ja-JP"/>
    </w:rPr>
  </w:style>
  <w:style w:type="character" w:customStyle="1" w:styleId="Kop2Char">
    <w:name w:val="Kop 2 Char"/>
    <w:link w:val="Kop2"/>
    <w:uiPriority w:val="99"/>
    <w:locked/>
    <w:rsid w:val="00C855F1"/>
    <w:rPr>
      <w:rFonts w:ascii="Cambria" w:hAnsi="Cambria" w:cs="Cambria"/>
      <w:b/>
      <w:bCs/>
      <w:color w:val="4F81BD"/>
      <w:sz w:val="26"/>
      <w:szCs w:val="26"/>
      <w:lang w:val="nl-NL" w:eastAsia="ja-JP"/>
    </w:rPr>
  </w:style>
  <w:style w:type="paragraph" w:customStyle="1" w:styleId="Default">
    <w:name w:val="Default"/>
    <w:rsid w:val="00494A96"/>
    <w:pPr>
      <w:autoSpaceDE w:val="0"/>
      <w:autoSpaceDN w:val="0"/>
      <w:adjustRightInd w:val="0"/>
    </w:pPr>
    <w:rPr>
      <w:rFonts w:ascii="Arial" w:hAnsi="Arial" w:cs="Arial"/>
      <w:color w:val="000000"/>
      <w:sz w:val="24"/>
      <w:szCs w:val="24"/>
      <w:lang w:eastAsia="ja-JP"/>
    </w:rPr>
  </w:style>
  <w:style w:type="paragraph" w:styleId="Lijstalinea">
    <w:name w:val="List Paragraph"/>
    <w:basedOn w:val="Standaard"/>
    <w:uiPriority w:val="99"/>
    <w:qFormat/>
    <w:rsid w:val="00090C2F"/>
    <w:pPr>
      <w:spacing w:after="200" w:line="276" w:lineRule="auto"/>
      <w:ind w:left="720"/>
    </w:pPr>
    <w:rPr>
      <w:rFonts w:ascii="Calibri" w:hAnsi="Calibri" w:cs="Calibri"/>
      <w:sz w:val="22"/>
      <w:szCs w:val="22"/>
      <w:lang w:val="nl-NL" w:eastAsia="en-US"/>
    </w:rPr>
  </w:style>
  <w:style w:type="paragraph" w:styleId="Voettekst">
    <w:name w:val="footer"/>
    <w:basedOn w:val="Standaard"/>
    <w:link w:val="VoettekstChar"/>
    <w:uiPriority w:val="99"/>
    <w:rsid w:val="00203401"/>
    <w:pPr>
      <w:tabs>
        <w:tab w:val="center" w:pos="4320"/>
        <w:tab w:val="right" w:pos="8640"/>
      </w:tabs>
    </w:pPr>
  </w:style>
  <w:style w:type="character" w:customStyle="1" w:styleId="VoettekstChar">
    <w:name w:val="Voettekst Char"/>
    <w:link w:val="Voettekst"/>
    <w:uiPriority w:val="99"/>
    <w:semiHidden/>
    <w:rsid w:val="00A37C3F"/>
    <w:rPr>
      <w:sz w:val="24"/>
      <w:szCs w:val="24"/>
      <w:lang w:eastAsia="ja-JP"/>
    </w:rPr>
  </w:style>
  <w:style w:type="character" w:styleId="Paginanummer">
    <w:name w:val="page number"/>
    <w:basedOn w:val="Standaardalinea-lettertype"/>
    <w:uiPriority w:val="99"/>
    <w:rsid w:val="00203401"/>
  </w:style>
  <w:style w:type="paragraph" w:styleId="Koptekst">
    <w:name w:val="header"/>
    <w:basedOn w:val="Standaard"/>
    <w:link w:val="KoptekstChar"/>
    <w:uiPriority w:val="99"/>
    <w:rsid w:val="00203401"/>
    <w:pPr>
      <w:tabs>
        <w:tab w:val="center" w:pos="4320"/>
        <w:tab w:val="right" w:pos="8640"/>
      </w:tabs>
    </w:pPr>
  </w:style>
  <w:style w:type="character" w:customStyle="1" w:styleId="KoptekstChar">
    <w:name w:val="Koptekst Char"/>
    <w:link w:val="Koptekst"/>
    <w:uiPriority w:val="99"/>
    <w:semiHidden/>
    <w:rsid w:val="00A37C3F"/>
    <w:rPr>
      <w:sz w:val="24"/>
      <w:szCs w:val="24"/>
      <w:lang w:eastAsia="ja-JP"/>
    </w:rPr>
  </w:style>
  <w:style w:type="paragraph" w:styleId="Bibliografie">
    <w:name w:val="Bibliography"/>
    <w:basedOn w:val="Standaard"/>
    <w:next w:val="Standaard"/>
    <w:uiPriority w:val="99"/>
    <w:rsid w:val="00195E4B"/>
    <w:pPr>
      <w:spacing w:after="200" w:line="276" w:lineRule="auto"/>
    </w:pPr>
    <w:rPr>
      <w:rFonts w:ascii="Calibri" w:hAnsi="Calibri" w:cs="Calibri"/>
      <w:sz w:val="22"/>
      <w:szCs w:val="22"/>
      <w:lang w:val="en-GB" w:eastAsia="en-US"/>
    </w:rPr>
  </w:style>
  <w:style w:type="paragraph" w:styleId="Kopvaninhoudsopgave">
    <w:name w:val="TOC Heading"/>
    <w:basedOn w:val="Kop1"/>
    <w:next w:val="Standaard"/>
    <w:uiPriority w:val="39"/>
    <w:qFormat/>
    <w:rsid w:val="003D6DB1"/>
    <w:pPr>
      <w:outlineLvl w:val="9"/>
    </w:pPr>
    <w:rPr>
      <w:rFonts w:eastAsia="MS Gothic"/>
    </w:rPr>
  </w:style>
  <w:style w:type="paragraph" w:styleId="Inhopg1">
    <w:name w:val="toc 1"/>
    <w:basedOn w:val="Standaard"/>
    <w:next w:val="Standaard"/>
    <w:autoRedefine/>
    <w:uiPriority w:val="39"/>
    <w:rsid w:val="003D6DB1"/>
  </w:style>
  <w:style w:type="character" w:styleId="Hyperlink">
    <w:name w:val="Hyperlink"/>
    <w:uiPriority w:val="99"/>
    <w:rsid w:val="003D6DB1"/>
    <w:rPr>
      <w:color w:val="0000FF"/>
      <w:u w:val="single"/>
    </w:rPr>
  </w:style>
  <w:style w:type="paragraph" w:styleId="Inhopg2">
    <w:name w:val="toc 2"/>
    <w:basedOn w:val="Standaard"/>
    <w:next w:val="Standaard"/>
    <w:autoRedefine/>
    <w:uiPriority w:val="39"/>
    <w:rsid w:val="003E45DB"/>
    <w:pPr>
      <w:spacing w:after="100"/>
      <w:ind w:left="240"/>
    </w:pPr>
  </w:style>
  <w:style w:type="paragraph" w:styleId="Ballontekst">
    <w:name w:val="Balloon Text"/>
    <w:basedOn w:val="Standaard"/>
    <w:link w:val="BallontekstChar"/>
    <w:uiPriority w:val="99"/>
    <w:semiHidden/>
    <w:rsid w:val="003E45DB"/>
    <w:rPr>
      <w:rFonts w:ascii="Tahoma" w:hAnsi="Tahoma" w:cs="Tahoma"/>
      <w:sz w:val="16"/>
      <w:szCs w:val="16"/>
    </w:rPr>
  </w:style>
  <w:style w:type="character" w:customStyle="1" w:styleId="BallontekstChar">
    <w:name w:val="Ballontekst Char"/>
    <w:link w:val="Ballontekst"/>
    <w:uiPriority w:val="99"/>
    <w:locked/>
    <w:rsid w:val="003E45DB"/>
    <w:rPr>
      <w:rFonts w:ascii="Tahoma" w:hAnsi="Tahoma" w:cs="Tahoma"/>
      <w:sz w:val="16"/>
      <w:szCs w:val="16"/>
      <w:lang w:eastAsia="ja-JP"/>
    </w:rPr>
  </w:style>
  <w:style w:type="paragraph" w:styleId="Bijschrift">
    <w:name w:val="caption"/>
    <w:basedOn w:val="Standaard"/>
    <w:next w:val="Standaard"/>
    <w:uiPriority w:val="99"/>
    <w:qFormat/>
    <w:rsid w:val="00EE7BC7"/>
    <w:rPr>
      <w:b/>
      <w:bCs/>
      <w:sz w:val="20"/>
      <w:szCs w:val="20"/>
    </w:rPr>
  </w:style>
  <w:style w:type="table" w:styleId="Gemiddeldelijst2-accent1">
    <w:name w:val="Medium List 2 Accent 1"/>
    <w:basedOn w:val="Standaardtabel"/>
    <w:uiPriority w:val="99"/>
    <w:rsid w:val="00CD6B6A"/>
    <w:rPr>
      <w:rFonts w:ascii="Cambria" w:hAnsi="Cambria" w:cs="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Gemiddeldraster3-accent5">
    <w:name w:val="Medium Grid 3 Accent 5"/>
    <w:basedOn w:val="Standaardtabel"/>
    <w:uiPriority w:val="99"/>
    <w:rsid w:val="00CD6B6A"/>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emiddeldraster2-accent4">
    <w:name w:val="Medium Grid 2 Accent 4"/>
    <w:basedOn w:val="Standaardtabel"/>
    <w:uiPriority w:val="99"/>
    <w:rsid w:val="00CD6B6A"/>
    <w:rPr>
      <w:rFonts w:ascii="Cambria" w:hAnsi="Cambria" w:cs="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leurrijkelijst-accent6">
    <w:name w:val="Colorful List Accent 6"/>
    <w:basedOn w:val="Standaardtabel"/>
    <w:uiPriority w:val="99"/>
    <w:rsid w:val="00CD6B6A"/>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Gemiddeldraster3-accent6">
    <w:name w:val="Medium Grid 3 Accent 6"/>
    <w:basedOn w:val="Standaardtabel"/>
    <w:uiPriority w:val="99"/>
    <w:rsid w:val="004650D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Voetnoottekst">
    <w:name w:val="footnote text"/>
    <w:basedOn w:val="Standaard"/>
    <w:link w:val="VoetnoottekstChar"/>
    <w:uiPriority w:val="99"/>
    <w:semiHidden/>
    <w:rsid w:val="0064539B"/>
    <w:rPr>
      <w:sz w:val="20"/>
      <w:szCs w:val="20"/>
    </w:rPr>
  </w:style>
  <w:style w:type="character" w:customStyle="1" w:styleId="VoetnoottekstChar">
    <w:name w:val="Voetnoottekst Char"/>
    <w:link w:val="Voetnoottekst"/>
    <w:uiPriority w:val="99"/>
    <w:locked/>
    <w:rsid w:val="0064539B"/>
    <w:rPr>
      <w:lang w:eastAsia="ja-JP"/>
    </w:rPr>
  </w:style>
  <w:style w:type="character" w:styleId="Voetnootmarkering">
    <w:name w:val="footnote reference"/>
    <w:uiPriority w:val="99"/>
    <w:semiHidden/>
    <w:rsid w:val="0064539B"/>
    <w:rPr>
      <w:vertAlign w:val="superscript"/>
    </w:rPr>
  </w:style>
  <w:style w:type="table" w:styleId="Lichtelijst-accent5">
    <w:name w:val="Light List Accent 5"/>
    <w:basedOn w:val="Standaardtabel"/>
    <w:uiPriority w:val="99"/>
    <w:rsid w:val="004404C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Style1">
    <w:name w:val="Style1"/>
    <w:uiPriority w:val="99"/>
    <w:rsid w:val="00E402F2"/>
    <w:pPr>
      <w:numPr>
        <w:numId w:val="21"/>
      </w:numPr>
    </w:pPr>
  </w:style>
  <w:style w:type="character" w:styleId="GevolgdeHyperlink">
    <w:name w:val="FollowedHyperlink"/>
    <w:basedOn w:val="Standaardalinea-lettertype"/>
    <w:uiPriority w:val="99"/>
    <w:semiHidden/>
    <w:unhideWhenUsed/>
    <w:rsid w:val="00360DF9"/>
    <w:rPr>
      <w:color w:val="800080" w:themeColor="followedHyperlink"/>
      <w:u w:val="single"/>
    </w:rPr>
  </w:style>
  <w:style w:type="numbering" w:customStyle="1" w:styleId="Style2">
    <w:name w:val="Style2"/>
    <w:uiPriority w:val="99"/>
    <w:rsid w:val="00963DA7"/>
    <w:pPr>
      <w:numPr>
        <w:numId w:val="24"/>
      </w:numPr>
    </w:pPr>
  </w:style>
  <w:style w:type="character" w:customStyle="1" w:styleId="Kop3Char">
    <w:name w:val="Kop 3 Char"/>
    <w:basedOn w:val="Standaardalinea-lettertype"/>
    <w:link w:val="Kop3"/>
    <w:rsid w:val="00A15AF2"/>
    <w:rPr>
      <w:rFonts w:asciiTheme="majorHAnsi" w:eastAsiaTheme="majorEastAsia" w:hAnsiTheme="majorHAnsi" w:cstheme="majorBidi"/>
      <w:b/>
      <w:bCs/>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3721">
      <w:bodyDiv w:val="1"/>
      <w:marLeft w:val="0"/>
      <w:marRight w:val="0"/>
      <w:marTop w:val="0"/>
      <w:marBottom w:val="0"/>
      <w:divBdr>
        <w:top w:val="none" w:sz="0" w:space="0" w:color="auto"/>
        <w:left w:val="none" w:sz="0" w:space="0" w:color="auto"/>
        <w:bottom w:val="none" w:sz="0" w:space="0" w:color="auto"/>
        <w:right w:val="none" w:sz="0" w:space="0" w:color="auto"/>
      </w:divBdr>
      <w:divsChild>
        <w:div w:id="1165392357">
          <w:marLeft w:val="720"/>
          <w:marRight w:val="0"/>
          <w:marTop w:val="168"/>
          <w:marBottom w:val="0"/>
          <w:divBdr>
            <w:top w:val="none" w:sz="0" w:space="0" w:color="auto"/>
            <w:left w:val="none" w:sz="0" w:space="0" w:color="auto"/>
            <w:bottom w:val="none" w:sz="0" w:space="0" w:color="auto"/>
            <w:right w:val="none" w:sz="0" w:space="0" w:color="auto"/>
          </w:divBdr>
        </w:div>
      </w:divsChild>
    </w:div>
    <w:div w:id="403798811">
      <w:bodyDiv w:val="1"/>
      <w:marLeft w:val="0"/>
      <w:marRight w:val="0"/>
      <w:marTop w:val="0"/>
      <w:marBottom w:val="0"/>
      <w:divBdr>
        <w:top w:val="none" w:sz="0" w:space="0" w:color="auto"/>
        <w:left w:val="none" w:sz="0" w:space="0" w:color="auto"/>
        <w:bottom w:val="none" w:sz="0" w:space="0" w:color="auto"/>
        <w:right w:val="none" w:sz="0" w:space="0" w:color="auto"/>
      </w:divBdr>
    </w:div>
    <w:div w:id="669865758">
      <w:bodyDiv w:val="1"/>
      <w:marLeft w:val="0"/>
      <w:marRight w:val="0"/>
      <w:marTop w:val="0"/>
      <w:marBottom w:val="0"/>
      <w:divBdr>
        <w:top w:val="none" w:sz="0" w:space="0" w:color="auto"/>
        <w:left w:val="none" w:sz="0" w:space="0" w:color="auto"/>
        <w:bottom w:val="none" w:sz="0" w:space="0" w:color="auto"/>
        <w:right w:val="none" w:sz="0" w:space="0" w:color="auto"/>
      </w:divBdr>
    </w:div>
    <w:div w:id="720441336">
      <w:bodyDiv w:val="1"/>
      <w:marLeft w:val="0"/>
      <w:marRight w:val="0"/>
      <w:marTop w:val="0"/>
      <w:marBottom w:val="0"/>
      <w:divBdr>
        <w:top w:val="none" w:sz="0" w:space="0" w:color="auto"/>
        <w:left w:val="none" w:sz="0" w:space="0" w:color="auto"/>
        <w:bottom w:val="none" w:sz="0" w:space="0" w:color="auto"/>
        <w:right w:val="none" w:sz="0" w:space="0" w:color="auto"/>
      </w:divBdr>
    </w:div>
    <w:div w:id="941761353">
      <w:bodyDiv w:val="1"/>
      <w:marLeft w:val="0"/>
      <w:marRight w:val="0"/>
      <w:marTop w:val="0"/>
      <w:marBottom w:val="0"/>
      <w:divBdr>
        <w:top w:val="none" w:sz="0" w:space="0" w:color="auto"/>
        <w:left w:val="none" w:sz="0" w:space="0" w:color="auto"/>
        <w:bottom w:val="none" w:sz="0" w:space="0" w:color="auto"/>
        <w:right w:val="none" w:sz="0" w:space="0" w:color="auto"/>
      </w:divBdr>
    </w:div>
    <w:div w:id="991715275">
      <w:bodyDiv w:val="1"/>
      <w:marLeft w:val="0"/>
      <w:marRight w:val="0"/>
      <w:marTop w:val="0"/>
      <w:marBottom w:val="0"/>
      <w:divBdr>
        <w:top w:val="none" w:sz="0" w:space="0" w:color="auto"/>
        <w:left w:val="none" w:sz="0" w:space="0" w:color="auto"/>
        <w:bottom w:val="none" w:sz="0" w:space="0" w:color="auto"/>
        <w:right w:val="none" w:sz="0" w:space="0" w:color="auto"/>
      </w:divBdr>
    </w:div>
    <w:div w:id="1159082393">
      <w:bodyDiv w:val="1"/>
      <w:marLeft w:val="0"/>
      <w:marRight w:val="0"/>
      <w:marTop w:val="0"/>
      <w:marBottom w:val="0"/>
      <w:divBdr>
        <w:top w:val="none" w:sz="0" w:space="0" w:color="auto"/>
        <w:left w:val="none" w:sz="0" w:space="0" w:color="auto"/>
        <w:bottom w:val="none" w:sz="0" w:space="0" w:color="auto"/>
        <w:right w:val="none" w:sz="0" w:space="0" w:color="auto"/>
      </w:divBdr>
    </w:div>
    <w:div w:id="1285042749">
      <w:marLeft w:val="0"/>
      <w:marRight w:val="0"/>
      <w:marTop w:val="0"/>
      <w:marBottom w:val="0"/>
      <w:divBdr>
        <w:top w:val="none" w:sz="0" w:space="0" w:color="auto"/>
        <w:left w:val="none" w:sz="0" w:space="0" w:color="auto"/>
        <w:bottom w:val="none" w:sz="0" w:space="0" w:color="auto"/>
        <w:right w:val="none" w:sz="0" w:space="0" w:color="auto"/>
      </w:divBdr>
    </w:div>
    <w:div w:id="1285042750">
      <w:marLeft w:val="0"/>
      <w:marRight w:val="0"/>
      <w:marTop w:val="0"/>
      <w:marBottom w:val="0"/>
      <w:divBdr>
        <w:top w:val="none" w:sz="0" w:space="0" w:color="auto"/>
        <w:left w:val="none" w:sz="0" w:space="0" w:color="auto"/>
        <w:bottom w:val="none" w:sz="0" w:space="0" w:color="auto"/>
        <w:right w:val="none" w:sz="0" w:space="0" w:color="auto"/>
      </w:divBdr>
    </w:div>
    <w:div w:id="1285042751">
      <w:marLeft w:val="0"/>
      <w:marRight w:val="0"/>
      <w:marTop w:val="0"/>
      <w:marBottom w:val="0"/>
      <w:divBdr>
        <w:top w:val="none" w:sz="0" w:space="0" w:color="auto"/>
        <w:left w:val="none" w:sz="0" w:space="0" w:color="auto"/>
        <w:bottom w:val="none" w:sz="0" w:space="0" w:color="auto"/>
        <w:right w:val="none" w:sz="0" w:space="0" w:color="auto"/>
      </w:divBdr>
    </w:div>
    <w:div w:id="1604655546">
      <w:bodyDiv w:val="1"/>
      <w:marLeft w:val="0"/>
      <w:marRight w:val="0"/>
      <w:marTop w:val="0"/>
      <w:marBottom w:val="0"/>
      <w:divBdr>
        <w:top w:val="none" w:sz="0" w:space="0" w:color="auto"/>
        <w:left w:val="none" w:sz="0" w:space="0" w:color="auto"/>
        <w:bottom w:val="none" w:sz="0" w:space="0" w:color="auto"/>
        <w:right w:val="none" w:sz="0" w:space="0" w:color="auto"/>
      </w:divBdr>
    </w:div>
    <w:div w:id="1743520598">
      <w:bodyDiv w:val="1"/>
      <w:marLeft w:val="0"/>
      <w:marRight w:val="0"/>
      <w:marTop w:val="0"/>
      <w:marBottom w:val="0"/>
      <w:divBdr>
        <w:top w:val="none" w:sz="0" w:space="0" w:color="auto"/>
        <w:left w:val="none" w:sz="0" w:space="0" w:color="auto"/>
        <w:bottom w:val="none" w:sz="0" w:space="0" w:color="auto"/>
        <w:right w:val="none" w:sz="0" w:space="0" w:color="auto"/>
      </w:divBdr>
    </w:div>
    <w:div w:id="1837377138">
      <w:bodyDiv w:val="1"/>
      <w:marLeft w:val="0"/>
      <w:marRight w:val="0"/>
      <w:marTop w:val="0"/>
      <w:marBottom w:val="0"/>
      <w:divBdr>
        <w:top w:val="none" w:sz="0" w:space="0" w:color="auto"/>
        <w:left w:val="none" w:sz="0" w:space="0" w:color="auto"/>
        <w:bottom w:val="none" w:sz="0" w:space="0" w:color="auto"/>
        <w:right w:val="none" w:sz="0" w:space="0" w:color="auto"/>
      </w:divBdr>
    </w:div>
    <w:div w:id="1872641834">
      <w:bodyDiv w:val="1"/>
      <w:marLeft w:val="0"/>
      <w:marRight w:val="0"/>
      <w:marTop w:val="0"/>
      <w:marBottom w:val="0"/>
      <w:divBdr>
        <w:top w:val="none" w:sz="0" w:space="0" w:color="auto"/>
        <w:left w:val="none" w:sz="0" w:space="0" w:color="auto"/>
        <w:bottom w:val="none" w:sz="0" w:space="0" w:color="auto"/>
        <w:right w:val="none" w:sz="0" w:space="0" w:color="auto"/>
      </w:divBdr>
      <w:divsChild>
        <w:div w:id="699359627">
          <w:marLeft w:val="547"/>
          <w:marRight w:val="0"/>
          <w:marTop w:val="144"/>
          <w:marBottom w:val="0"/>
          <w:divBdr>
            <w:top w:val="none" w:sz="0" w:space="0" w:color="auto"/>
            <w:left w:val="none" w:sz="0" w:space="0" w:color="auto"/>
            <w:bottom w:val="none" w:sz="0" w:space="0" w:color="auto"/>
            <w:right w:val="none" w:sz="0" w:space="0" w:color="auto"/>
          </w:divBdr>
        </w:div>
        <w:div w:id="1110198937">
          <w:marLeft w:val="547"/>
          <w:marRight w:val="0"/>
          <w:marTop w:val="144"/>
          <w:marBottom w:val="0"/>
          <w:divBdr>
            <w:top w:val="none" w:sz="0" w:space="0" w:color="auto"/>
            <w:left w:val="none" w:sz="0" w:space="0" w:color="auto"/>
            <w:bottom w:val="none" w:sz="0" w:space="0" w:color="auto"/>
            <w:right w:val="none" w:sz="0" w:space="0" w:color="auto"/>
          </w:divBdr>
        </w:div>
      </w:divsChild>
    </w:div>
    <w:div w:id="209951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oanda.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PAC89</b:Tag>
    <b:SourceType>Book</b:SourceType>
    <b:Guid>{139F57A8-AA08-45B5-8E9E-936455777F69}</b:Guid>
    <b:Author>
      <b:Author>
        <b:NameList>
          <b:Person>
            <b:Last>Collier</b:Last>
            <b:First>P.A.</b:First>
          </b:Person>
          <b:Person>
            <b:Last>Cooke</b:Last>
            <b:First>T.E.</b:First>
          </b:Person>
          <b:Person>
            <b:Last>Glynn</b:Last>
            <b:First>J.J.</b:First>
          </b:Person>
        </b:NameList>
      </b:Author>
    </b:Author>
    <b:Title>Financial and Treasury Management</b:Title>
    <b:Year>1989</b:Year>
    <b:City>Oxford</b:City>
    <b:Publisher>Heinemann Professional Publishing Ltd.</b:Publisher>
    <b:RefOrder>6</b:RefOrder>
  </b:Source>
  <b:Source>
    <b:Tag>Uni09</b:Tag>
    <b:SourceType>JournalArticle</b:SourceType>
    <b:Guid>{7DAFE6F0-5550-4281-B65B-F4330541842F}</b:Guid>
    <b:Title>UniCredit makes breakthrough in CEE liquidity management</b:Title>
    <b:JournalName>Euromoney</b:JournalName>
    <b:Year>2009</b:Year>
    <b:Pages>26-29</b:Pages>
    <b:Author>
      <b:Author>
        <b:Corporate>Euromoney</b:Corporate>
      </b:Author>
    </b:Author>
    <b:RefOrder>7</b:RefOrder>
  </b:Source>
  <b:Source>
    <b:Tag>McM12</b:Tag>
    <b:SourceType>JournalArticle</b:SourceType>
    <b:Guid>{03F8851B-9F43-4D75-8E49-2A8703ABFB3A}</b:Guid>
    <b:Title>Dynamic capital structure adjustment: US MNCs &amp; DCs</b:Title>
    <b:Year>2012</b:Year>
    <b:Author>
      <b:Author>
        <b:NameList>
          <b:Person>
            <b:Last>McMillan</b:Last>
            <b:First>D.G.</b:First>
          </b:Person>
          <b:Person>
            <b:Last>Camara</b:Last>
            <b:First>O.</b:First>
          </b:Person>
        </b:NameList>
      </b:Author>
    </b:Author>
    <b:JournalName>Journal of Multinational Financial Management</b:JournalName>
    <b:Pages>278-301</b:Pages>
    <b:Volume>22</b:Volume>
    <b:Issue>5</b:Issue>
    <b:RefOrder>8</b:RefOrder>
  </b:Source>
  <b:Source>
    <b:Tag>Mul01</b:Tag>
    <b:SourceType>JournalArticle</b:SourceType>
    <b:Guid>{B51D847C-B887-4B3A-86E2-83E09B6A274A}</b:Guid>
    <b:Author>
      <b:Author>
        <b:NameList>
          <b:Person>
            <b:Last>Mulligan</b:Last>
            <b:First>Emer</b:First>
          </b:Person>
        </b:NameList>
      </b:Author>
    </b:Author>
    <b:Title>Treasury management organisation: an examination of centralised versus decentralised approaches</b:Title>
    <b:Year>2001</b:Year>
    <b:JournalName>Irish Journal of Management</b:JournalName>
    <b:Pages>7-33</b:Pages>
    <b:Volume>22</b:Volume>
    <b:Issue>1</b:Issue>
    <b:RefOrder>9</b:RefOrder>
  </b:Source>
  <b:Source>
    <b:Tag>Pet10</b:Tag>
    <b:SourceType>Book</b:SourceType>
    <b:Guid>{CFDE7B34-BB94-4298-9D41-5519A0B6EF96}</b:Guid>
    <b:Title>Centralization of Treasury Management</b:Title>
    <b:Year>2010</b:Year>
    <b:Author>
      <b:Author>
        <b:NameList>
          <b:Person>
            <b:Last>Polák</b:Last>
            <b:First>Petr</b:First>
          </b:Person>
          <b:Person>
            <b:Last>Klusáček</b:Last>
            <b:First>Ivan</b:First>
          </b:Person>
        </b:NameList>
      </b:Author>
    </b:Author>
    <b:City>Sumy</b:City>
    <b:Publisher>Business Perspectives</b:Publisher>
    <b:RefOrder>10</b:RefOrder>
  </b:Source>
  <b:Source>
    <b:Tag>Pri95</b:Tag>
    <b:SourceType>Report</b:SourceType>
    <b:Guid>{D83C9445-DDA3-40B3-9F8F-0F1C3B2E5421}</b:Guid>
    <b:Author>
      <b:Author>
        <b:Corporate>Price Waterhouse</b:Corporate>
      </b:Author>
    </b:Author>
    <b:Title>Corporate Treasury Control and Performance Standards</b:Title>
    <b:Year>1995</b:Year>
    <b:Publisher>Price Waterhouse</b:Publisher>
    <b:ThesisType>An International Study</b:ThesisType>
    <b:RefOrder>11</b:RefOrder>
  </b:Source>
  <b:Source>
    <b:Tag>BRo90</b:Tag>
    <b:SourceType>Report</b:SourceType>
    <b:Guid>{DB98C767-495D-4614-9EDB-87BB9FE4081E}</b:Guid>
    <b:Author>
      <b:Author>
        <b:NameList>
          <b:Person>
            <b:Last>Ross</b:Last>
            <b:First>B.</b:First>
          </b:Person>
        </b:NameList>
      </b:Author>
    </b:Author>
    <b:Title>Financial Analysis</b:Title>
    <b:Year>1990</b:Year>
    <b:Publisher>Prentice Hall</b:Publisher>
    <b:City>London</b:City>
    <b:RefOrder>12</b:RefOrder>
  </b:Source>
  <b:Source>
    <b:Tag>Sha89</b:Tag>
    <b:SourceType>Book</b:SourceType>
    <b:Guid>{C93375B7-3C54-4DA2-9F11-57406078C40F}</b:Guid>
    <b:Title>Multinational Financial Management</b:Title>
    <b:Year>1989</b:Year>
    <b:Publisher>Allyn and Bacon</b:Publisher>
    <b:City>Boston</b:City>
    <b:Author>
      <b:Author>
        <b:NameList>
          <b:Person>
            <b:Last>Shapiro</b:Last>
            <b:First>A.C.</b:First>
          </b:Person>
        </b:NameList>
      </b:Author>
    </b:Author>
    <b:Edition>3rd</b:Edition>
    <b:RefOrder>13</b:RefOrder>
  </b:Source>
  <b:Source>
    <b:Tag>She93</b:Tag>
    <b:SourceType>Report</b:SourceType>
    <b:Guid>{5D23FDE7-5A0E-4E7C-9FF2-E2B76847BD2C}</b:Guid>
    <b:Author>
      <b:Author>
        <b:NameList>
          <b:Person>
            <b:Last>Sheedy</b:Last>
            <b:First>J.G.</b:First>
          </b:Person>
        </b:NameList>
      </b:Author>
    </b:Author>
    <b:Title>Corporate Treasury Management in Ireland - The Current Practice</b:Title>
    <b:Year>1993</b:Year>
    <b:Publisher>University College Dublin</b:Publisher>
    <b:City>Dublin</b:City>
    <b:ThesisType>MBA Thesis</b:ThesisType>
    <b:RefOrder>14</b:RefOrder>
  </b:Source>
  <b:Source>
    <b:Tag>Slo93</b:Tag>
    <b:SourceType>Report</b:SourceType>
    <b:Guid>{A2030EC0-6EDA-4637-9F70-6B7B53051CAD}</b:Guid>
    <b:Author>
      <b:Author>
        <b:NameList>
          <b:Person>
            <b:Last>Slother</b:Last>
            <b:First>W.</b:First>
          </b:Person>
        </b:NameList>
      </b:Author>
    </b:Author>
    <b:Title>Contralisation versus Decentralisation</b:Title>
    <b:JournalName>1993</b:JournalName>
    <b:Year>1993</b:Year>
    <b:Publisher>Brunel University</b:Publisher>
    <b:City>London</b:City>
    <b:ThesisType>Dissertation</b:ThesisType>
    <b:RefOrder>15</b:RefOrder>
  </b:Source>
  <b:Source>
    <b:Tag>Wal95</b:Tag>
    <b:SourceType>JournalArticle</b:SourceType>
    <b:Guid>{9FC19542-9C3A-455A-A7A3-0D47EE38501B}</b:Guid>
    <b:Author>
      <b:Author>
        <b:NameList>
          <b:Person>
            <b:Last>Walton</b:Last>
            <b:First>K.</b:First>
          </b:Person>
        </b:NameList>
      </b:Author>
    </b:Author>
    <b:Title>Treasury systems: Meeting the business requirements of a centralised treasury</b:Title>
    <b:JournalName>Treasury Management International</b:JournalName>
    <b:Year>1995</b:Year>
    <b:Pages>36-43</b:Pages>
    <b:Publisher>Treasury Management International</b:Publisher>
    <b:RefOrder>16</b:RefOrder>
  </b:Source>
  <b:Source>
    <b:Tag>WFo94</b:Tag>
    <b:SourceType>Book</b:SourceType>
    <b:Guid>{2F08DCA4-3E7C-4EB6-AC15-6B776FA53D2F}</b:Guid>
    <b:Author>
      <b:Author>
        <b:NameList>
          <b:Person>
            <b:Last>Foddy</b:Last>
            <b:First>W.</b:First>
          </b:Person>
        </b:NameList>
      </b:Author>
    </b:Author>
    <b:Title>Constructing Questions for Interviews and Questionnaires</b:Title>
    <b:Year>1994</b:Year>
    <b:City>Cambridge</b:City>
    <b:Publisher>Cambridge University Press</b:Publisher>
    <b:RefOrder>17</b:RefOrder>
  </b:Source>
  <b:Source>
    <b:Tag>Wel94</b:Tag>
    <b:SourceType>BookSection</b:SourceType>
    <b:Guid>{B5456A30-CE8F-47B4-BE92-7B49BC8412F3}</b:Guid>
    <b:Title>Ethics in business and management research</b:Title>
    <b:Year>1994</b:Year>
    <b:Pages>277-97</b:Pages>
    <b:Author>
      <b:Author>
        <b:NameList>
          <b:Person>
            <b:Last>Wells</b:Last>
            <b:First>P.</b:First>
          </b:Person>
        </b:NameList>
      </b:Author>
      <b:BookAuthor>
        <b:NameList>
          <b:Person>
            <b:Last>Wass</b:Last>
            <b:First>V.</b:First>
          </b:Person>
          <b:Person>
            <b:Last>Wells</b:Last>
            <b:First>P.</b:First>
          </b:Person>
        </b:NameList>
      </b:BookAuthor>
    </b:Author>
    <b:City>Aldershot</b:City>
    <b:Publisher>Dartmouth</b:Publisher>
    <b:BookTitle>Principles and Practice in Business and Management Research</b:BookTitle>
    <b:RefOrder>18</b:RefOrder>
  </b:Source>
  <b:Source>
    <b:Tag>Sun121</b:Tag>
    <b:SourceType>DocumentFromInternetSite</b:SourceType>
    <b:Guid>{1DD699BA-D2E6-45A6-A732-F1214A612DE1}</b:Guid>
    <b:Title>Overview</b:Title>
    <b:Year>2012</b:Year>
    <b:Author>
      <b:Author>
        <b:Corporate>SunChemical</b:Corporate>
      </b:Author>
    </b:Author>
    <b:InternetSiteTitle>SunChemical.com</b:InternetSiteTitle>
    <b:YearAccessed>2012</b:YearAccessed>
    <b:MonthAccessed>Feb</b:MonthAccessed>
    <b:DayAccessed>7</b:DayAccessed>
    <b:URL>http://www.sunchemical.com/our-company/overview</b:URL>
    <b:RefOrder>19</b:RefOrder>
  </b:Source>
  <b:Source>
    <b:Tag>Sau09</b:Tag>
    <b:SourceType>Book</b:SourceType>
    <b:Guid>{F6599DA6-1023-455C-81F9-458219B5E9A6}</b:Guid>
    <b:Title>Research Methods for Business Students</b:Title>
    <b:Year>2009</b:Year>
    <b:Author>
      <b:Author>
        <b:NameList>
          <b:Person>
            <b:Last>Saunders</b:Last>
            <b:First>Mark</b:First>
          </b:Person>
          <b:Person>
            <b:Last>Lewis</b:Last>
            <b:First>Philip</b:First>
          </b:Person>
          <b:Person>
            <b:Last>Thornhill</b:Last>
            <b:First>Adrian</b:First>
          </b:Person>
        </b:NameList>
      </b:Author>
    </b:Author>
    <b:City>Harlow</b:City>
    <b:Publisher>Pearson Education</b:Publisher>
    <b:Edition>Fifth</b:Edition>
    <b:RefOrder>20</b:RefOrder>
  </b:Source>
  <b:Source>
    <b:Tag>Pat02</b:Tag>
    <b:SourceType>Book</b:SourceType>
    <b:Guid>{B10074F1-90A8-422E-A9B6-4E7438AFF478}</b:Guid>
    <b:Title>Qualitative Research and Evaluation Methods</b:Title>
    <b:Year>2002</b:Year>
    <b:City>Thousand Oaks, CA</b:City>
    <b:Publisher>Sage</b:Publisher>
    <b:Author>
      <b:Author>
        <b:NameList>
          <b:Person>
            <b:Last>Patton</b:Last>
            <b:First>M.Q.</b:First>
          </b:Person>
        </b:NameList>
      </b:Author>
    </b:Author>
    <b:Edition>3rd</b:Edition>
    <b:RefOrder>21</b:RefOrder>
  </b:Source>
  <b:Source>
    <b:Tag>Neu05</b:Tag>
    <b:SourceType>Book</b:SourceType>
    <b:Guid>{0DF3C7CF-D2E8-437B-ACD3-77885835798E}</b:Guid>
    <b:Author>
      <b:Author>
        <b:NameList>
          <b:Person>
            <b:Last>Neuman</b:Last>
            <b:First>W.</b:First>
          </b:Person>
        </b:NameList>
      </b:Author>
    </b:Author>
    <b:Title>Social Research Methods</b:Title>
    <b:Year>2005</b:Year>
    <b:City>London</b:City>
    <b:Publisher>Pearson</b:Publisher>
    <b:Edition>6th</b:Edition>
    <b:RefOrder>22</b:RefOrder>
  </b:Source>
  <b:Source>
    <b:Tag>KNo00</b:Tag>
    <b:SourceType>JournalArticle</b:SourceType>
    <b:Guid>{F3FA383D-DE3E-4ED8-B625-89AA557170A6}</b:Guid>
    <b:Title>Getting them out and getting them back on</b:Title>
    <b:Year>1900</b:Year>
    <b:Author>
      <b:Author>
        <b:NameList>
          <b:Person>
            <b:Last>Nowack</b:Last>
            <b:First>K.</b:First>
          </b:Person>
        </b:NameList>
      </b:Author>
    </b:Author>
    <b:JournalName>Training and Development Journal</b:JournalName>
    <b:Pages>82-85</b:Pages>
    <b:RefOrder>23</b:RefOrder>
  </b:Source>
  <b:Source>
    <b:Tag>OAN13</b:Tag>
    <b:SourceType>DocumentFromInternetSite</b:SourceType>
    <b:Guid>{FC667D33-0B49-4301-BD0F-DC41A0D8F5BF}</b:Guid>
    <b:Title>Historical Exchange Rates EUR/RON</b:Title>
    <b:Year>2013</b:Year>
    <b:Author>
      <b:Author>
        <b:NameList>
          <b:Person>
            <b:Last>OANDA</b:Last>
          </b:Person>
        </b:NameList>
      </b:Author>
    </b:Author>
    <b:InternetSiteTitle>oanda.com</b:InternetSiteTitle>
    <b:YearAccessed>2013</b:YearAccessed>
    <b:MonthAccessed>Jun</b:MonthAccessed>
    <b:DayAccessed>20</b:DayAccessed>
    <b:URL>http://www.oanda.com/currency/historical-rates/</b:URL>
    <b:RefOrder>24</b:RefOrder>
  </b:Source>
  <b:Source>
    <b:Tag>Cha10</b:Tag>
    <b:SourceType>JournalArticle</b:SourceType>
    <b:Guid>{B0E19BBD-517C-483C-9669-E66BF04AF285}</b:Guid>
    <b:Title>Chapter 2: The CEE region: recovery is on the horizon</b:Title>
    <b:JournalName>Institutional Investor</b:JournalName>
    <b:Year>2010</b:Year>
    <b:Pages>5-6</b:Pages>
    <b:Volume>44</b:Volume>
    <b:Issue>7</b:Issue>
    <b:Author>
      <b:Author>
        <b:Corporate>Institutional Investor Journal</b:Corporate>
      </b:Author>
    </b:Author>
    <b:RefOrder>25</b:RefOrder>
  </b:Source>
  <b:Source>
    <b:Tag>Mad11</b:Tag>
    <b:SourceType>Book</b:SourceType>
    <b:Guid>{E961936B-C03A-44F2-B53F-8EDC93C1C7FE}</b:Guid>
    <b:Author>
      <b:Author>
        <b:NameList>
          <b:Person>
            <b:Last>Madura</b:Last>
            <b:First>Jeff</b:First>
          </b:Person>
          <b:Person>
            <b:Last>Fox</b:Last>
            <b:First>Roland</b:First>
          </b:Person>
        </b:NameList>
      </b:Author>
    </b:Author>
    <b:Title>International Financial Management</b:Title>
    <b:Year>2011</b:Year>
    <b:Publisher>Cengage Learning EMEA</b:Publisher>
    <b:Edition>2nd Revised</b:Edition>
    <b:City>Andover</b:City>
    <b:RefOrder>5</b:RefOrder>
  </b:Source>
  <b:Source>
    <b:Tag>Kri10</b:Tag>
    <b:SourceType>InternetSite</b:SourceType>
    <b:Guid>{F7035ED9-CEAE-48E8-A550-E284AD5FFCEE}</b:Guid>
    <b:Title>What is SAP? Definition of SAP ERP Software</b:Title>
    <b:Year>2010</b:Year>
    <b:InternetSiteTitle>SAP Training Hub</b:InternetSiteTitle>
    <b:Month>Nov</b:Month>
    <b:Day>25</b:Day>
    <b:YearAccessed>2013</b:YearAccessed>
    <b:MonthAccessed>Aug</b:MonthAccessed>
    <b:DayAccessed>20</b:DayAccessed>
    <b:URL>http://www.saptraininghub.com/what-is-sap-definition-of-sap-erp-software/</b:URL>
    <b:Author>
      <b:Author>
        <b:NameList>
          <b:Person>
            <b:Last>Rungta</b:Last>
            <b:First>Krishna</b:First>
          </b:Person>
        </b:NameList>
      </b:Author>
    </b:Author>
    <b:RefOrder>3</b:RefOrder>
  </b:Source>
  <b:Source>
    <b:Tag>Sha13</b:Tag>
    <b:SourceType>InternetSite</b:SourceType>
    <b:Guid>{450BEA61-B633-4D70-AA02-E0D3B3FAE1B4}</b:Guid>
    <b:Author>
      <b:Author>
        <b:NameList>
          <b:Person>
            <b:Last>Geiger</b:Last>
            <b:First>Sharon</b:First>
          </b:Person>
        </b:NameList>
      </b:Author>
    </b:Author>
    <b:Title>Double Endorsed Checks: What is the Risk?</b:Title>
    <b:InternetSiteTitle>P and G Associates</b:InternetSiteTitle>
    <b:Year>2013</b:Year>
    <b:Month>Jul</b:Month>
    <b:Day>3</b:Day>
    <b:YearAccessed>2013</b:YearAccessed>
    <b:MonthAccessed>Aug</b:MonthAccessed>
    <b:DayAccessed>19</b:DayAccessed>
    <b:URL>https://www.pandgassociates.com/index.php?id=933</b:URL>
    <b:RefOrder>2</b:RefOrder>
  </b:Source>
  <b:Source>
    <b:Tag>Dan12</b:Tag>
    <b:SourceType>InternetSite</b:SourceType>
    <b:Guid>{E7E1FD2B-67D3-4161-A7B1-2F2E0FD1EA80}</b:Guid>
    <b:Author>
      <b:Author>
        <b:NameList>
          <b:Person>
            <b:Last>Berthiaume</b:Last>
            <b:First>Dan</b:First>
          </b:Person>
        </b:NameList>
      </b:Author>
    </b:Author>
    <b:Title>Shared Services Offer Strong Return</b:Title>
    <b:InternetSiteTitle>BPO Outcomes</b:InternetSiteTitle>
    <b:Year>2012</b:Year>
    <b:YearAccessed>2013</b:YearAccessed>
    <b:MonthAccessed>Sep</b:MonthAccessed>
    <b:DayAccessed>30</b:DayAccessed>
    <b:URL>http://bpooutcomes.com/shared-services-strong-return/</b:URL>
    <b:Month>Nov</b:Month>
    <b:Day>27</b:Day>
    <b:RefOrder>1</b:RefOrder>
  </b:Source>
  <b:Source>
    <b:Tag>Lor05</b:Tag>
    <b:SourceType>InternetSite</b:SourceType>
    <b:Guid>{34A4C5B8-9D81-4840-BC91-B91ED0DE9C62}</b:Guid>
    <b:Author>
      <b:Author>
        <b:NameList>
          <b:Person>
            <b:Last>Alden</b:Last>
            <b:First>Lori</b:First>
          </b:Person>
        </b:NameList>
      </b:Author>
    </b:Author>
    <b:Title>Opportunity Cost:A Primer</b:Title>
    <b:InternetSiteTitle>econoclass.com</b:InternetSiteTitle>
    <b:Year>2005</b:Year>
    <b:YearAccessed>2013</b:YearAccessed>
    <b:MonthAccessed>Sep</b:MonthAccessed>
    <b:DayAccessed>30</b:DayAccessed>
    <b:URL>http://www.econoclass.com/opportunitycost.html</b:URL>
    <b:RefOrder>4</b:RefOrder>
  </b:Source>
</b:Sources>
</file>

<file path=customXml/itemProps1.xml><?xml version="1.0" encoding="utf-8"?>
<ds:datastoreItem xmlns:ds="http://schemas.openxmlformats.org/officeDocument/2006/customXml" ds:itemID="{5674A5F7-587D-4B09-91E6-07C1739C9E09}">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3C5CC907-8C9E-4D85-8D6D-5C21A4324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027788-6F04-4F57-AC1C-E71824657BBA}">
  <ds:schemaRefs>
    <ds:schemaRef ds:uri="http://schemas.microsoft.com/sharepoint/v3/contenttype/forms"/>
  </ds:schemaRefs>
</ds:datastoreItem>
</file>

<file path=customXml/itemProps4.xml><?xml version="1.0" encoding="utf-8"?>
<ds:datastoreItem xmlns:ds="http://schemas.openxmlformats.org/officeDocument/2006/customXml" ds:itemID="{BB02A0CF-DB99-4E3C-B935-28DCA8EF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13643</Words>
  <Characters>75040</Characters>
  <Application>Microsoft Office Word</Application>
  <DocSecurity>0</DocSecurity>
  <Lines>625</Lines>
  <Paragraphs>177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graduation project requires students to solve a practical “problem” through field research</vt:lpstr>
      <vt:lpstr>The graduation project requires students to solve a practical “problem” through field research</vt:lpstr>
    </vt:vector>
  </TitlesOfParts>
  <Company>Sun Chemical</Company>
  <LinksUpToDate>false</LinksUpToDate>
  <CharactersWithSpaces>88506</CharactersWithSpaces>
  <SharedDoc>false</SharedDoc>
  <HLinks>
    <vt:vector size="258" baseType="variant">
      <vt:variant>
        <vt:i4>4522004</vt:i4>
      </vt:variant>
      <vt:variant>
        <vt:i4>273</vt:i4>
      </vt:variant>
      <vt:variant>
        <vt:i4>0</vt:i4>
      </vt:variant>
      <vt:variant>
        <vt:i4>5</vt:i4>
      </vt:variant>
      <vt:variant>
        <vt:lpwstr>http://www.oanda.com/</vt:lpwstr>
      </vt:variant>
      <vt:variant>
        <vt:lpwstr/>
      </vt:variant>
      <vt:variant>
        <vt:i4>1114160</vt:i4>
      </vt:variant>
      <vt:variant>
        <vt:i4>248</vt:i4>
      </vt:variant>
      <vt:variant>
        <vt:i4>0</vt:i4>
      </vt:variant>
      <vt:variant>
        <vt:i4>5</vt:i4>
      </vt:variant>
      <vt:variant>
        <vt:lpwstr/>
      </vt:variant>
      <vt:variant>
        <vt:lpwstr>_Toc360633050</vt:lpwstr>
      </vt:variant>
      <vt:variant>
        <vt:i4>1048624</vt:i4>
      </vt:variant>
      <vt:variant>
        <vt:i4>242</vt:i4>
      </vt:variant>
      <vt:variant>
        <vt:i4>0</vt:i4>
      </vt:variant>
      <vt:variant>
        <vt:i4>5</vt:i4>
      </vt:variant>
      <vt:variant>
        <vt:lpwstr/>
      </vt:variant>
      <vt:variant>
        <vt:lpwstr>_Toc360633049</vt:lpwstr>
      </vt:variant>
      <vt:variant>
        <vt:i4>1048624</vt:i4>
      </vt:variant>
      <vt:variant>
        <vt:i4>236</vt:i4>
      </vt:variant>
      <vt:variant>
        <vt:i4>0</vt:i4>
      </vt:variant>
      <vt:variant>
        <vt:i4>5</vt:i4>
      </vt:variant>
      <vt:variant>
        <vt:lpwstr/>
      </vt:variant>
      <vt:variant>
        <vt:lpwstr>_Toc360633048</vt:lpwstr>
      </vt:variant>
      <vt:variant>
        <vt:i4>1048624</vt:i4>
      </vt:variant>
      <vt:variant>
        <vt:i4>230</vt:i4>
      </vt:variant>
      <vt:variant>
        <vt:i4>0</vt:i4>
      </vt:variant>
      <vt:variant>
        <vt:i4>5</vt:i4>
      </vt:variant>
      <vt:variant>
        <vt:lpwstr/>
      </vt:variant>
      <vt:variant>
        <vt:lpwstr>_Toc360633047</vt:lpwstr>
      </vt:variant>
      <vt:variant>
        <vt:i4>1048624</vt:i4>
      </vt:variant>
      <vt:variant>
        <vt:i4>224</vt:i4>
      </vt:variant>
      <vt:variant>
        <vt:i4>0</vt:i4>
      </vt:variant>
      <vt:variant>
        <vt:i4>5</vt:i4>
      </vt:variant>
      <vt:variant>
        <vt:lpwstr/>
      </vt:variant>
      <vt:variant>
        <vt:lpwstr>_Toc360633046</vt:lpwstr>
      </vt:variant>
      <vt:variant>
        <vt:i4>1048624</vt:i4>
      </vt:variant>
      <vt:variant>
        <vt:i4>218</vt:i4>
      </vt:variant>
      <vt:variant>
        <vt:i4>0</vt:i4>
      </vt:variant>
      <vt:variant>
        <vt:i4>5</vt:i4>
      </vt:variant>
      <vt:variant>
        <vt:lpwstr/>
      </vt:variant>
      <vt:variant>
        <vt:lpwstr>_Toc360633045</vt:lpwstr>
      </vt:variant>
      <vt:variant>
        <vt:i4>1048624</vt:i4>
      </vt:variant>
      <vt:variant>
        <vt:i4>212</vt:i4>
      </vt:variant>
      <vt:variant>
        <vt:i4>0</vt:i4>
      </vt:variant>
      <vt:variant>
        <vt:i4>5</vt:i4>
      </vt:variant>
      <vt:variant>
        <vt:lpwstr/>
      </vt:variant>
      <vt:variant>
        <vt:lpwstr>_Toc360633044</vt:lpwstr>
      </vt:variant>
      <vt:variant>
        <vt:i4>1048624</vt:i4>
      </vt:variant>
      <vt:variant>
        <vt:i4>206</vt:i4>
      </vt:variant>
      <vt:variant>
        <vt:i4>0</vt:i4>
      </vt:variant>
      <vt:variant>
        <vt:i4>5</vt:i4>
      </vt:variant>
      <vt:variant>
        <vt:lpwstr/>
      </vt:variant>
      <vt:variant>
        <vt:lpwstr>_Toc360633043</vt:lpwstr>
      </vt:variant>
      <vt:variant>
        <vt:i4>1048624</vt:i4>
      </vt:variant>
      <vt:variant>
        <vt:i4>200</vt:i4>
      </vt:variant>
      <vt:variant>
        <vt:i4>0</vt:i4>
      </vt:variant>
      <vt:variant>
        <vt:i4>5</vt:i4>
      </vt:variant>
      <vt:variant>
        <vt:lpwstr/>
      </vt:variant>
      <vt:variant>
        <vt:lpwstr>_Toc360633042</vt:lpwstr>
      </vt:variant>
      <vt:variant>
        <vt:i4>1048624</vt:i4>
      </vt:variant>
      <vt:variant>
        <vt:i4>194</vt:i4>
      </vt:variant>
      <vt:variant>
        <vt:i4>0</vt:i4>
      </vt:variant>
      <vt:variant>
        <vt:i4>5</vt:i4>
      </vt:variant>
      <vt:variant>
        <vt:lpwstr/>
      </vt:variant>
      <vt:variant>
        <vt:lpwstr>_Toc360633041</vt:lpwstr>
      </vt:variant>
      <vt:variant>
        <vt:i4>1048624</vt:i4>
      </vt:variant>
      <vt:variant>
        <vt:i4>188</vt:i4>
      </vt:variant>
      <vt:variant>
        <vt:i4>0</vt:i4>
      </vt:variant>
      <vt:variant>
        <vt:i4>5</vt:i4>
      </vt:variant>
      <vt:variant>
        <vt:lpwstr/>
      </vt:variant>
      <vt:variant>
        <vt:lpwstr>_Toc360633040</vt:lpwstr>
      </vt:variant>
      <vt:variant>
        <vt:i4>1507376</vt:i4>
      </vt:variant>
      <vt:variant>
        <vt:i4>182</vt:i4>
      </vt:variant>
      <vt:variant>
        <vt:i4>0</vt:i4>
      </vt:variant>
      <vt:variant>
        <vt:i4>5</vt:i4>
      </vt:variant>
      <vt:variant>
        <vt:lpwstr/>
      </vt:variant>
      <vt:variant>
        <vt:lpwstr>_Toc360633039</vt:lpwstr>
      </vt:variant>
      <vt:variant>
        <vt:i4>1507376</vt:i4>
      </vt:variant>
      <vt:variant>
        <vt:i4>176</vt:i4>
      </vt:variant>
      <vt:variant>
        <vt:i4>0</vt:i4>
      </vt:variant>
      <vt:variant>
        <vt:i4>5</vt:i4>
      </vt:variant>
      <vt:variant>
        <vt:lpwstr/>
      </vt:variant>
      <vt:variant>
        <vt:lpwstr>_Toc360633038</vt:lpwstr>
      </vt:variant>
      <vt:variant>
        <vt:i4>1507376</vt:i4>
      </vt:variant>
      <vt:variant>
        <vt:i4>170</vt:i4>
      </vt:variant>
      <vt:variant>
        <vt:i4>0</vt:i4>
      </vt:variant>
      <vt:variant>
        <vt:i4>5</vt:i4>
      </vt:variant>
      <vt:variant>
        <vt:lpwstr/>
      </vt:variant>
      <vt:variant>
        <vt:lpwstr>_Toc360633037</vt:lpwstr>
      </vt:variant>
      <vt:variant>
        <vt:i4>1507376</vt:i4>
      </vt:variant>
      <vt:variant>
        <vt:i4>164</vt:i4>
      </vt:variant>
      <vt:variant>
        <vt:i4>0</vt:i4>
      </vt:variant>
      <vt:variant>
        <vt:i4>5</vt:i4>
      </vt:variant>
      <vt:variant>
        <vt:lpwstr/>
      </vt:variant>
      <vt:variant>
        <vt:lpwstr>_Toc360633036</vt:lpwstr>
      </vt:variant>
      <vt:variant>
        <vt:i4>1507376</vt:i4>
      </vt:variant>
      <vt:variant>
        <vt:i4>158</vt:i4>
      </vt:variant>
      <vt:variant>
        <vt:i4>0</vt:i4>
      </vt:variant>
      <vt:variant>
        <vt:i4>5</vt:i4>
      </vt:variant>
      <vt:variant>
        <vt:lpwstr/>
      </vt:variant>
      <vt:variant>
        <vt:lpwstr>_Toc360633035</vt:lpwstr>
      </vt:variant>
      <vt:variant>
        <vt:i4>1507376</vt:i4>
      </vt:variant>
      <vt:variant>
        <vt:i4>152</vt:i4>
      </vt:variant>
      <vt:variant>
        <vt:i4>0</vt:i4>
      </vt:variant>
      <vt:variant>
        <vt:i4>5</vt:i4>
      </vt:variant>
      <vt:variant>
        <vt:lpwstr/>
      </vt:variant>
      <vt:variant>
        <vt:lpwstr>_Toc360633033</vt:lpwstr>
      </vt:variant>
      <vt:variant>
        <vt:i4>1507376</vt:i4>
      </vt:variant>
      <vt:variant>
        <vt:i4>146</vt:i4>
      </vt:variant>
      <vt:variant>
        <vt:i4>0</vt:i4>
      </vt:variant>
      <vt:variant>
        <vt:i4>5</vt:i4>
      </vt:variant>
      <vt:variant>
        <vt:lpwstr/>
      </vt:variant>
      <vt:variant>
        <vt:lpwstr>_Toc360633032</vt:lpwstr>
      </vt:variant>
      <vt:variant>
        <vt:i4>1507376</vt:i4>
      </vt:variant>
      <vt:variant>
        <vt:i4>140</vt:i4>
      </vt:variant>
      <vt:variant>
        <vt:i4>0</vt:i4>
      </vt:variant>
      <vt:variant>
        <vt:i4>5</vt:i4>
      </vt:variant>
      <vt:variant>
        <vt:lpwstr/>
      </vt:variant>
      <vt:variant>
        <vt:lpwstr>_Toc360633031</vt:lpwstr>
      </vt:variant>
      <vt:variant>
        <vt:i4>1507376</vt:i4>
      </vt:variant>
      <vt:variant>
        <vt:i4>134</vt:i4>
      </vt:variant>
      <vt:variant>
        <vt:i4>0</vt:i4>
      </vt:variant>
      <vt:variant>
        <vt:i4>5</vt:i4>
      </vt:variant>
      <vt:variant>
        <vt:lpwstr/>
      </vt:variant>
      <vt:variant>
        <vt:lpwstr>_Toc360633030</vt:lpwstr>
      </vt:variant>
      <vt:variant>
        <vt:i4>1441840</vt:i4>
      </vt:variant>
      <vt:variant>
        <vt:i4>128</vt:i4>
      </vt:variant>
      <vt:variant>
        <vt:i4>0</vt:i4>
      </vt:variant>
      <vt:variant>
        <vt:i4>5</vt:i4>
      </vt:variant>
      <vt:variant>
        <vt:lpwstr/>
      </vt:variant>
      <vt:variant>
        <vt:lpwstr>_Toc360633029</vt:lpwstr>
      </vt:variant>
      <vt:variant>
        <vt:i4>1441840</vt:i4>
      </vt:variant>
      <vt:variant>
        <vt:i4>122</vt:i4>
      </vt:variant>
      <vt:variant>
        <vt:i4>0</vt:i4>
      </vt:variant>
      <vt:variant>
        <vt:i4>5</vt:i4>
      </vt:variant>
      <vt:variant>
        <vt:lpwstr/>
      </vt:variant>
      <vt:variant>
        <vt:lpwstr>_Toc360633028</vt:lpwstr>
      </vt:variant>
      <vt:variant>
        <vt:i4>1441840</vt:i4>
      </vt:variant>
      <vt:variant>
        <vt:i4>116</vt:i4>
      </vt:variant>
      <vt:variant>
        <vt:i4>0</vt:i4>
      </vt:variant>
      <vt:variant>
        <vt:i4>5</vt:i4>
      </vt:variant>
      <vt:variant>
        <vt:lpwstr/>
      </vt:variant>
      <vt:variant>
        <vt:lpwstr>_Toc360633027</vt:lpwstr>
      </vt:variant>
      <vt:variant>
        <vt:i4>1441840</vt:i4>
      </vt:variant>
      <vt:variant>
        <vt:i4>110</vt:i4>
      </vt:variant>
      <vt:variant>
        <vt:i4>0</vt:i4>
      </vt:variant>
      <vt:variant>
        <vt:i4>5</vt:i4>
      </vt:variant>
      <vt:variant>
        <vt:lpwstr/>
      </vt:variant>
      <vt:variant>
        <vt:lpwstr>_Toc360633026</vt:lpwstr>
      </vt:variant>
      <vt:variant>
        <vt:i4>1441840</vt:i4>
      </vt:variant>
      <vt:variant>
        <vt:i4>104</vt:i4>
      </vt:variant>
      <vt:variant>
        <vt:i4>0</vt:i4>
      </vt:variant>
      <vt:variant>
        <vt:i4>5</vt:i4>
      </vt:variant>
      <vt:variant>
        <vt:lpwstr/>
      </vt:variant>
      <vt:variant>
        <vt:lpwstr>_Toc360633025</vt:lpwstr>
      </vt:variant>
      <vt:variant>
        <vt:i4>1441840</vt:i4>
      </vt:variant>
      <vt:variant>
        <vt:i4>98</vt:i4>
      </vt:variant>
      <vt:variant>
        <vt:i4>0</vt:i4>
      </vt:variant>
      <vt:variant>
        <vt:i4>5</vt:i4>
      </vt:variant>
      <vt:variant>
        <vt:lpwstr/>
      </vt:variant>
      <vt:variant>
        <vt:lpwstr>_Toc360633024</vt:lpwstr>
      </vt:variant>
      <vt:variant>
        <vt:i4>1441840</vt:i4>
      </vt:variant>
      <vt:variant>
        <vt:i4>92</vt:i4>
      </vt:variant>
      <vt:variant>
        <vt:i4>0</vt:i4>
      </vt:variant>
      <vt:variant>
        <vt:i4>5</vt:i4>
      </vt:variant>
      <vt:variant>
        <vt:lpwstr/>
      </vt:variant>
      <vt:variant>
        <vt:lpwstr>_Toc360633023</vt:lpwstr>
      </vt:variant>
      <vt:variant>
        <vt:i4>1441840</vt:i4>
      </vt:variant>
      <vt:variant>
        <vt:i4>86</vt:i4>
      </vt:variant>
      <vt:variant>
        <vt:i4>0</vt:i4>
      </vt:variant>
      <vt:variant>
        <vt:i4>5</vt:i4>
      </vt:variant>
      <vt:variant>
        <vt:lpwstr/>
      </vt:variant>
      <vt:variant>
        <vt:lpwstr>_Toc360633022</vt:lpwstr>
      </vt:variant>
      <vt:variant>
        <vt:i4>1441840</vt:i4>
      </vt:variant>
      <vt:variant>
        <vt:i4>80</vt:i4>
      </vt:variant>
      <vt:variant>
        <vt:i4>0</vt:i4>
      </vt:variant>
      <vt:variant>
        <vt:i4>5</vt:i4>
      </vt:variant>
      <vt:variant>
        <vt:lpwstr/>
      </vt:variant>
      <vt:variant>
        <vt:lpwstr>_Toc360633021</vt:lpwstr>
      </vt:variant>
      <vt:variant>
        <vt:i4>1441840</vt:i4>
      </vt:variant>
      <vt:variant>
        <vt:i4>74</vt:i4>
      </vt:variant>
      <vt:variant>
        <vt:i4>0</vt:i4>
      </vt:variant>
      <vt:variant>
        <vt:i4>5</vt:i4>
      </vt:variant>
      <vt:variant>
        <vt:lpwstr/>
      </vt:variant>
      <vt:variant>
        <vt:lpwstr>_Toc360633020</vt:lpwstr>
      </vt:variant>
      <vt:variant>
        <vt:i4>1376304</vt:i4>
      </vt:variant>
      <vt:variant>
        <vt:i4>68</vt:i4>
      </vt:variant>
      <vt:variant>
        <vt:i4>0</vt:i4>
      </vt:variant>
      <vt:variant>
        <vt:i4>5</vt:i4>
      </vt:variant>
      <vt:variant>
        <vt:lpwstr/>
      </vt:variant>
      <vt:variant>
        <vt:lpwstr>_Toc360633019</vt:lpwstr>
      </vt:variant>
      <vt:variant>
        <vt:i4>1376304</vt:i4>
      </vt:variant>
      <vt:variant>
        <vt:i4>62</vt:i4>
      </vt:variant>
      <vt:variant>
        <vt:i4>0</vt:i4>
      </vt:variant>
      <vt:variant>
        <vt:i4>5</vt:i4>
      </vt:variant>
      <vt:variant>
        <vt:lpwstr/>
      </vt:variant>
      <vt:variant>
        <vt:lpwstr>_Toc360633018</vt:lpwstr>
      </vt:variant>
      <vt:variant>
        <vt:i4>1376304</vt:i4>
      </vt:variant>
      <vt:variant>
        <vt:i4>56</vt:i4>
      </vt:variant>
      <vt:variant>
        <vt:i4>0</vt:i4>
      </vt:variant>
      <vt:variant>
        <vt:i4>5</vt:i4>
      </vt:variant>
      <vt:variant>
        <vt:lpwstr/>
      </vt:variant>
      <vt:variant>
        <vt:lpwstr>_Toc360633017</vt:lpwstr>
      </vt:variant>
      <vt:variant>
        <vt:i4>1376304</vt:i4>
      </vt:variant>
      <vt:variant>
        <vt:i4>50</vt:i4>
      </vt:variant>
      <vt:variant>
        <vt:i4>0</vt:i4>
      </vt:variant>
      <vt:variant>
        <vt:i4>5</vt:i4>
      </vt:variant>
      <vt:variant>
        <vt:lpwstr/>
      </vt:variant>
      <vt:variant>
        <vt:lpwstr>_Toc360633016</vt:lpwstr>
      </vt:variant>
      <vt:variant>
        <vt:i4>1376304</vt:i4>
      </vt:variant>
      <vt:variant>
        <vt:i4>44</vt:i4>
      </vt:variant>
      <vt:variant>
        <vt:i4>0</vt:i4>
      </vt:variant>
      <vt:variant>
        <vt:i4>5</vt:i4>
      </vt:variant>
      <vt:variant>
        <vt:lpwstr/>
      </vt:variant>
      <vt:variant>
        <vt:lpwstr>_Toc360633015</vt:lpwstr>
      </vt:variant>
      <vt:variant>
        <vt:i4>1376304</vt:i4>
      </vt:variant>
      <vt:variant>
        <vt:i4>38</vt:i4>
      </vt:variant>
      <vt:variant>
        <vt:i4>0</vt:i4>
      </vt:variant>
      <vt:variant>
        <vt:i4>5</vt:i4>
      </vt:variant>
      <vt:variant>
        <vt:lpwstr/>
      </vt:variant>
      <vt:variant>
        <vt:lpwstr>_Toc360633014</vt:lpwstr>
      </vt:variant>
      <vt:variant>
        <vt:i4>1376304</vt:i4>
      </vt:variant>
      <vt:variant>
        <vt:i4>32</vt:i4>
      </vt:variant>
      <vt:variant>
        <vt:i4>0</vt:i4>
      </vt:variant>
      <vt:variant>
        <vt:i4>5</vt:i4>
      </vt:variant>
      <vt:variant>
        <vt:lpwstr/>
      </vt:variant>
      <vt:variant>
        <vt:lpwstr>_Toc360633013</vt:lpwstr>
      </vt:variant>
      <vt:variant>
        <vt:i4>1376304</vt:i4>
      </vt:variant>
      <vt:variant>
        <vt:i4>26</vt:i4>
      </vt:variant>
      <vt:variant>
        <vt:i4>0</vt:i4>
      </vt:variant>
      <vt:variant>
        <vt:i4>5</vt:i4>
      </vt:variant>
      <vt:variant>
        <vt:lpwstr/>
      </vt:variant>
      <vt:variant>
        <vt:lpwstr>_Toc360633012</vt:lpwstr>
      </vt:variant>
      <vt:variant>
        <vt:i4>1376304</vt:i4>
      </vt:variant>
      <vt:variant>
        <vt:i4>20</vt:i4>
      </vt:variant>
      <vt:variant>
        <vt:i4>0</vt:i4>
      </vt:variant>
      <vt:variant>
        <vt:i4>5</vt:i4>
      </vt:variant>
      <vt:variant>
        <vt:lpwstr/>
      </vt:variant>
      <vt:variant>
        <vt:lpwstr>_Toc360633011</vt:lpwstr>
      </vt:variant>
      <vt:variant>
        <vt:i4>1376304</vt:i4>
      </vt:variant>
      <vt:variant>
        <vt:i4>14</vt:i4>
      </vt:variant>
      <vt:variant>
        <vt:i4>0</vt:i4>
      </vt:variant>
      <vt:variant>
        <vt:i4>5</vt:i4>
      </vt:variant>
      <vt:variant>
        <vt:lpwstr/>
      </vt:variant>
      <vt:variant>
        <vt:lpwstr>_Toc360633010</vt:lpwstr>
      </vt:variant>
      <vt:variant>
        <vt:i4>1310768</vt:i4>
      </vt:variant>
      <vt:variant>
        <vt:i4>8</vt:i4>
      </vt:variant>
      <vt:variant>
        <vt:i4>0</vt:i4>
      </vt:variant>
      <vt:variant>
        <vt:i4>5</vt:i4>
      </vt:variant>
      <vt:variant>
        <vt:lpwstr/>
      </vt:variant>
      <vt:variant>
        <vt:lpwstr>_Toc360633009</vt:lpwstr>
      </vt:variant>
      <vt:variant>
        <vt:i4>1310768</vt:i4>
      </vt:variant>
      <vt:variant>
        <vt:i4>2</vt:i4>
      </vt:variant>
      <vt:variant>
        <vt:i4>0</vt:i4>
      </vt:variant>
      <vt:variant>
        <vt:i4>5</vt:i4>
      </vt:variant>
      <vt:variant>
        <vt:lpwstr/>
      </vt:variant>
      <vt:variant>
        <vt:lpwstr>_Toc360633008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graduation project requires students to solve a practical “problem” through field research</dc:title>
  <dc:creator>yana.antonova</dc:creator>
  <cp:lastModifiedBy>Eis</cp:lastModifiedBy>
  <cp:revision>2</cp:revision>
  <cp:lastPrinted>2013-08-30T14:25:00Z</cp:lastPrinted>
  <dcterms:created xsi:type="dcterms:W3CDTF">2013-12-05T15:16:00Z</dcterms:created>
  <dcterms:modified xsi:type="dcterms:W3CDTF">2013-12-05T15:16:00Z</dcterms:modified>
</cp:coreProperties>
</file>