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94B8E" w:rsidP="3C8A7F51" w:rsidRDefault="6F8C48A4" w14:paraId="66CF26FA" w14:textId="3E841207">
      <w:pPr>
        <w:rPr>
          <w:rFonts w:ascii="Calibri" w:hAnsi="Calibri" w:eastAsia="Calibri" w:cs="Calibri"/>
          <w:color w:val="000000" w:themeColor="text1"/>
          <w:sz w:val="32"/>
          <w:szCs w:val="32"/>
        </w:rPr>
      </w:pPr>
      <w:r w:rsidRPr="3C8A7F51">
        <w:rPr>
          <w:rFonts w:ascii="Calibri" w:hAnsi="Calibri" w:eastAsia="Calibri" w:cs="Calibri"/>
          <w:b/>
          <w:bCs/>
          <w:color w:val="000000" w:themeColor="text1"/>
          <w:sz w:val="32"/>
          <w:szCs w:val="32"/>
        </w:rPr>
        <w:t xml:space="preserve">Inzicht in studentsucces - het </w:t>
      </w:r>
      <w:r w:rsidRPr="3C8A7F51">
        <w:rPr>
          <w:rFonts w:ascii="Calibri" w:hAnsi="Calibri" w:eastAsia="Calibri" w:cs="Calibri"/>
          <w:b/>
          <w:bCs/>
          <w:color w:val="FF0000"/>
          <w:sz w:val="32"/>
          <w:szCs w:val="32"/>
        </w:rPr>
        <w:t>H</w:t>
      </w:r>
      <w:r w:rsidRPr="3C8A7F51">
        <w:rPr>
          <w:rFonts w:ascii="Calibri" w:hAnsi="Calibri" w:eastAsia="Calibri" w:cs="Calibri"/>
          <w:b/>
          <w:bCs/>
          <w:color w:val="00B0F0"/>
          <w:sz w:val="32"/>
          <w:szCs w:val="32"/>
        </w:rPr>
        <w:t>U</w:t>
      </w:r>
      <w:r w:rsidRPr="3C8A7F51">
        <w:rPr>
          <w:rFonts w:ascii="Calibri" w:hAnsi="Calibri" w:eastAsia="Calibri" w:cs="Calibri"/>
          <w:b/>
          <w:bCs/>
          <w:color w:val="000000" w:themeColor="text1"/>
          <w:sz w:val="32"/>
          <w:szCs w:val="32"/>
        </w:rPr>
        <w:t>GS-model</w:t>
      </w:r>
    </w:p>
    <w:p w:rsidR="00C94B8E" w:rsidP="3EDE0AC5" w:rsidRDefault="3C8CB4F8" w14:paraId="18A2B59A" w14:textId="38A59239">
      <w:pPr>
        <w:rPr>
          <w:rFonts w:ascii="Calibri" w:hAnsi="Calibri" w:eastAsia="Calibri" w:cs="Calibri"/>
          <w:i w:val="1"/>
          <w:iCs w:val="1"/>
          <w:color w:val="000000" w:themeColor="text1"/>
        </w:rPr>
      </w:pPr>
      <w:r w:rsidRPr="45AFB012" w:rsidR="67667698">
        <w:rPr>
          <w:rFonts w:ascii="Calibri" w:hAnsi="Calibri" w:eastAsia="Calibri" w:cs="Calibri"/>
          <w:i w:val="1"/>
          <w:iCs w:val="1"/>
          <w:color w:val="000000" w:themeColor="text1" w:themeTint="FF" w:themeShade="FF"/>
        </w:rPr>
        <w:t xml:space="preserve">Het HUGS Onderzoek werkt aan het verbreden en verdiepen van kennis over </w:t>
      </w:r>
      <w:r w:rsidRPr="45AFB012" w:rsidR="68E33723">
        <w:rPr>
          <w:rFonts w:ascii="Calibri" w:hAnsi="Calibri" w:eastAsia="Calibri" w:cs="Calibri"/>
          <w:i w:val="1"/>
          <w:iCs w:val="1"/>
          <w:color w:val="000000" w:themeColor="text1" w:themeTint="FF" w:themeShade="FF"/>
        </w:rPr>
        <w:t xml:space="preserve">studentsucces, </w:t>
      </w:r>
      <w:r w:rsidRPr="45AFB012" w:rsidR="67667698">
        <w:rPr>
          <w:rFonts w:ascii="Calibri" w:hAnsi="Calibri" w:eastAsia="Calibri" w:cs="Calibri"/>
          <w:i w:val="1"/>
          <w:iCs w:val="1"/>
          <w:color w:val="000000" w:themeColor="text1" w:themeTint="FF" w:themeShade="FF"/>
        </w:rPr>
        <w:t>gemeenschapsvorming en studentbetrokkenheid</w:t>
      </w:r>
      <w:r w:rsidRPr="45AFB012" w:rsidR="4A3F192A">
        <w:rPr>
          <w:rFonts w:ascii="Calibri" w:hAnsi="Calibri" w:eastAsia="Calibri" w:cs="Calibri"/>
          <w:i w:val="1"/>
          <w:iCs w:val="1"/>
          <w:color w:val="000000" w:themeColor="text1" w:themeTint="FF" w:themeShade="FF"/>
        </w:rPr>
        <w:t>.</w:t>
      </w:r>
      <w:r w:rsidRPr="45AFB012" w:rsidR="67667698">
        <w:rPr>
          <w:rFonts w:ascii="Calibri" w:hAnsi="Calibri" w:eastAsia="Calibri" w:cs="Calibri"/>
          <w:i w:val="1"/>
          <w:iCs w:val="1"/>
          <w:color w:val="000000" w:themeColor="text1" w:themeTint="FF" w:themeShade="FF"/>
        </w:rPr>
        <w:t xml:space="preserve"> Uit het onderzoek is onderstaande model voortgekomen. Hierin staan </w:t>
      </w:r>
      <w:r w:rsidRPr="45AFB012" w:rsidR="71996925">
        <w:rPr>
          <w:rFonts w:ascii="Calibri" w:hAnsi="Calibri" w:eastAsia="Calibri" w:cs="Calibri"/>
          <w:i w:val="1"/>
          <w:iCs w:val="1"/>
          <w:color w:val="000000" w:themeColor="text1" w:themeTint="FF" w:themeShade="FF"/>
        </w:rPr>
        <w:t xml:space="preserve">de centrale </w:t>
      </w:r>
      <w:r w:rsidRPr="45AFB012" w:rsidR="67667698">
        <w:rPr>
          <w:rFonts w:ascii="Calibri" w:hAnsi="Calibri" w:eastAsia="Calibri" w:cs="Calibri"/>
          <w:i w:val="1"/>
          <w:iCs w:val="1"/>
          <w:color w:val="000000" w:themeColor="text1" w:themeTint="FF" w:themeShade="FF"/>
        </w:rPr>
        <w:t xml:space="preserve">factoren </w:t>
      </w:r>
      <w:r w:rsidRPr="45AFB012" w:rsidR="1C08573A">
        <w:rPr>
          <w:rFonts w:ascii="Calibri" w:hAnsi="Calibri" w:eastAsia="Calibri" w:cs="Calibri"/>
          <w:i w:val="1"/>
          <w:iCs w:val="1"/>
          <w:color w:val="000000" w:themeColor="text1" w:themeTint="FF" w:themeShade="FF"/>
        </w:rPr>
        <w:t>die van i</w:t>
      </w:r>
      <w:r w:rsidRPr="45AFB012" w:rsidR="67667698">
        <w:rPr>
          <w:rFonts w:ascii="Calibri" w:hAnsi="Calibri" w:eastAsia="Calibri" w:cs="Calibri"/>
          <w:i w:val="1"/>
          <w:iCs w:val="1"/>
          <w:color w:val="000000" w:themeColor="text1" w:themeTint="FF" w:themeShade="FF"/>
        </w:rPr>
        <w:t>n</w:t>
      </w:r>
      <w:r w:rsidRPr="45AFB012" w:rsidR="1C08573A">
        <w:rPr>
          <w:rFonts w:ascii="Calibri" w:hAnsi="Calibri" w:eastAsia="Calibri" w:cs="Calibri"/>
          <w:i w:val="1"/>
          <w:iCs w:val="1"/>
          <w:color w:val="000000" w:themeColor="text1" w:themeTint="FF" w:themeShade="FF"/>
        </w:rPr>
        <w:t xml:space="preserve">vloed zijn op </w:t>
      </w:r>
      <w:r w:rsidRPr="45AFB012" w:rsidR="67667698">
        <w:rPr>
          <w:rFonts w:ascii="Calibri" w:hAnsi="Calibri" w:eastAsia="Calibri" w:cs="Calibri"/>
          <w:i w:val="1"/>
          <w:iCs w:val="1"/>
          <w:color w:val="000000" w:themeColor="text1" w:themeTint="FF" w:themeShade="FF"/>
        </w:rPr>
        <w:t>studentsucces. In deze hand-out worden de belangrijkste begrippen kort toegelicht.</w:t>
      </w:r>
    </w:p>
    <w:p w:rsidR="00C94B8E" w:rsidP="4A92C8A2" w:rsidRDefault="63D20600" w14:paraId="787D43FF" w14:textId="713B32E2">
      <w:pPr>
        <w:pStyle w:val="Standaard"/>
        <w:jc w:val="center"/>
      </w:pPr>
      <w:r w:rsidR="4EC3FEBB">
        <w:drawing>
          <wp:inline wp14:editId="45AFB012" wp14:anchorId="480E22D3">
            <wp:extent cx="4762500" cy="2698750"/>
            <wp:effectExtent l="0" t="0" r="0" b="0"/>
            <wp:docPr id="1872917180" name="" title=""/>
            <wp:cNvGraphicFramePr>
              <a:graphicFrameLocks noChangeAspect="1"/>
            </wp:cNvGraphicFramePr>
            <a:graphic>
              <a:graphicData uri="http://schemas.openxmlformats.org/drawingml/2006/picture">
                <pic:pic>
                  <pic:nvPicPr>
                    <pic:cNvPr id="0" name=""/>
                    <pic:cNvPicPr/>
                  </pic:nvPicPr>
                  <pic:blipFill>
                    <a:blip r:embed="Rc3041a807aa04b87">
                      <a:extLst>
                        <a:ext xmlns:a="http://schemas.openxmlformats.org/drawingml/2006/main" uri="{28A0092B-C50C-407E-A947-70E740481C1C}">
                          <a14:useLocalDpi val="0"/>
                        </a:ext>
                      </a:extLst>
                    </a:blip>
                    <a:stretch>
                      <a:fillRect/>
                    </a:stretch>
                  </pic:blipFill>
                  <pic:spPr>
                    <a:xfrm>
                      <a:off x="0" y="0"/>
                      <a:ext cx="4762500" cy="2698750"/>
                    </a:xfrm>
                    <a:prstGeom prst="rect">
                      <a:avLst/>
                    </a:prstGeom>
                  </pic:spPr>
                </pic:pic>
              </a:graphicData>
            </a:graphic>
          </wp:inline>
        </w:drawing>
      </w:r>
    </w:p>
    <w:p w:rsidR="00C94B8E" w:rsidP="3EDE0AC5" w:rsidRDefault="3C8CB4F8" w14:paraId="1AE5837A" w14:textId="3C7B2025">
      <w:pPr>
        <w:pStyle w:val="Standaard"/>
        <w:rPr>
          <w:rFonts w:ascii="Calibri" w:hAnsi="Calibri" w:eastAsia="Calibri" w:cs="Calibri"/>
          <w:color w:val="000000" w:themeColor="text1"/>
        </w:rPr>
      </w:pPr>
      <w:r w:rsidRPr="49A34A5E" w:rsidR="4E9C4020">
        <w:rPr>
          <w:rFonts w:ascii="Calibri" w:hAnsi="Calibri" w:eastAsia="Calibri" w:cs="Calibri"/>
          <w:color w:val="000000" w:themeColor="text1" w:themeTint="FF" w:themeShade="FF"/>
        </w:rPr>
        <w:t xml:space="preserve">Het HUGS-model bestaat uit vier onderdelen die met elkaar </w:t>
      </w:r>
      <w:r w:rsidRPr="49A34A5E" w:rsidR="075DB1A3">
        <w:rPr>
          <w:rFonts w:ascii="Calibri" w:hAnsi="Calibri" w:eastAsia="Calibri" w:cs="Calibri"/>
          <w:color w:val="000000" w:themeColor="text1" w:themeTint="FF" w:themeShade="FF"/>
        </w:rPr>
        <w:t>bijdragen aan</w:t>
      </w:r>
      <w:r w:rsidRPr="49A34A5E" w:rsidR="4E9C4020">
        <w:rPr>
          <w:rFonts w:ascii="Calibri" w:hAnsi="Calibri" w:eastAsia="Calibri" w:cs="Calibri"/>
          <w:color w:val="000000" w:themeColor="text1" w:themeTint="FF" w:themeShade="FF"/>
        </w:rPr>
        <w:t xml:space="preserve"> studentsucces. </w:t>
      </w:r>
      <w:r w:rsidRPr="49A34A5E" w:rsidR="4E9C4020">
        <w:rPr>
          <w:rFonts w:ascii="Calibri" w:hAnsi="Calibri" w:eastAsia="Calibri" w:cs="Calibri"/>
          <w:color w:val="000000" w:themeColor="text1" w:themeTint="FF" w:themeShade="FF"/>
        </w:rPr>
        <w:t>Hieronder zijn deze begrippen kort toegelicht.</w:t>
      </w:r>
    </w:p>
    <w:p w:rsidR="0C0D2496" w:rsidP="3EDE0AC5" w:rsidRDefault="0C0D2496" w14:paraId="31D150A7" w14:textId="3BE08F39">
      <w:pPr>
        <w:rPr>
          <w:rFonts w:ascii="Calibri" w:hAnsi="Calibri" w:eastAsia="Calibri" w:cs="Calibri"/>
          <w:color w:val="000000" w:themeColor="text1" w:themeTint="FF" w:themeShade="FF"/>
        </w:rPr>
      </w:pPr>
      <w:r w:rsidRPr="3EDE0AC5" w:rsidR="0C0D2496">
        <w:rPr>
          <w:rFonts w:ascii="Calibri" w:hAnsi="Calibri" w:eastAsia="Calibri" w:cs="Calibri"/>
          <w:b w:val="1"/>
          <w:bCs w:val="1"/>
          <w:color w:val="000000" w:themeColor="text1" w:themeTint="FF" w:themeShade="FF"/>
          <w:u w:val="single"/>
        </w:rPr>
        <w:t>Studentsucces:</w:t>
      </w:r>
      <w:r w:rsidRPr="3EDE0AC5" w:rsidR="0C0D2496">
        <w:rPr>
          <w:rFonts w:ascii="Calibri" w:hAnsi="Calibri" w:eastAsia="Calibri" w:cs="Calibri"/>
          <w:b w:val="1"/>
          <w:bCs w:val="1"/>
          <w:color w:val="000000" w:themeColor="text1" w:themeTint="FF" w:themeShade="FF"/>
        </w:rPr>
        <w:t xml:space="preserve"> </w:t>
      </w:r>
      <w:r w:rsidRPr="3EDE0AC5" w:rsidR="0C0D2496">
        <w:rPr>
          <w:rFonts w:ascii="Calibri" w:hAnsi="Calibri" w:eastAsia="Calibri" w:cs="Calibri"/>
          <w:color w:val="000000" w:themeColor="text1" w:themeTint="FF" w:themeShade="FF"/>
        </w:rPr>
        <w:t>Met studentsucces wordt de bredere persoonsvorming bedoeld die studenten tijdens hun studietijd doormaken en die cruciaal is voor het voorbereiden op hun rol als betrokken professionals in de samenleving. Studentsucces is het resultaat van kwalificatie, socialisatie en subjectivering. Dit is waar het onderwijsproces zich op richt. Het HUGS-model laat zien welke elementen een rol spelen bij het bereiken van studentsucces. Vandaar dat studentsucces in het hart van het HUGS-model is geplaatst.</w:t>
      </w:r>
    </w:p>
    <w:p w:rsidR="00C94B8E" w:rsidP="1C1BA256" w:rsidRDefault="176E0B78" w14:paraId="6127CBFF" w14:textId="67A86DA0">
      <w:pPr>
        <w:rPr>
          <w:rFonts w:ascii="Calibri" w:hAnsi="Calibri" w:eastAsia="Calibri" w:cs="Calibri"/>
          <w:color w:val="000000" w:themeColor="text1"/>
        </w:rPr>
      </w:pPr>
      <w:r w:rsidRPr="1C1BA256">
        <w:rPr>
          <w:rFonts w:ascii="Calibri" w:hAnsi="Calibri" w:eastAsia="Calibri" w:cs="Calibri"/>
          <w:b/>
          <w:bCs/>
          <w:color w:val="000000" w:themeColor="text1"/>
          <w:u w:val="single"/>
        </w:rPr>
        <w:t>De visie op</w:t>
      </w:r>
      <w:r w:rsidRPr="1C1BA256" w:rsidR="3C8CB4F8">
        <w:rPr>
          <w:rFonts w:ascii="Calibri" w:hAnsi="Calibri" w:eastAsia="Calibri" w:cs="Calibri"/>
          <w:b/>
          <w:bCs/>
          <w:color w:val="000000" w:themeColor="text1"/>
          <w:u w:val="single"/>
        </w:rPr>
        <w:t xml:space="preserve"> onderwijs</w:t>
      </w:r>
      <w:r w:rsidRPr="1C1BA256" w:rsidR="3C8CB4F8">
        <w:rPr>
          <w:rFonts w:ascii="Calibri" w:hAnsi="Calibri" w:eastAsia="Calibri" w:cs="Calibri"/>
          <w:color w:val="000000" w:themeColor="text1"/>
        </w:rPr>
        <w:t xml:space="preserve">. Dit is de basisinfrastructuur die de andere factoren uit dit model mogelijk maakt. Bij </w:t>
      </w:r>
      <w:r w:rsidRPr="1C1BA256" w:rsidR="6C1F65C2">
        <w:rPr>
          <w:rFonts w:ascii="Calibri" w:hAnsi="Calibri" w:eastAsia="Calibri" w:cs="Calibri"/>
          <w:color w:val="000000" w:themeColor="text1"/>
        </w:rPr>
        <w:t>de visie op</w:t>
      </w:r>
      <w:r w:rsidRPr="1C1BA256" w:rsidR="3C8CB4F8">
        <w:rPr>
          <w:rFonts w:ascii="Calibri" w:hAnsi="Calibri" w:eastAsia="Calibri" w:cs="Calibri"/>
          <w:color w:val="000000" w:themeColor="text1"/>
        </w:rPr>
        <w:t xml:space="preserve"> onderwijs zijn de volgende thema’s van belang:</w:t>
      </w:r>
    </w:p>
    <w:p w:rsidR="00C94B8E" w:rsidP="62CEF831" w:rsidRDefault="3C8CB4F8" w14:paraId="1F2E1499" w14:textId="0F1A4AA6">
      <w:pPr>
        <w:pStyle w:val="Lijstalinea"/>
        <w:numPr>
          <w:ilvl w:val="0"/>
          <w:numId w:val="5"/>
        </w:numPr>
        <w:rPr>
          <w:rFonts w:ascii="Calibri" w:hAnsi="Calibri" w:eastAsia="Calibri" w:cs="Calibri"/>
          <w:color w:val="000000" w:themeColor="text1"/>
        </w:rPr>
      </w:pPr>
      <w:r w:rsidRPr="62CEF831">
        <w:rPr>
          <w:rFonts w:ascii="Calibri" w:hAnsi="Calibri" w:eastAsia="Calibri" w:cs="Calibri"/>
          <w:color w:val="000000" w:themeColor="text1"/>
        </w:rPr>
        <w:t>Participatief &amp; inclusief: bestaat uit de educatieve werkwijzen die bewust ontworpen zijn om participatie en inclusie te stimuleren.</w:t>
      </w:r>
    </w:p>
    <w:p w:rsidR="00C94B8E" w:rsidP="62CEF831" w:rsidRDefault="3C8CB4F8" w14:paraId="659784E8" w14:textId="5B527D1A">
      <w:pPr>
        <w:pStyle w:val="Lijstalinea"/>
        <w:numPr>
          <w:ilvl w:val="0"/>
          <w:numId w:val="5"/>
        </w:numPr>
        <w:rPr>
          <w:rFonts w:ascii="Calibri" w:hAnsi="Calibri" w:eastAsia="Calibri" w:cs="Calibri"/>
          <w:color w:val="000000" w:themeColor="text1"/>
        </w:rPr>
      </w:pPr>
      <w:r w:rsidRPr="62CEF831">
        <w:rPr>
          <w:rFonts w:ascii="Calibri" w:hAnsi="Calibri" w:eastAsia="Calibri" w:cs="Calibri"/>
          <w:color w:val="000000" w:themeColor="text1"/>
        </w:rPr>
        <w:t xml:space="preserve">Duurzaamheid: </w:t>
      </w:r>
      <w:r w:rsidRPr="62CEF831" w:rsidR="0F733077">
        <w:rPr>
          <w:rFonts w:ascii="Calibri" w:hAnsi="Calibri" w:eastAsia="Calibri" w:cs="Calibri"/>
          <w:color w:val="000000" w:themeColor="text1"/>
        </w:rPr>
        <w:t xml:space="preserve">de </w:t>
      </w:r>
      <w:r w:rsidRPr="62CEF831">
        <w:rPr>
          <w:rFonts w:ascii="Calibri" w:hAnsi="Calibri" w:eastAsia="Calibri" w:cs="Calibri"/>
          <w:color w:val="000000" w:themeColor="text1"/>
        </w:rPr>
        <w:t>stabiele basis voor het gezamenlijk werken aan studentsucces.</w:t>
      </w:r>
    </w:p>
    <w:p w:rsidR="00C94B8E" w:rsidP="1C1BA256" w:rsidRDefault="3C8CB4F8" w14:paraId="05016A34" w14:textId="170F613F">
      <w:pPr>
        <w:pStyle w:val="Lijstalinea"/>
        <w:numPr>
          <w:ilvl w:val="0"/>
          <w:numId w:val="5"/>
        </w:numPr>
        <w:rPr>
          <w:rFonts w:ascii="Calibri" w:hAnsi="Calibri" w:eastAsia="Calibri" w:cs="Calibri"/>
          <w:color w:val="000000" w:themeColor="text1"/>
        </w:rPr>
      </w:pPr>
      <w:r w:rsidRPr="1C1BA256">
        <w:rPr>
          <w:rFonts w:ascii="Calibri" w:hAnsi="Calibri" w:eastAsia="Calibri" w:cs="Calibri"/>
          <w:color w:val="000000" w:themeColor="text1"/>
        </w:rPr>
        <w:t>Functies van onderwijs: aandacht voor subjectivering, kwalificatie en socialisatie</w:t>
      </w:r>
      <w:r w:rsidRPr="1C1BA256" w:rsidR="0AA04D80">
        <w:rPr>
          <w:rFonts w:ascii="Calibri" w:hAnsi="Calibri" w:eastAsia="Calibri" w:cs="Calibri"/>
          <w:color w:val="000000" w:themeColor="text1"/>
        </w:rPr>
        <w:t xml:space="preserve"> (Biesta, 2015).</w:t>
      </w:r>
    </w:p>
    <w:p w:rsidR="00C94B8E" w:rsidP="62CEF831" w:rsidRDefault="3C8CB4F8" w14:paraId="74A23543" w14:textId="0B34D393">
      <w:pPr>
        <w:rPr>
          <w:rFonts w:ascii="Calibri" w:hAnsi="Calibri" w:eastAsia="Calibri" w:cs="Calibri"/>
          <w:color w:val="FF0000"/>
        </w:rPr>
      </w:pPr>
      <w:r w:rsidRPr="62CEF831">
        <w:rPr>
          <w:rFonts w:ascii="Calibri" w:hAnsi="Calibri" w:eastAsia="Calibri" w:cs="Calibri"/>
          <w:b/>
          <w:bCs/>
          <w:color w:val="000000" w:themeColor="text1"/>
          <w:u w:val="single"/>
        </w:rPr>
        <w:t>Docentbetrokkenheid.</w:t>
      </w:r>
      <w:r w:rsidRPr="62CEF831" w:rsidR="627CA869">
        <w:rPr>
          <w:rFonts w:ascii="Calibri" w:hAnsi="Calibri" w:eastAsia="Calibri" w:cs="Calibri"/>
          <w:color w:val="000000" w:themeColor="text1"/>
        </w:rPr>
        <w:t xml:space="preserve"> Hierbij gaat het over</w:t>
      </w:r>
      <w:r w:rsidRPr="62CEF831">
        <w:rPr>
          <w:rFonts w:ascii="Calibri" w:hAnsi="Calibri" w:eastAsia="Calibri" w:cs="Calibri"/>
          <w:color w:val="000000" w:themeColor="text1"/>
        </w:rPr>
        <w:t xml:space="preserve"> de gerichtheid van de docent op het stimuleren en enthousiasmeren van de individuele student. Bij docentbetrokkenheid zijn de volgende thema’s van belang:</w:t>
      </w:r>
    </w:p>
    <w:p w:rsidR="00C94B8E" w:rsidP="62CEF831" w:rsidRDefault="3C8CB4F8" w14:paraId="27998EC0" w14:textId="5674FD0B">
      <w:pPr>
        <w:pStyle w:val="Lijstalinea"/>
        <w:numPr>
          <w:ilvl w:val="0"/>
          <w:numId w:val="4"/>
        </w:numPr>
        <w:spacing w:after="0"/>
        <w:rPr>
          <w:rFonts w:ascii="Calibri" w:hAnsi="Calibri" w:eastAsia="Calibri" w:cs="Calibri"/>
          <w:color w:val="000000" w:themeColor="text1"/>
        </w:rPr>
      </w:pPr>
      <w:r w:rsidRPr="62CEF831">
        <w:rPr>
          <w:rFonts w:ascii="Calibri" w:hAnsi="Calibri" w:eastAsia="Calibri" w:cs="Calibri"/>
          <w:color w:val="000000" w:themeColor="text1"/>
        </w:rPr>
        <w:t>Verbinden &amp; ondersteunen: de docent nodigt de student uit om zich te verbinden, vanuit het verlangen om de student te helpen in zijn professionele ontwikkeling. Daarbij richt de docent zich zo veel mogelijk op het stimuleren van studentsucces.</w:t>
      </w:r>
    </w:p>
    <w:p w:rsidR="00C94B8E" w:rsidP="62CEF831" w:rsidRDefault="3C8CB4F8" w14:paraId="212B7229" w14:textId="7C1D9A50">
      <w:pPr>
        <w:pStyle w:val="Lijstalinea"/>
        <w:numPr>
          <w:ilvl w:val="0"/>
          <w:numId w:val="4"/>
        </w:numPr>
        <w:spacing w:after="0"/>
        <w:rPr>
          <w:rFonts w:ascii="Calibri" w:hAnsi="Calibri" w:eastAsia="Calibri" w:cs="Calibri"/>
          <w:color w:val="000000" w:themeColor="text1"/>
        </w:rPr>
      </w:pPr>
      <w:r w:rsidRPr="62CEF831">
        <w:rPr>
          <w:rFonts w:ascii="Calibri" w:hAnsi="Calibri" w:eastAsia="Calibri" w:cs="Calibri"/>
          <w:color w:val="000000" w:themeColor="text1"/>
        </w:rPr>
        <w:t>Signaleren &amp; stimuleren: het vroegtijdig signaleren van problemen en kansen op individueel en groepsniveau.</w:t>
      </w:r>
    </w:p>
    <w:p w:rsidR="00C94B8E" w:rsidP="1C1BA256" w:rsidRDefault="3C8CB4F8" w14:paraId="5EFAF53E" w14:textId="6D65D7DC">
      <w:pPr>
        <w:pStyle w:val="Lijstalinea"/>
        <w:numPr>
          <w:ilvl w:val="0"/>
          <w:numId w:val="4"/>
        </w:numPr>
        <w:spacing w:after="120"/>
        <w:rPr>
          <w:rFonts w:ascii="Calibri" w:hAnsi="Calibri" w:eastAsia="Calibri" w:cs="Calibri"/>
          <w:color w:val="000000" w:themeColor="text1"/>
        </w:rPr>
      </w:pPr>
      <w:r w:rsidRPr="1C1BA256">
        <w:rPr>
          <w:rFonts w:ascii="Calibri" w:hAnsi="Calibri" w:eastAsia="Calibri" w:cs="Calibri"/>
          <w:color w:val="000000" w:themeColor="text1"/>
        </w:rPr>
        <w:t xml:space="preserve">Docentwelzijn: aandacht voor de fysieke en de psychische gezondheid van de docent. </w:t>
      </w:r>
    </w:p>
    <w:p w:rsidR="00C94B8E" w:rsidP="62CEF831" w:rsidRDefault="3C8CB4F8" w14:paraId="39341E25" w14:textId="38153E95">
      <w:pPr>
        <w:rPr>
          <w:rFonts w:ascii="Calibri" w:hAnsi="Calibri" w:eastAsia="Calibri" w:cs="Calibri"/>
          <w:color w:val="000000" w:themeColor="text1"/>
        </w:rPr>
      </w:pPr>
      <w:r w:rsidRPr="62CEF831">
        <w:rPr>
          <w:rFonts w:ascii="Calibri" w:hAnsi="Calibri" w:eastAsia="Calibri" w:cs="Calibri"/>
          <w:b/>
          <w:bCs/>
          <w:color w:val="000000" w:themeColor="text1"/>
          <w:u w:val="single"/>
        </w:rPr>
        <w:t>Studentbetrokkenheid.</w:t>
      </w:r>
      <w:r w:rsidRPr="62CEF831">
        <w:rPr>
          <w:rFonts w:ascii="Calibri" w:hAnsi="Calibri" w:eastAsia="Calibri" w:cs="Calibri"/>
          <w:color w:val="000000" w:themeColor="text1"/>
        </w:rPr>
        <w:t xml:space="preserve"> De student toont in kennis, houding en gedrag de verbinding met het onderwijs. Bij studentbetrokkenheid zijn de volgende thema’s van belang: </w:t>
      </w:r>
    </w:p>
    <w:p w:rsidR="00C94B8E" w:rsidP="62CEF831" w:rsidRDefault="3C8CB4F8" w14:paraId="4059B8D6" w14:textId="4B1BF705">
      <w:pPr>
        <w:pStyle w:val="Lijstalinea"/>
        <w:numPr>
          <w:ilvl w:val="0"/>
          <w:numId w:val="3"/>
        </w:numPr>
        <w:ind w:left="1068"/>
        <w:rPr>
          <w:rFonts w:ascii="Calibri" w:hAnsi="Calibri" w:eastAsia="Calibri" w:cs="Calibri"/>
          <w:color w:val="000000" w:themeColor="text1"/>
        </w:rPr>
      </w:pPr>
      <w:r w:rsidRPr="62CEF831">
        <w:rPr>
          <w:rFonts w:ascii="Calibri" w:hAnsi="Calibri" w:eastAsia="Calibri" w:cs="Calibri"/>
          <w:color w:val="000000" w:themeColor="text1"/>
        </w:rPr>
        <w:t>Motivatie: een diversiteit aan factoren is van invloed op de wijze van motivatie van de student.</w:t>
      </w:r>
    </w:p>
    <w:p w:rsidR="00C94B8E" w:rsidP="62CEF831" w:rsidRDefault="3C8CB4F8" w14:paraId="5421D320" w14:textId="27854A37">
      <w:pPr>
        <w:pStyle w:val="Lijstalinea"/>
        <w:numPr>
          <w:ilvl w:val="0"/>
          <w:numId w:val="3"/>
        </w:numPr>
        <w:ind w:left="1068"/>
        <w:rPr>
          <w:rFonts w:ascii="Calibri" w:hAnsi="Calibri" w:eastAsia="Calibri" w:cs="Calibri"/>
          <w:color w:val="000000" w:themeColor="text1"/>
        </w:rPr>
      </w:pPr>
      <w:r w:rsidRPr="62CEF831">
        <w:rPr>
          <w:rFonts w:ascii="Calibri" w:hAnsi="Calibri" w:eastAsia="Calibri" w:cs="Calibri"/>
          <w:color w:val="000000" w:themeColor="text1"/>
        </w:rPr>
        <w:lastRenderedPageBreak/>
        <w:t xml:space="preserve">Psychosociale factoren: deze hebben invloed op de mate van betrokkenheid die studenten </w:t>
      </w:r>
      <w:r w:rsidRPr="62CEF831" w:rsidR="43E38262">
        <w:rPr>
          <w:rFonts w:ascii="Calibri" w:hAnsi="Calibri" w:eastAsia="Calibri" w:cs="Calibri"/>
          <w:color w:val="000000" w:themeColor="text1"/>
        </w:rPr>
        <w:t>(</w:t>
      </w:r>
      <w:r w:rsidRPr="62CEF831">
        <w:rPr>
          <w:rFonts w:ascii="Calibri" w:hAnsi="Calibri" w:eastAsia="Calibri" w:cs="Calibri"/>
          <w:color w:val="000000" w:themeColor="text1"/>
        </w:rPr>
        <w:t>kunnen</w:t>
      </w:r>
      <w:r w:rsidRPr="62CEF831" w:rsidR="742742AE">
        <w:rPr>
          <w:rFonts w:ascii="Calibri" w:hAnsi="Calibri" w:eastAsia="Calibri" w:cs="Calibri"/>
          <w:color w:val="000000" w:themeColor="text1"/>
        </w:rPr>
        <w:t>)</w:t>
      </w:r>
      <w:r w:rsidRPr="62CEF831">
        <w:rPr>
          <w:rFonts w:ascii="Calibri" w:hAnsi="Calibri" w:eastAsia="Calibri" w:cs="Calibri"/>
          <w:color w:val="000000" w:themeColor="text1"/>
        </w:rPr>
        <w:t xml:space="preserve"> laten zien. </w:t>
      </w:r>
    </w:p>
    <w:p w:rsidR="00C94B8E" w:rsidP="1C1BA256" w:rsidRDefault="3C8CB4F8" w14:paraId="2DAEA15F" w14:textId="3EA36B80">
      <w:pPr>
        <w:pStyle w:val="Lijstalinea"/>
        <w:numPr>
          <w:ilvl w:val="0"/>
          <w:numId w:val="2"/>
        </w:numPr>
        <w:ind w:left="1068"/>
        <w:rPr>
          <w:rFonts w:ascii="Calibri" w:hAnsi="Calibri" w:eastAsia="Calibri" w:cs="Calibri"/>
          <w:color w:val="000000" w:themeColor="text1"/>
        </w:rPr>
      </w:pPr>
      <w:r w:rsidRPr="1C1BA256">
        <w:rPr>
          <w:rFonts w:ascii="Calibri" w:hAnsi="Calibri" w:eastAsia="Calibri" w:cs="Calibri"/>
          <w:color w:val="000000" w:themeColor="text1"/>
        </w:rPr>
        <w:t xml:space="preserve">Studentwelzijn: aandacht voor de fysieke en de psychische gezondheid van de student. </w:t>
      </w:r>
    </w:p>
    <w:p w:rsidR="00C94B8E" w:rsidP="62CEF831" w:rsidRDefault="3C8CB4F8" w14:paraId="2ADFE1B2" w14:textId="14548F60">
      <w:pPr>
        <w:rPr>
          <w:rFonts w:ascii="Calibri" w:hAnsi="Calibri" w:eastAsia="Calibri" w:cs="Calibri"/>
          <w:color w:val="000000" w:themeColor="text1"/>
        </w:rPr>
      </w:pPr>
      <w:r w:rsidRPr="62CEF831">
        <w:rPr>
          <w:rFonts w:ascii="Calibri" w:hAnsi="Calibri" w:eastAsia="Calibri" w:cs="Calibri"/>
          <w:b/>
          <w:bCs/>
          <w:color w:val="000000" w:themeColor="text1"/>
          <w:u w:val="single"/>
        </w:rPr>
        <w:t>Gemeenschapsvorming.</w:t>
      </w:r>
      <w:r w:rsidRPr="62CEF831">
        <w:rPr>
          <w:rFonts w:ascii="Calibri" w:hAnsi="Calibri" w:eastAsia="Calibri" w:cs="Calibri"/>
          <w:color w:val="000000" w:themeColor="text1"/>
        </w:rPr>
        <w:t xml:space="preserve"> Hiervan is sprake als een groep deelnemers met gezamenlijke belangen samenkomt en bewust naar een gemeenschappelijk doel toewerkt. Bij gemeenschapsvorming zijn de volgende thema’s van belang:</w:t>
      </w:r>
    </w:p>
    <w:p w:rsidR="00C94B8E" w:rsidP="3C8A7F51" w:rsidRDefault="3C8CB4F8" w14:paraId="1C8154E9" w14:textId="595C5432">
      <w:pPr>
        <w:pStyle w:val="Lijstalinea"/>
        <w:numPr>
          <w:ilvl w:val="0"/>
          <w:numId w:val="1"/>
        </w:numPr>
        <w:rPr>
          <w:rFonts w:ascii="Calibri" w:hAnsi="Calibri" w:eastAsia="Calibri" w:cs="Calibri"/>
          <w:color w:val="000000" w:themeColor="text1"/>
        </w:rPr>
      </w:pPr>
      <w:r w:rsidRPr="3C8A7F51">
        <w:rPr>
          <w:rFonts w:ascii="Calibri" w:hAnsi="Calibri" w:eastAsia="Calibri" w:cs="Calibri"/>
          <w:color w:val="000000" w:themeColor="text1"/>
        </w:rPr>
        <w:t>Groepsbinding: dit heeft invloed op het deelnemen aan een gemeenschap, maar ook op de mate waarin de leden van een gemeenschap met elkaar verbonden zijn.</w:t>
      </w:r>
    </w:p>
    <w:p w:rsidR="00C94B8E" w:rsidP="3C8A7F51" w:rsidRDefault="3C8CB4F8" w14:paraId="1E086F04" w14:textId="7B5EFD74">
      <w:pPr>
        <w:pStyle w:val="Lijstalinea"/>
        <w:numPr>
          <w:ilvl w:val="0"/>
          <w:numId w:val="1"/>
        </w:numPr>
        <w:rPr>
          <w:rFonts w:ascii="Calibri" w:hAnsi="Calibri" w:eastAsia="Calibri" w:cs="Calibri"/>
          <w:color w:val="000000" w:themeColor="text1"/>
        </w:rPr>
      </w:pPr>
      <w:r w:rsidRPr="3C8A7F51">
        <w:rPr>
          <w:rFonts w:ascii="Calibri" w:hAnsi="Calibri" w:eastAsia="Calibri" w:cs="Calibri"/>
          <w:color w:val="000000" w:themeColor="text1"/>
        </w:rPr>
        <w:t xml:space="preserve">Groepsleren: de mate waarin studenten samen werken en samen leren. </w:t>
      </w:r>
    </w:p>
    <w:p w:rsidR="00C94B8E" w:rsidP="1C1BA256" w:rsidRDefault="3C8CB4F8" w14:paraId="5861768A" w14:textId="11703FA6">
      <w:pPr>
        <w:pStyle w:val="Lijstalinea"/>
        <w:numPr>
          <w:ilvl w:val="0"/>
          <w:numId w:val="1"/>
        </w:numPr>
        <w:rPr>
          <w:rFonts w:ascii="Calibri" w:hAnsi="Calibri" w:eastAsia="Calibri" w:cs="Calibri"/>
          <w:color w:val="000000" w:themeColor="text1"/>
        </w:rPr>
      </w:pPr>
      <w:r w:rsidRPr="1C1BA256">
        <w:rPr>
          <w:rFonts w:ascii="Calibri" w:hAnsi="Calibri" w:eastAsia="Calibri" w:cs="Calibri"/>
          <w:color w:val="000000" w:themeColor="text1"/>
        </w:rPr>
        <w:t>Groepswelzijn: aandacht voor de fysieke en de psychische gezondheid van de groep als geheel.</w:t>
      </w:r>
    </w:p>
    <w:p w:rsidR="00C94B8E" w:rsidP="62CEF831" w:rsidRDefault="3C8CB4F8" w14:paraId="6D608BB5" w14:textId="3720F54B">
      <w:pPr>
        <w:rPr>
          <w:rFonts w:ascii="Calibri" w:hAnsi="Calibri" w:eastAsia="Calibri" w:cs="Calibri"/>
          <w:color w:val="000000" w:themeColor="text1"/>
        </w:rPr>
      </w:pPr>
      <w:r w:rsidRPr="62CEF831">
        <w:rPr>
          <w:rFonts w:ascii="Calibri" w:hAnsi="Calibri" w:eastAsia="Calibri" w:cs="Calibri"/>
          <w:b/>
          <w:bCs/>
          <w:color w:val="000000" w:themeColor="text1"/>
          <w:u w:val="single"/>
        </w:rPr>
        <w:t>Samenhang tussen deze aspecten:</w:t>
      </w:r>
    </w:p>
    <w:p w:rsidR="00C94B8E" w:rsidP="1C1BA256" w:rsidRDefault="3C8CB4F8" w14:paraId="144EB07C" w14:textId="07AC164F">
      <w:pPr>
        <w:rPr>
          <w:rFonts w:ascii="Calibri" w:hAnsi="Calibri" w:eastAsia="Calibri" w:cs="Calibri"/>
          <w:color w:val="000000" w:themeColor="text1"/>
        </w:rPr>
      </w:pPr>
      <w:r w:rsidRPr="3EDE0AC5" w:rsidR="67667698">
        <w:rPr>
          <w:rFonts w:ascii="Calibri" w:hAnsi="Calibri" w:eastAsia="Calibri" w:cs="Calibri"/>
          <w:color w:val="000000" w:themeColor="text1" w:themeTint="FF" w:themeShade="FF"/>
        </w:rPr>
        <w:t>Docentbetrokkenheid, studentbetrokkenheid en gemeenschapsvorming zijn aspecten die elkaar wederzijds beïnvloeden en versterken. De docent en de student gaan vanuit hun betrokkenheid een relatie aan met elkaar die fundamenteel is voor het leerproces. Tegelijkertijd hebben docent en student naast die individuele band ook invloed op</w:t>
      </w:r>
      <w:r w:rsidRPr="3EDE0AC5" w:rsidR="32804F72">
        <w:rPr>
          <w:rFonts w:ascii="Calibri" w:hAnsi="Calibri" w:eastAsia="Calibri" w:cs="Calibri"/>
          <w:color w:val="000000" w:themeColor="text1" w:themeTint="FF" w:themeShade="FF"/>
        </w:rPr>
        <w:t xml:space="preserve"> de</w:t>
      </w:r>
      <w:r w:rsidRPr="3EDE0AC5" w:rsidR="67667698">
        <w:rPr>
          <w:rFonts w:ascii="Calibri" w:hAnsi="Calibri" w:eastAsia="Calibri" w:cs="Calibri"/>
          <w:color w:val="000000" w:themeColor="text1" w:themeTint="FF" w:themeShade="FF"/>
        </w:rPr>
        <w:t xml:space="preserve"> gemeenschapsvorming. Gemeenschapsvorming biedt de sociale omgeving waarin de docent-student relatie tot stand komt en gevoed kan worden. Onderling studentcontact binnen de gemeenschap heeft invloed op de individuele studentbetrokkenheid. Het inclusief en participatief onderwijs is de bedding waarbinnen deze aspecten tot stand komen</w:t>
      </w:r>
      <w:r w:rsidRPr="3EDE0AC5" w:rsidR="67667698">
        <w:rPr>
          <w:rFonts w:ascii="Calibri" w:hAnsi="Calibri" w:eastAsia="Calibri" w:cs="Calibri"/>
          <w:color w:val="FF0000"/>
        </w:rPr>
        <w:t>.</w:t>
      </w:r>
    </w:p>
    <w:p w:rsidR="62CEF831" w:rsidP="62CEF831" w:rsidRDefault="62CEF831" w14:paraId="7AFFB78F" w14:textId="09F12ABD">
      <w:pPr>
        <w:rPr>
          <w:rFonts w:ascii="Calibri" w:hAnsi="Calibri" w:eastAsia="Calibri" w:cs="Calibri"/>
          <w:color w:val="000000" w:themeColor="text1"/>
        </w:rPr>
      </w:pPr>
    </w:p>
    <w:p w:rsidR="0DD8A4BF" w:rsidP="62CEF831" w:rsidRDefault="0DD8A4BF" w14:paraId="4A7D9D35" w14:textId="4413327D">
      <w:pPr>
        <w:rPr>
          <w:rFonts w:ascii="Calibri" w:hAnsi="Calibri" w:eastAsia="Calibri" w:cs="Calibri"/>
          <w:color w:val="000000" w:themeColor="text1"/>
        </w:rPr>
      </w:pPr>
      <w:r w:rsidRPr="3EDE0AC5" w:rsidR="7858606E">
        <w:rPr>
          <w:rFonts w:ascii="Calibri" w:hAnsi="Calibri" w:eastAsia="Calibri" w:cs="Calibri"/>
          <w:color w:val="000000" w:themeColor="text1" w:themeTint="FF" w:themeShade="FF"/>
        </w:rPr>
        <w:t xml:space="preserve">Maart </w:t>
      </w:r>
      <w:r w:rsidRPr="3EDE0AC5" w:rsidR="5479EF79">
        <w:rPr>
          <w:rFonts w:ascii="Calibri" w:hAnsi="Calibri" w:eastAsia="Calibri" w:cs="Calibri"/>
          <w:color w:val="000000" w:themeColor="text1" w:themeTint="FF" w:themeShade="FF"/>
        </w:rPr>
        <w:t>2023</w:t>
      </w:r>
    </w:p>
    <w:p w:rsidR="0DD8A4BF" w:rsidP="62CEF831" w:rsidRDefault="0DD8A4BF" w14:paraId="09A9DDDC" w14:textId="7F2CD0EE">
      <w:pPr>
        <w:rPr>
          <w:rFonts w:ascii="Calibri" w:hAnsi="Calibri" w:eastAsia="Calibri" w:cs="Calibri"/>
          <w:color w:val="000000" w:themeColor="text1"/>
        </w:rPr>
      </w:pPr>
      <w:r w:rsidRPr="62CEF831">
        <w:rPr>
          <w:rFonts w:ascii="Calibri" w:hAnsi="Calibri" w:eastAsia="Calibri" w:cs="Calibri"/>
          <w:color w:val="000000" w:themeColor="text1"/>
        </w:rPr>
        <w:t>Roel Schulte, Lucian Stan, Johannes Ziskoven, Pien Prins</w:t>
      </w:r>
      <w:r w:rsidRPr="62CEF831" w:rsidR="78811731">
        <w:rPr>
          <w:rFonts w:ascii="Calibri" w:hAnsi="Calibri" w:eastAsia="Calibri" w:cs="Calibri"/>
          <w:color w:val="000000" w:themeColor="text1"/>
        </w:rPr>
        <w:t>, Josje Dikkers</w:t>
      </w:r>
    </w:p>
    <w:sectPr w:rsidR="0DD8A4B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A2264"/>
    <w:multiLevelType w:val="hybridMultilevel"/>
    <w:tmpl w:val="3550BED6"/>
    <w:lvl w:ilvl="0" w:tplc="C53AE0CE">
      <w:start w:val="1"/>
      <w:numFmt w:val="bullet"/>
      <w:lvlText w:val=""/>
      <w:lvlJc w:val="left"/>
      <w:pPr>
        <w:ind w:left="720" w:hanging="360"/>
      </w:pPr>
      <w:rPr>
        <w:rFonts w:hint="default" w:ascii="Symbol" w:hAnsi="Symbol"/>
      </w:rPr>
    </w:lvl>
    <w:lvl w:ilvl="1" w:tplc="E424C404">
      <w:start w:val="1"/>
      <w:numFmt w:val="bullet"/>
      <w:lvlText w:val="o"/>
      <w:lvlJc w:val="left"/>
      <w:pPr>
        <w:ind w:left="1080" w:hanging="360"/>
      </w:pPr>
      <w:rPr>
        <w:rFonts w:hint="default" w:ascii="Courier New" w:hAnsi="Courier New"/>
      </w:rPr>
    </w:lvl>
    <w:lvl w:ilvl="2" w:tplc="8ABA838E">
      <w:start w:val="1"/>
      <w:numFmt w:val="bullet"/>
      <w:lvlText w:val=""/>
      <w:lvlJc w:val="left"/>
      <w:pPr>
        <w:ind w:left="1800" w:hanging="360"/>
      </w:pPr>
      <w:rPr>
        <w:rFonts w:hint="default" w:ascii="Wingdings" w:hAnsi="Wingdings"/>
      </w:rPr>
    </w:lvl>
    <w:lvl w:ilvl="3" w:tplc="736A2D6E">
      <w:start w:val="1"/>
      <w:numFmt w:val="bullet"/>
      <w:lvlText w:val=""/>
      <w:lvlJc w:val="left"/>
      <w:pPr>
        <w:ind w:left="2520" w:hanging="360"/>
      </w:pPr>
      <w:rPr>
        <w:rFonts w:hint="default" w:ascii="Symbol" w:hAnsi="Symbol"/>
      </w:rPr>
    </w:lvl>
    <w:lvl w:ilvl="4" w:tplc="2B34F652">
      <w:start w:val="1"/>
      <w:numFmt w:val="bullet"/>
      <w:lvlText w:val="o"/>
      <w:lvlJc w:val="left"/>
      <w:pPr>
        <w:ind w:left="3240" w:hanging="360"/>
      </w:pPr>
      <w:rPr>
        <w:rFonts w:hint="default" w:ascii="Courier New" w:hAnsi="Courier New"/>
      </w:rPr>
    </w:lvl>
    <w:lvl w:ilvl="5" w:tplc="71A6567A">
      <w:start w:val="1"/>
      <w:numFmt w:val="bullet"/>
      <w:lvlText w:val=""/>
      <w:lvlJc w:val="left"/>
      <w:pPr>
        <w:ind w:left="3960" w:hanging="360"/>
      </w:pPr>
      <w:rPr>
        <w:rFonts w:hint="default" w:ascii="Wingdings" w:hAnsi="Wingdings"/>
      </w:rPr>
    </w:lvl>
    <w:lvl w:ilvl="6" w:tplc="E014F3AA">
      <w:start w:val="1"/>
      <w:numFmt w:val="bullet"/>
      <w:lvlText w:val=""/>
      <w:lvlJc w:val="left"/>
      <w:pPr>
        <w:ind w:left="4680" w:hanging="360"/>
      </w:pPr>
      <w:rPr>
        <w:rFonts w:hint="default" w:ascii="Symbol" w:hAnsi="Symbol"/>
      </w:rPr>
    </w:lvl>
    <w:lvl w:ilvl="7" w:tplc="8A72E2DA">
      <w:start w:val="1"/>
      <w:numFmt w:val="bullet"/>
      <w:lvlText w:val="o"/>
      <w:lvlJc w:val="left"/>
      <w:pPr>
        <w:ind w:left="5400" w:hanging="360"/>
      </w:pPr>
      <w:rPr>
        <w:rFonts w:hint="default" w:ascii="Courier New" w:hAnsi="Courier New"/>
      </w:rPr>
    </w:lvl>
    <w:lvl w:ilvl="8" w:tplc="7D687EB4">
      <w:start w:val="1"/>
      <w:numFmt w:val="bullet"/>
      <w:lvlText w:val=""/>
      <w:lvlJc w:val="left"/>
      <w:pPr>
        <w:ind w:left="6120" w:hanging="360"/>
      </w:pPr>
      <w:rPr>
        <w:rFonts w:hint="default" w:ascii="Wingdings" w:hAnsi="Wingdings"/>
      </w:rPr>
    </w:lvl>
  </w:abstractNum>
  <w:abstractNum w:abstractNumId="1" w15:restartNumberingAfterBreak="0">
    <w:nsid w:val="38C78FCE"/>
    <w:multiLevelType w:val="hybridMultilevel"/>
    <w:tmpl w:val="2FE4C462"/>
    <w:lvl w:ilvl="0" w:tplc="5F523C32">
      <w:start w:val="1"/>
      <w:numFmt w:val="bullet"/>
      <w:lvlText w:val=""/>
      <w:lvlJc w:val="left"/>
      <w:pPr>
        <w:ind w:left="1068" w:hanging="360"/>
      </w:pPr>
      <w:rPr>
        <w:rFonts w:hint="default" w:ascii="Symbol" w:hAnsi="Symbol"/>
      </w:rPr>
    </w:lvl>
    <w:lvl w:ilvl="1" w:tplc="AEA20ABA">
      <w:start w:val="1"/>
      <w:numFmt w:val="bullet"/>
      <w:lvlText w:val="o"/>
      <w:lvlJc w:val="left"/>
      <w:pPr>
        <w:ind w:left="1080" w:hanging="360"/>
      </w:pPr>
      <w:rPr>
        <w:rFonts w:hint="default" w:ascii="Courier New" w:hAnsi="Courier New"/>
      </w:rPr>
    </w:lvl>
    <w:lvl w:ilvl="2" w:tplc="C966DCE2">
      <w:start w:val="1"/>
      <w:numFmt w:val="bullet"/>
      <w:lvlText w:val=""/>
      <w:lvlJc w:val="left"/>
      <w:pPr>
        <w:ind w:left="1800" w:hanging="360"/>
      </w:pPr>
      <w:rPr>
        <w:rFonts w:hint="default" w:ascii="Wingdings" w:hAnsi="Wingdings"/>
      </w:rPr>
    </w:lvl>
    <w:lvl w:ilvl="3" w:tplc="70168F76">
      <w:start w:val="1"/>
      <w:numFmt w:val="bullet"/>
      <w:lvlText w:val=""/>
      <w:lvlJc w:val="left"/>
      <w:pPr>
        <w:ind w:left="2520" w:hanging="360"/>
      </w:pPr>
      <w:rPr>
        <w:rFonts w:hint="default" w:ascii="Symbol" w:hAnsi="Symbol"/>
      </w:rPr>
    </w:lvl>
    <w:lvl w:ilvl="4" w:tplc="44060E94">
      <w:start w:val="1"/>
      <w:numFmt w:val="bullet"/>
      <w:lvlText w:val="o"/>
      <w:lvlJc w:val="left"/>
      <w:pPr>
        <w:ind w:left="3240" w:hanging="360"/>
      </w:pPr>
      <w:rPr>
        <w:rFonts w:hint="default" w:ascii="Courier New" w:hAnsi="Courier New"/>
      </w:rPr>
    </w:lvl>
    <w:lvl w:ilvl="5" w:tplc="A786559A">
      <w:start w:val="1"/>
      <w:numFmt w:val="bullet"/>
      <w:lvlText w:val=""/>
      <w:lvlJc w:val="left"/>
      <w:pPr>
        <w:ind w:left="3960" w:hanging="360"/>
      </w:pPr>
      <w:rPr>
        <w:rFonts w:hint="default" w:ascii="Wingdings" w:hAnsi="Wingdings"/>
      </w:rPr>
    </w:lvl>
    <w:lvl w:ilvl="6" w:tplc="80A23E8A">
      <w:start w:val="1"/>
      <w:numFmt w:val="bullet"/>
      <w:lvlText w:val=""/>
      <w:lvlJc w:val="left"/>
      <w:pPr>
        <w:ind w:left="4680" w:hanging="360"/>
      </w:pPr>
      <w:rPr>
        <w:rFonts w:hint="default" w:ascii="Symbol" w:hAnsi="Symbol"/>
      </w:rPr>
    </w:lvl>
    <w:lvl w:ilvl="7" w:tplc="B5B211D2">
      <w:start w:val="1"/>
      <w:numFmt w:val="bullet"/>
      <w:lvlText w:val="o"/>
      <w:lvlJc w:val="left"/>
      <w:pPr>
        <w:ind w:left="5400" w:hanging="360"/>
      </w:pPr>
      <w:rPr>
        <w:rFonts w:hint="default" w:ascii="Courier New" w:hAnsi="Courier New"/>
      </w:rPr>
    </w:lvl>
    <w:lvl w:ilvl="8" w:tplc="0B366E8E">
      <w:start w:val="1"/>
      <w:numFmt w:val="bullet"/>
      <w:lvlText w:val=""/>
      <w:lvlJc w:val="left"/>
      <w:pPr>
        <w:ind w:left="6120" w:hanging="360"/>
      </w:pPr>
      <w:rPr>
        <w:rFonts w:hint="default" w:ascii="Wingdings" w:hAnsi="Wingdings"/>
      </w:rPr>
    </w:lvl>
  </w:abstractNum>
  <w:abstractNum w:abstractNumId="2" w15:restartNumberingAfterBreak="0">
    <w:nsid w:val="4575D5DD"/>
    <w:multiLevelType w:val="hybridMultilevel"/>
    <w:tmpl w:val="BF56DABE"/>
    <w:lvl w:ilvl="0" w:tplc="5E44BA8C">
      <w:start w:val="1"/>
      <w:numFmt w:val="bullet"/>
      <w:lvlText w:val=""/>
      <w:lvlJc w:val="left"/>
      <w:pPr>
        <w:ind w:left="720" w:hanging="360"/>
      </w:pPr>
      <w:rPr>
        <w:rFonts w:hint="default" w:ascii="Symbol" w:hAnsi="Symbol"/>
      </w:rPr>
    </w:lvl>
    <w:lvl w:ilvl="1" w:tplc="2048B81C">
      <w:start w:val="1"/>
      <w:numFmt w:val="bullet"/>
      <w:lvlText w:val="o"/>
      <w:lvlJc w:val="left"/>
      <w:pPr>
        <w:ind w:left="1080" w:hanging="360"/>
      </w:pPr>
      <w:rPr>
        <w:rFonts w:hint="default" w:ascii="Courier New" w:hAnsi="Courier New"/>
      </w:rPr>
    </w:lvl>
    <w:lvl w:ilvl="2" w:tplc="9B581CAC">
      <w:start w:val="1"/>
      <w:numFmt w:val="bullet"/>
      <w:lvlText w:val=""/>
      <w:lvlJc w:val="left"/>
      <w:pPr>
        <w:ind w:left="1800" w:hanging="360"/>
      </w:pPr>
      <w:rPr>
        <w:rFonts w:hint="default" w:ascii="Wingdings" w:hAnsi="Wingdings"/>
      </w:rPr>
    </w:lvl>
    <w:lvl w:ilvl="3" w:tplc="3A38E938">
      <w:start w:val="1"/>
      <w:numFmt w:val="bullet"/>
      <w:lvlText w:val=""/>
      <w:lvlJc w:val="left"/>
      <w:pPr>
        <w:ind w:left="2520" w:hanging="360"/>
      </w:pPr>
      <w:rPr>
        <w:rFonts w:hint="default" w:ascii="Symbol" w:hAnsi="Symbol"/>
      </w:rPr>
    </w:lvl>
    <w:lvl w:ilvl="4" w:tplc="A31C1A44">
      <w:start w:val="1"/>
      <w:numFmt w:val="bullet"/>
      <w:lvlText w:val="o"/>
      <w:lvlJc w:val="left"/>
      <w:pPr>
        <w:ind w:left="3240" w:hanging="360"/>
      </w:pPr>
      <w:rPr>
        <w:rFonts w:hint="default" w:ascii="Courier New" w:hAnsi="Courier New"/>
      </w:rPr>
    </w:lvl>
    <w:lvl w:ilvl="5" w:tplc="0E6A59C4">
      <w:start w:val="1"/>
      <w:numFmt w:val="bullet"/>
      <w:lvlText w:val=""/>
      <w:lvlJc w:val="left"/>
      <w:pPr>
        <w:ind w:left="3960" w:hanging="360"/>
      </w:pPr>
      <w:rPr>
        <w:rFonts w:hint="default" w:ascii="Wingdings" w:hAnsi="Wingdings"/>
      </w:rPr>
    </w:lvl>
    <w:lvl w:ilvl="6" w:tplc="36084166">
      <w:start w:val="1"/>
      <w:numFmt w:val="bullet"/>
      <w:lvlText w:val=""/>
      <w:lvlJc w:val="left"/>
      <w:pPr>
        <w:ind w:left="4680" w:hanging="360"/>
      </w:pPr>
      <w:rPr>
        <w:rFonts w:hint="default" w:ascii="Symbol" w:hAnsi="Symbol"/>
      </w:rPr>
    </w:lvl>
    <w:lvl w:ilvl="7" w:tplc="70ACDC58">
      <w:start w:val="1"/>
      <w:numFmt w:val="bullet"/>
      <w:lvlText w:val="o"/>
      <w:lvlJc w:val="left"/>
      <w:pPr>
        <w:ind w:left="5400" w:hanging="360"/>
      </w:pPr>
      <w:rPr>
        <w:rFonts w:hint="default" w:ascii="Courier New" w:hAnsi="Courier New"/>
      </w:rPr>
    </w:lvl>
    <w:lvl w:ilvl="8" w:tplc="B9569D64">
      <w:start w:val="1"/>
      <w:numFmt w:val="bullet"/>
      <w:lvlText w:val=""/>
      <w:lvlJc w:val="left"/>
      <w:pPr>
        <w:ind w:left="6120" w:hanging="360"/>
      </w:pPr>
      <w:rPr>
        <w:rFonts w:hint="default" w:ascii="Wingdings" w:hAnsi="Wingdings"/>
      </w:rPr>
    </w:lvl>
  </w:abstractNum>
  <w:abstractNum w:abstractNumId="3" w15:restartNumberingAfterBreak="0">
    <w:nsid w:val="55C984A3"/>
    <w:multiLevelType w:val="hybridMultilevel"/>
    <w:tmpl w:val="1BB20326"/>
    <w:lvl w:ilvl="0" w:tplc="265ACFFC">
      <w:start w:val="1"/>
      <w:numFmt w:val="decimal"/>
      <w:lvlText w:val="%1."/>
      <w:lvlJc w:val="left"/>
      <w:pPr>
        <w:ind w:left="720" w:hanging="360"/>
      </w:pPr>
    </w:lvl>
    <w:lvl w:ilvl="1" w:tplc="7228F748">
      <w:start w:val="1"/>
      <w:numFmt w:val="bullet"/>
      <w:lvlText w:val=""/>
      <w:lvlJc w:val="left"/>
      <w:pPr>
        <w:ind w:left="1440" w:hanging="360"/>
      </w:pPr>
      <w:rPr>
        <w:rFonts w:hint="default" w:ascii="Symbol" w:hAnsi="Symbol"/>
      </w:rPr>
    </w:lvl>
    <w:lvl w:ilvl="2" w:tplc="119C0AD8">
      <w:start w:val="1"/>
      <w:numFmt w:val="lowerRoman"/>
      <w:lvlText w:val="%3."/>
      <w:lvlJc w:val="right"/>
      <w:pPr>
        <w:ind w:left="2160" w:hanging="180"/>
      </w:pPr>
    </w:lvl>
    <w:lvl w:ilvl="3" w:tplc="76DE81F2">
      <w:start w:val="1"/>
      <w:numFmt w:val="decimal"/>
      <w:lvlText w:val="%4."/>
      <w:lvlJc w:val="left"/>
      <w:pPr>
        <w:ind w:left="2880" w:hanging="360"/>
      </w:pPr>
    </w:lvl>
    <w:lvl w:ilvl="4" w:tplc="ACE8C3A8">
      <w:start w:val="1"/>
      <w:numFmt w:val="lowerLetter"/>
      <w:lvlText w:val="%5."/>
      <w:lvlJc w:val="left"/>
      <w:pPr>
        <w:ind w:left="3600" w:hanging="360"/>
      </w:pPr>
    </w:lvl>
    <w:lvl w:ilvl="5" w:tplc="A61065D2">
      <w:start w:val="1"/>
      <w:numFmt w:val="lowerRoman"/>
      <w:lvlText w:val="%6."/>
      <w:lvlJc w:val="right"/>
      <w:pPr>
        <w:ind w:left="4320" w:hanging="180"/>
      </w:pPr>
    </w:lvl>
    <w:lvl w:ilvl="6" w:tplc="B1DE38A8">
      <w:start w:val="1"/>
      <w:numFmt w:val="decimal"/>
      <w:lvlText w:val="%7."/>
      <w:lvlJc w:val="left"/>
      <w:pPr>
        <w:ind w:left="5040" w:hanging="360"/>
      </w:pPr>
    </w:lvl>
    <w:lvl w:ilvl="7" w:tplc="D728CE10">
      <w:start w:val="1"/>
      <w:numFmt w:val="lowerLetter"/>
      <w:lvlText w:val="%8."/>
      <w:lvlJc w:val="left"/>
      <w:pPr>
        <w:ind w:left="5760" w:hanging="360"/>
      </w:pPr>
    </w:lvl>
    <w:lvl w:ilvl="8" w:tplc="BE8232AC">
      <w:start w:val="1"/>
      <w:numFmt w:val="lowerRoman"/>
      <w:lvlText w:val="%9."/>
      <w:lvlJc w:val="right"/>
      <w:pPr>
        <w:ind w:left="6480" w:hanging="180"/>
      </w:pPr>
    </w:lvl>
  </w:abstractNum>
  <w:abstractNum w:abstractNumId="4" w15:restartNumberingAfterBreak="0">
    <w:nsid w:val="651098DE"/>
    <w:multiLevelType w:val="hybridMultilevel"/>
    <w:tmpl w:val="BE126D4E"/>
    <w:lvl w:ilvl="0" w:tplc="B002CF82">
      <w:start w:val="1"/>
      <w:numFmt w:val="bullet"/>
      <w:lvlText w:val=""/>
      <w:lvlJc w:val="left"/>
      <w:pPr>
        <w:ind w:left="1428" w:hanging="360"/>
      </w:pPr>
      <w:rPr>
        <w:rFonts w:hint="default" w:ascii="Symbol" w:hAnsi="Symbol"/>
      </w:rPr>
    </w:lvl>
    <w:lvl w:ilvl="1" w:tplc="289C4C5E">
      <w:start w:val="1"/>
      <w:numFmt w:val="bullet"/>
      <w:lvlText w:val="o"/>
      <w:lvlJc w:val="left"/>
      <w:pPr>
        <w:ind w:left="1440" w:hanging="360"/>
      </w:pPr>
      <w:rPr>
        <w:rFonts w:hint="default" w:ascii="Courier New" w:hAnsi="Courier New"/>
      </w:rPr>
    </w:lvl>
    <w:lvl w:ilvl="2" w:tplc="35F8D756">
      <w:start w:val="1"/>
      <w:numFmt w:val="bullet"/>
      <w:lvlText w:val=""/>
      <w:lvlJc w:val="left"/>
      <w:pPr>
        <w:ind w:left="2160" w:hanging="360"/>
      </w:pPr>
      <w:rPr>
        <w:rFonts w:hint="default" w:ascii="Wingdings" w:hAnsi="Wingdings"/>
      </w:rPr>
    </w:lvl>
    <w:lvl w:ilvl="3" w:tplc="ACAA8C68">
      <w:start w:val="1"/>
      <w:numFmt w:val="bullet"/>
      <w:lvlText w:val=""/>
      <w:lvlJc w:val="left"/>
      <w:pPr>
        <w:ind w:left="2880" w:hanging="360"/>
      </w:pPr>
      <w:rPr>
        <w:rFonts w:hint="default" w:ascii="Symbol" w:hAnsi="Symbol"/>
      </w:rPr>
    </w:lvl>
    <w:lvl w:ilvl="4" w:tplc="1BEEBB3C">
      <w:start w:val="1"/>
      <w:numFmt w:val="bullet"/>
      <w:lvlText w:val="o"/>
      <w:lvlJc w:val="left"/>
      <w:pPr>
        <w:ind w:left="3600" w:hanging="360"/>
      </w:pPr>
      <w:rPr>
        <w:rFonts w:hint="default" w:ascii="Courier New" w:hAnsi="Courier New"/>
      </w:rPr>
    </w:lvl>
    <w:lvl w:ilvl="5" w:tplc="72BE6072">
      <w:start w:val="1"/>
      <w:numFmt w:val="bullet"/>
      <w:lvlText w:val=""/>
      <w:lvlJc w:val="left"/>
      <w:pPr>
        <w:ind w:left="4320" w:hanging="360"/>
      </w:pPr>
      <w:rPr>
        <w:rFonts w:hint="default" w:ascii="Wingdings" w:hAnsi="Wingdings"/>
      </w:rPr>
    </w:lvl>
    <w:lvl w:ilvl="6" w:tplc="6214311C">
      <w:start w:val="1"/>
      <w:numFmt w:val="bullet"/>
      <w:lvlText w:val=""/>
      <w:lvlJc w:val="left"/>
      <w:pPr>
        <w:ind w:left="5040" w:hanging="360"/>
      </w:pPr>
      <w:rPr>
        <w:rFonts w:hint="default" w:ascii="Symbol" w:hAnsi="Symbol"/>
      </w:rPr>
    </w:lvl>
    <w:lvl w:ilvl="7" w:tplc="9064C65E">
      <w:start w:val="1"/>
      <w:numFmt w:val="bullet"/>
      <w:lvlText w:val="o"/>
      <w:lvlJc w:val="left"/>
      <w:pPr>
        <w:ind w:left="5760" w:hanging="360"/>
      </w:pPr>
      <w:rPr>
        <w:rFonts w:hint="default" w:ascii="Courier New" w:hAnsi="Courier New"/>
      </w:rPr>
    </w:lvl>
    <w:lvl w:ilvl="8" w:tplc="BAD4FD82">
      <w:start w:val="1"/>
      <w:numFmt w:val="bullet"/>
      <w:lvlText w:val=""/>
      <w:lvlJc w:val="left"/>
      <w:pPr>
        <w:ind w:left="6480" w:hanging="360"/>
      </w:pPr>
      <w:rPr>
        <w:rFonts w:hint="default" w:ascii="Wingdings" w:hAnsi="Wingdings"/>
      </w:rPr>
    </w:lvl>
  </w:abstractNum>
  <w:num w:numId="1" w16cid:durableId="1040587635">
    <w:abstractNumId w:val="4"/>
  </w:num>
  <w:num w:numId="2" w16cid:durableId="1647473563">
    <w:abstractNumId w:val="0"/>
  </w:num>
  <w:num w:numId="3" w16cid:durableId="1755971781">
    <w:abstractNumId w:val="2"/>
  </w:num>
  <w:num w:numId="4" w16cid:durableId="123239704">
    <w:abstractNumId w:val="1"/>
  </w:num>
  <w:num w:numId="5" w16cid:durableId="515729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365112"/>
    <w:rsid w:val="00790B8A"/>
    <w:rsid w:val="009E399A"/>
    <w:rsid w:val="00BDFC65"/>
    <w:rsid w:val="00C94B8E"/>
    <w:rsid w:val="075DB1A3"/>
    <w:rsid w:val="077A7470"/>
    <w:rsid w:val="0AA04D80"/>
    <w:rsid w:val="0C0D2496"/>
    <w:rsid w:val="0DD8A4BF"/>
    <w:rsid w:val="0F733077"/>
    <w:rsid w:val="1131854A"/>
    <w:rsid w:val="13007C1A"/>
    <w:rsid w:val="13DE67CB"/>
    <w:rsid w:val="176E0B78"/>
    <w:rsid w:val="1B36BB3B"/>
    <w:rsid w:val="1B37F8FB"/>
    <w:rsid w:val="1C08573A"/>
    <w:rsid w:val="1C1BA256"/>
    <w:rsid w:val="1CC27D2C"/>
    <w:rsid w:val="1F8DEAF9"/>
    <w:rsid w:val="2129BB5A"/>
    <w:rsid w:val="219D118C"/>
    <w:rsid w:val="26C88575"/>
    <w:rsid w:val="28365112"/>
    <w:rsid w:val="2991D1E9"/>
    <w:rsid w:val="32804F72"/>
    <w:rsid w:val="3952DE8F"/>
    <w:rsid w:val="3C8A7F51"/>
    <w:rsid w:val="3C8CB4F8"/>
    <w:rsid w:val="3CB0C4A2"/>
    <w:rsid w:val="3CD351B2"/>
    <w:rsid w:val="3E492D87"/>
    <w:rsid w:val="3EDE0AC5"/>
    <w:rsid w:val="43E38262"/>
    <w:rsid w:val="44D696AE"/>
    <w:rsid w:val="45AFB012"/>
    <w:rsid w:val="49A34A5E"/>
    <w:rsid w:val="4A3F192A"/>
    <w:rsid w:val="4A92C8A2"/>
    <w:rsid w:val="4B45D832"/>
    <w:rsid w:val="4C1EDAFE"/>
    <w:rsid w:val="4CA38616"/>
    <w:rsid w:val="4D0AC8AE"/>
    <w:rsid w:val="4E9C4020"/>
    <w:rsid w:val="4EC3FEBB"/>
    <w:rsid w:val="53EA7F35"/>
    <w:rsid w:val="5479EF79"/>
    <w:rsid w:val="54F4A7FE"/>
    <w:rsid w:val="551E89E4"/>
    <w:rsid w:val="60106EFD"/>
    <w:rsid w:val="6073FF67"/>
    <w:rsid w:val="627CA869"/>
    <w:rsid w:val="62A5D816"/>
    <w:rsid w:val="62CEF831"/>
    <w:rsid w:val="63A44289"/>
    <w:rsid w:val="63B2C366"/>
    <w:rsid w:val="63D20600"/>
    <w:rsid w:val="6532DE06"/>
    <w:rsid w:val="6689A50F"/>
    <w:rsid w:val="67667698"/>
    <w:rsid w:val="68E33723"/>
    <w:rsid w:val="6B5835BD"/>
    <w:rsid w:val="6C15D811"/>
    <w:rsid w:val="6C1F65C2"/>
    <w:rsid w:val="6D0C94CB"/>
    <w:rsid w:val="6D395A12"/>
    <w:rsid w:val="6D407D4F"/>
    <w:rsid w:val="6D8212E2"/>
    <w:rsid w:val="6F8C48A4"/>
    <w:rsid w:val="70CDEB30"/>
    <w:rsid w:val="71281905"/>
    <w:rsid w:val="71996925"/>
    <w:rsid w:val="71C6DE8C"/>
    <w:rsid w:val="742742AE"/>
    <w:rsid w:val="763A1302"/>
    <w:rsid w:val="77107FB0"/>
    <w:rsid w:val="7858606E"/>
    <w:rsid w:val="78811731"/>
    <w:rsid w:val="7D6698D7"/>
    <w:rsid w:val="7F79D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CE9F"/>
  <w15:chartTrackingRefBased/>
  <w15:docId w15:val="{57F5E955-31DA-472C-82F4-3162BBA0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c3041a807aa04b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4109C8028DA4BBEF893326B66F094" ma:contentTypeVersion="15" ma:contentTypeDescription="Een nieuw document maken." ma:contentTypeScope="" ma:versionID="7bf8265d77c68efde9caaa711edfe0bd">
  <xsd:schema xmlns:xsd="http://www.w3.org/2001/XMLSchema" xmlns:xs="http://www.w3.org/2001/XMLSchema" xmlns:p="http://schemas.microsoft.com/office/2006/metadata/properties" xmlns:ns2="6fd91002-d758-4ee6-9160-ea2ecfd378ea" xmlns:ns3="adca4810-9b26-45eb-b612-006df70541e1" targetNamespace="http://schemas.microsoft.com/office/2006/metadata/properties" ma:root="true" ma:fieldsID="7cc25f639272bc9f656c14bdb35057d0" ns2:_="" ns3:_="">
    <xsd:import namespace="6fd91002-d758-4ee6-9160-ea2ecfd378ea"/>
    <xsd:import namespace="adca4810-9b26-45eb-b612-006df70541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91002-d758-4ee6-9160-ea2ecfd37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115ee84-c194-4add-8ddb-ad54b768e1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a4810-9b26-45eb-b612-006df70541e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2445dd1a-790e-4169-a9b4-598794d2c8a7}" ma:internalName="TaxCatchAll" ma:showField="CatchAllData" ma:web="adca4810-9b26-45eb-b612-006df70541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6fd91002-d758-4ee6-9160-ea2ecfd378ea" xsi:nil="true"/>
    <TaxCatchAll xmlns="adca4810-9b26-45eb-b612-006df70541e1" xsi:nil="true"/>
    <lcf76f155ced4ddcb4097134ff3c332f xmlns="6fd91002-d758-4ee6-9160-ea2ecfd378ea">
      <Terms xmlns="http://schemas.microsoft.com/office/infopath/2007/PartnerControls"/>
    </lcf76f155ced4ddcb4097134ff3c332f>
    <SharedWithUsers xmlns="adca4810-9b26-45eb-b612-006df70541e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1A4B5-EE52-45F1-9A09-E7492E0AD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91002-d758-4ee6-9160-ea2ecfd378ea"/>
    <ds:schemaRef ds:uri="adca4810-9b26-45eb-b612-006df7054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C1F40-82BE-4B06-8065-F56792C0D865}">
  <ds:schemaRefs>
    <ds:schemaRef ds:uri="http://schemas.microsoft.com/office/2006/metadata/properties"/>
    <ds:schemaRef ds:uri="http://schemas.microsoft.com/office/infopath/2007/PartnerControls"/>
    <ds:schemaRef ds:uri="6fd91002-d758-4ee6-9160-ea2ecfd378ea"/>
    <ds:schemaRef ds:uri="adca4810-9b26-45eb-b612-006df70541e1"/>
  </ds:schemaRefs>
</ds:datastoreItem>
</file>

<file path=customXml/itemProps3.xml><?xml version="1.0" encoding="utf-8"?>
<ds:datastoreItem xmlns:ds="http://schemas.openxmlformats.org/officeDocument/2006/customXml" ds:itemID="{2C407E50-1DBE-43BA-99F8-148169F502B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Roel Schulte</dc:creator>
  <keywords/>
  <dc:description/>
  <lastModifiedBy>Johannes Ziskoven</lastModifiedBy>
  <revision>6</revision>
  <dcterms:created xsi:type="dcterms:W3CDTF">2023-01-17T09:14:00.0000000Z</dcterms:created>
  <dcterms:modified xsi:type="dcterms:W3CDTF">2023-04-17T09:23:39.8891473Z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0x01010030A4109C8028DA4BBEF893326B66F094</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