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sz w:val="72"/>
          <w:szCs w:val="72"/>
        </w:rPr>
        <w:id w:val="-1285650082"/>
        <w:docPartObj>
          <w:docPartGallery w:val="Cover Pages"/>
          <w:docPartUnique/>
        </w:docPartObj>
      </w:sdtPr>
      <w:sdtEndPr>
        <w:rPr>
          <w:rFonts w:ascii="Arial" w:eastAsiaTheme="minorHAnsi" w:hAnsi="Arial" w:cs="Arial"/>
          <w:sz w:val="40"/>
          <w:szCs w:val="40"/>
        </w:rPr>
      </w:sdtEndPr>
      <w:sdtContent>
        <w:p w:rsidR="00587569" w:rsidRDefault="00587569">
          <w:pPr>
            <w:pStyle w:val="Geenafstand"/>
            <w:rPr>
              <w:rFonts w:asciiTheme="majorHAnsi" w:eastAsiaTheme="majorEastAsia" w:hAnsiTheme="majorHAnsi" w:cstheme="majorBidi"/>
              <w:sz w:val="72"/>
              <w:szCs w:val="72"/>
            </w:rPr>
          </w:pPr>
          <w:r>
            <w:rPr>
              <w:noProof/>
              <w:lang w:eastAsia="nl-NL"/>
            </w:rPr>
            <mc:AlternateContent>
              <mc:Choice Requires="wps">
                <w:drawing>
                  <wp:anchor distT="0" distB="0" distL="114300" distR="114300" simplePos="0" relativeHeight="251662336" behindDoc="0" locked="0" layoutInCell="0" allowOverlap="1" wp14:anchorId="27AFFABD" wp14:editId="2532DA29">
                    <wp:simplePos x="0" y="0"/>
                    <wp:positionH relativeFrom="page">
                      <wp:align>center</wp:align>
                    </wp:positionH>
                    <wp:positionV relativeFrom="page">
                      <wp:align>bottom</wp:align>
                    </wp:positionV>
                    <wp:extent cx="8161020" cy="817880"/>
                    <wp:effectExtent l="57150" t="38100" r="81915" b="104775"/>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2" o:spid="_x0000_s1026" style="position:absolute;margin-left:0;margin-top:0;width:642.6pt;height:64.4pt;z-index:2516623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" o:allowincell="f" fillcolor="#a7bfde [1620]" strokecolor="#4579b8 [3044]">
                    <v:fill color2="#e4ecf5 [500]" rotate="t" angle="180" colors="0 #a3c4ff;22938f #bfd5ff;1 #e5eeff" focus="100%" type="gradient"/>
                    <v:shadow on="t" color="black" opacity="24903f" origin=",.5" offset="0,.55556mm"/>
                    <w10:wrap anchorx="page" anchory="page"/>
                  </v:rect>
                </w:pict>
              </mc:Fallback>
            </mc:AlternateContent>
          </w:r>
          <w:r>
            <w:rPr>
              <w:noProof/>
              <w:lang w:eastAsia="nl-NL"/>
            </w:rPr>
            <mc:AlternateContent>
              <mc:Choice Requires="wps">
                <w:drawing>
                  <wp:anchor distT="0" distB="0" distL="114300" distR="114300" simplePos="0" relativeHeight="251665408" behindDoc="0" locked="0" layoutInCell="0" allowOverlap="1" wp14:anchorId="2AE824E6" wp14:editId="26DC4267">
                    <wp:simplePos x="0" y="0"/>
                    <wp:positionH relativeFrom="leftMargin">
                      <wp:align>center</wp:align>
                    </wp:positionH>
                    <wp:positionV relativeFrom="page">
                      <wp:align>center</wp:align>
                    </wp:positionV>
                    <wp:extent cx="90805" cy="10556240"/>
                    <wp:effectExtent l="0" t="0" r="23495" b="1270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5"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" o:allowincell="f" fillcolor="white [3201]" strokecolor="#4bacc6 [3208]" strokeweight="2pt">
                    <w10:wrap anchorx="margin" anchory="page"/>
                  </v:rect>
                </w:pict>
              </mc:Fallback>
            </mc:AlternateContent>
          </w:r>
          <w:r>
            <w:rPr>
              <w:noProof/>
              <w:lang w:eastAsia="nl-NL"/>
            </w:rPr>
            <mc:AlternateContent>
              <mc:Choice Requires="wps">
                <w:drawing>
                  <wp:anchor distT="0" distB="0" distL="114300" distR="114300" simplePos="0" relativeHeight="251664384" behindDoc="0" locked="0" layoutInCell="0" allowOverlap="1" wp14:anchorId="6AEC41C2" wp14:editId="04A38F3D">
                    <wp:simplePos x="0" y="0"/>
                    <wp:positionH relativeFrom="rightMargin">
                      <wp:align>center</wp:align>
                    </wp:positionH>
                    <wp:positionV relativeFrom="page">
                      <wp:align>center</wp:align>
                    </wp:positionV>
                    <wp:extent cx="90805" cy="10556240"/>
                    <wp:effectExtent l="0" t="0" r="23495" b="1270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4"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" o:allowincell="f" fillcolor="white [3201]" strokecolor="#4bacc6 [3208]" strokeweight="2pt">
                    <w10:wrap anchorx="margin" anchory="page"/>
                  </v:rect>
                </w:pict>
              </mc:Fallback>
            </mc:AlternateContent>
          </w:r>
          <w:r>
            <w:rPr>
              <w:noProof/>
              <w:lang w:eastAsia="nl-NL"/>
            </w:rPr>
            <mc:AlternateContent>
              <mc:Choice Requires="wps">
                <w:drawing>
                  <wp:anchor distT="0" distB="0" distL="114300" distR="114300" simplePos="0" relativeHeight="251663360" behindDoc="0" locked="0" layoutInCell="0" allowOverlap="1" wp14:anchorId="11BAD009" wp14:editId="46CB9793">
                    <wp:simplePos x="0" y="0"/>
                    <wp:positionH relativeFrom="page">
                      <wp:align>center</wp:align>
                    </wp:positionH>
                    <wp:positionV relativeFrom="topMargin">
                      <wp:align>top</wp:align>
                    </wp:positionV>
                    <wp:extent cx="8161020" cy="822960"/>
                    <wp:effectExtent l="57150" t="38100" r="81915" b="104775"/>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" o:allowincell="f" fillcolor="#a7bfde [1620]" strokecolor="#4579b8 [3044]">
                    <v:fill color2="#e4ecf5 [500]" rotate="t" angle="180" colors="0 #a3c4ff;22938f #bfd5ff;1 #e5eeff" focus="100%" type="gradient"/>
                    <v:shadow on="t" color="black" opacity="24903f" origin=",.5" offset="0,.55556mm"/>
                    <w10:wrap anchorx="page" anchory="margin"/>
                  </v:rect>
                </w:pict>
              </mc:Fallback>
            </mc:AlternateContent>
          </w:r>
        </w:p>
        <w:sdt>
          <w:sdtPr>
            <w:rPr>
              <w:rFonts w:asciiTheme="majorHAnsi" w:eastAsiaTheme="majorEastAsia" w:hAnsiTheme="majorHAnsi" w:cstheme="majorBidi"/>
              <w:sz w:val="72"/>
              <w:szCs w:val="72"/>
            </w:rPr>
            <w:alias w:val="Titel"/>
            <w:id w:val="14700071"/>
            <w:placeholder>
              <w:docPart w:val="E40E4E861BED4F48BB1327FCC859B5D4"/>
            </w:placeholder>
            <w:dataBinding w:prefixMappings="xmlns:ns0='http://schemas.openxmlformats.org/package/2006/metadata/core-properties' xmlns:ns1='http://purl.org/dc/elements/1.1/'" w:xpath="/ns0:coreProperties[1]/ns1:title[1]" w:storeItemID="{6C3C8BC8-F283-45AE-878A-BAB7291924A1}"/>
            <w:text/>
          </w:sdtPr>
          <w:sdtEndPr/>
          <w:sdtContent>
            <w:p w:rsidR="00587569" w:rsidRDefault="00587569">
              <w:pPr>
                <w:pStyle w:val="Geenafstand"/>
                <w:rPr>
                  <w:rFonts w:asciiTheme="majorHAnsi" w:eastAsiaTheme="majorEastAsia" w:hAnsiTheme="majorHAnsi" w:cstheme="majorBidi"/>
                  <w:sz w:val="72"/>
                  <w:szCs w:val="72"/>
                </w:rPr>
              </w:pPr>
              <w:r>
                <w:rPr>
                  <w:rFonts w:asciiTheme="majorHAnsi" w:eastAsiaTheme="majorEastAsia" w:hAnsiTheme="majorHAnsi" w:cstheme="majorBidi"/>
                  <w:sz w:val="72"/>
                  <w:szCs w:val="72"/>
                </w:rPr>
                <w:t>Verrekening, stille pandrechten en faillissement</w:t>
              </w:r>
            </w:p>
          </w:sdtContent>
        </w:sdt>
        <w:sdt>
          <w:sdtPr>
            <w:rPr>
              <w:rFonts w:asciiTheme="majorHAnsi" w:eastAsiaTheme="majorEastAsia" w:hAnsiTheme="majorHAnsi" w:cstheme="majorBidi"/>
              <w:sz w:val="36"/>
              <w:szCs w:val="36"/>
            </w:rPr>
            <w:alias w:val="Ondertitel"/>
            <w:id w:val="14700077"/>
            <w:placeholder>
              <w:docPart w:val="D7A28E23FE8B48B382879A577A197DDD"/>
            </w:placeholder>
            <w:dataBinding w:prefixMappings="xmlns:ns0='http://schemas.openxmlformats.org/package/2006/metadata/core-properties' xmlns:ns1='http://purl.org/dc/elements/1.1/'" w:xpath="/ns0:coreProperties[1]/ns1:subject[1]" w:storeItemID="{6C3C8BC8-F283-45AE-878A-BAB7291924A1}"/>
            <w:text/>
          </w:sdtPr>
          <w:sdtEndPr/>
          <w:sdtContent>
            <w:p w:rsidR="00587569" w:rsidRDefault="00587569">
              <w:pPr>
                <w:pStyle w:val="Geenafstand"/>
                <w:rPr>
                  <w:rFonts w:asciiTheme="majorHAnsi" w:eastAsiaTheme="majorEastAsia" w:hAnsiTheme="majorHAnsi" w:cstheme="majorBidi"/>
                  <w:sz w:val="36"/>
                  <w:szCs w:val="36"/>
                </w:rPr>
              </w:pPr>
              <w:r w:rsidRPr="00587569">
                <w:rPr>
                  <w:rFonts w:asciiTheme="majorHAnsi" w:eastAsiaTheme="majorEastAsia" w:hAnsiTheme="majorHAnsi" w:cstheme="majorBidi"/>
                  <w:sz w:val="36"/>
                  <w:szCs w:val="36"/>
                </w:rPr>
                <w:t xml:space="preserve">Een onderzoek naar de omstandigheden om te mogen verrekenen in </w:t>
              </w:r>
              <w:r>
                <w:rPr>
                  <w:rFonts w:asciiTheme="majorHAnsi" w:eastAsiaTheme="majorEastAsia" w:hAnsiTheme="majorHAnsi" w:cstheme="majorBidi"/>
                  <w:sz w:val="36"/>
                  <w:szCs w:val="36"/>
                </w:rPr>
                <w:t xml:space="preserve">het zicht van </w:t>
              </w:r>
              <w:r w:rsidR="0032729C">
                <w:rPr>
                  <w:rFonts w:asciiTheme="majorHAnsi" w:eastAsiaTheme="majorEastAsia" w:hAnsiTheme="majorHAnsi" w:cstheme="majorBidi"/>
                  <w:sz w:val="36"/>
                  <w:szCs w:val="36"/>
                </w:rPr>
                <w:t>een</w:t>
              </w:r>
              <w:r>
                <w:rPr>
                  <w:rFonts w:asciiTheme="majorHAnsi" w:eastAsiaTheme="majorEastAsia" w:hAnsiTheme="majorHAnsi" w:cstheme="majorBidi"/>
                  <w:sz w:val="36"/>
                  <w:szCs w:val="36"/>
                </w:rPr>
                <w:t xml:space="preserve"> faillissement</w:t>
              </w:r>
            </w:p>
          </w:sdtContent>
        </w:sdt>
        <w:p w:rsidR="00587569" w:rsidRDefault="00587569">
          <w:pPr>
            <w:pStyle w:val="Geenafstand"/>
            <w:rPr>
              <w:rFonts w:asciiTheme="majorHAnsi" w:eastAsiaTheme="majorEastAsia" w:hAnsiTheme="majorHAnsi" w:cstheme="majorBidi"/>
              <w:sz w:val="36"/>
              <w:szCs w:val="36"/>
            </w:rPr>
          </w:pPr>
        </w:p>
        <w:p w:rsidR="0045095A" w:rsidRDefault="0045095A">
          <w:pPr>
            <w:pStyle w:val="Geenafstand"/>
            <w:rPr>
              <w:rFonts w:asciiTheme="majorHAnsi" w:eastAsiaTheme="majorEastAsia" w:hAnsiTheme="majorHAnsi" w:cstheme="majorBidi"/>
              <w:sz w:val="36"/>
              <w:szCs w:val="36"/>
            </w:rPr>
          </w:pPr>
        </w:p>
        <w:p w:rsidR="0029142F" w:rsidRDefault="0032729C" w:rsidP="0032729C">
          <w:pPr>
            <w:pStyle w:val="Geenafstand"/>
            <w:jc w:val="center"/>
            <w:rPr>
              <w:rFonts w:asciiTheme="majorHAnsi" w:eastAsiaTheme="majorEastAsia" w:hAnsiTheme="majorHAnsi" w:cstheme="majorBidi"/>
              <w:sz w:val="36"/>
              <w:szCs w:val="36"/>
            </w:rPr>
          </w:pPr>
          <w:r>
            <w:rPr>
              <w:noProof/>
              <w:lang w:eastAsia="nl-NL"/>
            </w:rPr>
            <w:drawing>
              <wp:inline distT="0" distB="0" distL="0" distR="0" wp14:anchorId="0B82C5FC" wp14:editId="32F21762">
                <wp:extent cx="3695700" cy="3695700"/>
                <wp:effectExtent l="0" t="0" r="0" b="0"/>
                <wp:docPr id="1" name="Afbeelding 1" descr="Afbeeldingsresultaat voor roest crollius de jong advoc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oest crollius de jong advoca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inline>
            </w:drawing>
          </w:r>
        </w:p>
        <w:p w:rsidR="0029142F" w:rsidRDefault="0029142F">
          <w:pPr>
            <w:pStyle w:val="Geenafstand"/>
            <w:rPr>
              <w:rFonts w:asciiTheme="majorHAnsi" w:eastAsiaTheme="majorEastAsia" w:hAnsiTheme="majorHAnsi" w:cstheme="majorBidi"/>
              <w:sz w:val="36"/>
              <w:szCs w:val="36"/>
            </w:rPr>
          </w:pPr>
        </w:p>
        <w:p w:rsidR="0029142F" w:rsidRDefault="0029142F">
          <w:pPr>
            <w:pStyle w:val="Geenafstand"/>
            <w:rPr>
              <w:rFonts w:asciiTheme="majorHAnsi" w:eastAsiaTheme="majorEastAsia" w:hAnsiTheme="majorHAnsi" w:cstheme="majorBidi"/>
              <w:sz w:val="36"/>
              <w:szCs w:val="36"/>
            </w:rPr>
          </w:pPr>
        </w:p>
        <w:p w:rsidR="0029142F" w:rsidRDefault="0029142F">
          <w:pPr>
            <w:pStyle w:val="Geenafstand"/>
            <w:rPr>
              <w:rFonts w:asciiTheme="majorHAnsi" w:eastAsiaTheme="majorEastAsia" w:hAnsiTheme="majorHAnsi" w:cstheme="majorBidi"/>
              <w:sz w:val="36"/>
              <w:szCs w:val="36"/>
            </w:rPr>
          </w:pPr>
        </w:p>
        <w:sdt>
          <w:sdtPr>
            <w:alias w:val="Auteur"/>
            <w:id w:val="14700094"/>
            <w:placeholder>
              <w:docPart w:val="E7FC8EA4BC144642BE15139D004ADC41"/>
            </w:placeholder>
            <w:dataBinding w:prefixMappings="xmlns:ns0='http://schemas.openxmlformats.org/package/2006/metadata/core-properties' xmlns:ns1='http://purl.org/dc/elements/1.1/'" w:xpath="/ns0:coreProperties[1]/ns1:creator[1]" w:storeItemID="{6C3C8BC8-F283-45AE-878A-BAB7291924A1}"/>
            <w:text/>
          </w:sdtPr>
          <w:sdtEndPr/>
          <w:sdtContent>
            <w:p w:rsidR="0045095A" w:rsidRDefault="008734ED" w:rsidP="0029142F">
              <w:pPr>
                <w:pStyle w:val="Geenafstand"/>
              </w:pPr>
              <w:r>
                <w:t>Auteur:</w:t>
              </w:r>
              <w:r w:rsidR="005B1D41">
                <w:t xml:space="preserve"> </w:t>
              </w:r>
              <w:r w:rsidR="0045095A">
                <w:t>P. Moraal, 1083966</w:t>
              </w:r>
            </w:p>
          </w:sdtContent>
        </w:sdt>
        <w:p w:rsidR="0045095A" w:rsidRDefault="002A4B8F" w:rsidP="0029142F">
          <w:pPr>
            <w:pStyle w:val="Geenafstand"/>
          </w:pPr>
          <w:r>
            <w:t>Modulecode: RE441C</w:t>
          </w:r>
        </w:p>
        <w:sdt>
          <w:sdtPr>
            <w:alias w:val="Bedrijf"/>
            <w:id w:val="14700089"/>
            <w:placeholder>
              <w:docPart w:val="C856E69EAACE477A91FDCBA73DFD90B2"/>
            </w:placeholder>
            <w:dataBinding w:prefixMappings="xmlns:ns0='http://schemas.openxmlformats.org/officeDocument/2006/extended-properties'" w:xpath="/ns0:Properties[1]/ns0:Company[1]" w:storeItemID="{6668398D-A668-4E3E-A5EB-62B293D839F1}"/>
            <w:text/>
          </w:sdtPr>
          <w:sdtEndPr/>
          <w:sdtContent>
            <w:p w:rsidR="0045095A" w:rsidRDefault="005B1D41" w:rsidP="0029142F">
              <w:pPr>
                <w:pStyle w:val="Geenafstand"/>
              </w:pPr>
              <w:r>
                <w:t>Opdrachtgever</w:t>
              </w:r>
              <w:r w:rsidR="008734ED">
                <w:t>:</w:t>
              </w:r>
              <w:r>
                <w:t xml:space="preserve"> </w:t>
              </w:r>
              <w:r w:rsidR="006B3B85">
                <w:t>De heer L. d</w:t>
              </w:r>
              <w:r w:rsidRPr="00DD4F98">
                <w:t xml:space="preserve">e Jong, advocaat bij Roest </w:t>
              </w:r>
              <w:proofErr w:type="spellStart"/>
              <w:r w:rsidRPr="00DD4F98">
                <w:t>Crollius</w:t>
              </w:r>
              <w:proofErr w:type="spellEnd"/>
              <w:r w:rsidRPr="00DD4F98">
                <w:t xml:space="preserve"> De Jong advocaten</w:t>
              </w:r>
            </w:p>
          </w:sdtContent>
        </w:sdt>
        <w:p w:rsidR="005B1D41" w:rsidRDefault="008734ED" w:rsidP="0029142F">
          <w:pPr>
            <w:pStyle w:val="Geenafstand"/>
          </w:pPr>
          <w:r>
            <w:t>Opleiding:</w:t>
          </w:r>
          <w:r w:rsidR="005B1D41">
            <w:t xml:space="preserve"> Hogeschool leiden, opleiding HBO-Re</w:t>
          </w:r>
          <w:bookmarkStart w:id="0" w:name="_GoBack"/>
          <w:bookmarkEnd w:id="0"/>
          <w:r w:rsidR="005B1D41">
            <w:t>chten</w:t>
          </w:r>
        </w:p>
        <w:p w:rsidR="005B1D41" w:rsidRDefault="00F7686F" w:rsidP="0029142F">
          <w:pPr>
            <w:pStyle w:val="Geenafstand"/>
          </w:pPr>
          <w:r>
            <w:t>Afstudeerbegeleider</w:t>
          </w:r>
          <w:r w:rsidR="008734ED">
            <w:t>:</w:t>
          </w:r>
          <w:r>
            <w:t xml:space="preserve"> De heer</w:t>
          </w:r>
          <w:r w:rsidR="006B3B85">
            <w:t xml:space="preserve"> J.</w:t>
          </w:r>
          <w:r>
            <w:t xml:space="preserve"> Boonman</w:t>
          </w:r>
        </w:p>
        <w:sdt>
          <w:sdtPr>
            <w:alias w:val="Datum"/>
            <w:id w:val="14700083"/>
            <w:placeholder>
              <w:docPart w:val="FDF7F0DD693A44868F8AF87605BA1DCB"/>
            </w:placeholder>
            <w:dataBinding w:prefixMappings="xmlns:ns0='http://schemas.microsoft.com/office/2006/coverPageProps'" w:xpath="/ns0:CoverPageProperties[1]/ns0:PublishDate[1]" w:storeItemID="{55AF091B-3C7A-41E3-B477-F2FDAA23CFDA}"/>
            <w:date w:fullDate="2017-06-27T00:00:00Z">
              <w:dateFormat w:val="d-M-yyyy"/>
              <w:lid w:val="nl-NL"/>
              <w:storeMappedDataAs w:val="dateTime"/>
              <w:calendar w:val="gregorian"/>
            </w:date>
          </w:sdtPr>
          <w:sdtEndPr/>
          <w:sdtContent>
            <w:p w:rsidR="00587569" w:rsidRDefault="009C37F8" w:rsidP="0029142F">
              <w:pPr>
                <w:pStyle w:val="Geenafstand"/>
              </w:pPr>
              <w:r>
                <w:t xml:space="preserve">Inleverdatum: </w:t>
              </w:r>
              <w:r w:rsidR="0018162E">
                <w:t>27-6-2017</w:t>
              </w:r>
            </w:p>
          </w:sdtContent>
        </w:sdt>
        <w:p w:rsidR="00587569" w:rsidRDefault="00587569"/>
        <w:p w:rsidR="00587569" w:rsidRDefault="00C7355A">
          <w:pPr>
            <w:rPr>
              <w:rFonts w:ascii="Arial" w:hAnsi="Arial" w:cs="Arial"/>
              <w:b w:val="0"/>
              <w:sz w:val="40"/>
              <w:szCs w:val="40"/>
            </w:rPr>
          </w:pPr>
        </w:p>
      </w:sdtContent>
    </w:sdt>
    <w:p w:rsidR="002C0286" w:rsidRDefault="002C0286">
      <w:pPr>
        <w:rPr>
          <w:rFonts w:asciiTheme="majorHAnsi" w:eastAsiaTheme="majorEastAsia" w:hAnsiTheme="majorHAnsi" w:cstheme="majorBidi"/>
          <w:b w:val="0"/>
          <w:bCs w:val="0"/>
          <w:color w:val="365F91" w:themeColor="accent1" w:themeShade="BF"/>
          <w:sz w:val="36"/>
          <w:szCs w:val="28"/>
        </w:rPr>
      </w:pPr>
      <w:bookmarkStart w:id="1" w:name="_Toc486244161"/>
      <w:bookmarkStart w:id="2" w:name="_Toc486246598"/>
      <w:r>
        <w:rPr>
          <w:sz w:val="36"/>
        </w:rPr>
        <w:lastRenderedPageBreak/>
        <w:br w:type="page"/>
      </w:r>
    </w:p>
    <w:p w:rsidR="00737ACD" w:rsidRPr="00914D82" w:rsidRDefault="00737ACD" w:rsidP="00737ACD">
      <w:pPr>
        <w:pStyle w:val="Kop1"/>
        <w:rPr>
          <w:sz w:val="36"/>
        </w:rPr>
      </w:pPr>
      <w:r w:rsidRPr="00914D82">
        <w:rPr>
          <w:sz w:val="36"/>
        </w:rPr>
        <w:lastRenderedPageBreak/>
        <w:t>Samenvatting</w:t>
      </w:r>
      <w:bookmarkEnd w:id="1"/>
      <w:bookmarkEnd w:id="2"/>
    </w:p>
    <w:p w:rsidR="00737ACD" w:rsidRDefault="00737ACD" w:rsidP="0050101C">
      <w:pPr>
        <w:jc w:val="both"/>
        <w:rPr>
          <w:rFonts w:asciiTheme="minorHAnsi" w:eastAsiaTheme="majorEastAsia" w:hAnsiTheme="minorHAnsi" w:cstheme="minorHAnsi"/>
          <w:b w:val="0"/>
          <w:bCs w:val="0"/>
          <w:sz w:val="20"/>
          <w:szCs w:val="28"/>
        </w:rPr>
      </w:pPr>
    </w:p>
    <w:p w:rsidR="005134C1" w:rsidRDefault="00D63A4F" w:rsidP="005134C1">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Roest </w:t>
      </w:r>
      <w:proofErr w:type="spellStart"/>
      <w:r w:rsidRPr="00A60794">
        <w:rPr>
          <w:rFonts w:asciiTheme="minorHAnsi" w:hAnsiTheme="minorHAnsi" w:cstheme="minorHAnsi"/>
          <w:b w:val="0"/>
          <w:sz w:val="22"/>
          <w:szCs w:val="22"/>
        </w:rPr>
        <w:t>Crollius</w:t>
      </w:r>
      <w:proofErr w:type="spellEnd"/>
      <w:r w:rsidRPr="00A60794">
        <w:rPr>
          <w:rFonts w:asciiTheme="minorHAnsi" w:hAnsiTheme="minorHAnsi" w:cstheme="minorHAnsi"/>
          <w:b w:val="0"/>
          <w:sz w:val="22"/>
          <w:szCs w:val="22"/>
        </w:rPr>
        <w:t xml:space="preserve"> De Jong advocaten is een advocatenkantoor gespecialiseerd</w:t>
      </w:r>
      <w:r>
        <w:rPr>
          <w:rFonts w:asciiTheme="minorHAnsi" w:hAnsiTheme="minorHAnsi" w:cstheme="minorHAnsi"/>
          <w:b w:val="0"/>
          <w:sz w:val="22"/>
          <w:szCs w:val="22"/>
        </w:rPr>
        <w:t xml:space="preserve"> in het insolventierecht</w:t>
      </w:r>
      <w:r w:rsidRPr="00A60794">
        <w:rPr>
          <w:rFonts w:asciiTheme="minorHAnsi" w:hAnsiTheme="minorHAnsi" w:cstheme="minorHAnsi"/>
          <w:b w:val="0"/>
          <w:sz w:val="22"/>
          <w:szCs w:val="22"/>
        </w:rPr>
        <w:t xml:space="preserve">. Een veelvoorkomend probleem waar </w:t>
      </w:r>
      <w:r w:rsidR="00A42AB5">
        <w:rPr>
          <w:rFonts w:asciiTheme="minorHAnsi" w:hAnsiTheme="minorHAnsi" w:cstheme="minorHAnsi"/>
          <w:b w:val="0"/>
          <w:sz w:val="22"/>
          <w:szCs w:val="22"/>
        </w:rPr>
        <w:t>zij</w:t>
      </w:r>
      <w:r w:rsidRPr="00A60794">
        <w:rPr>
          <w:rFonts w:asciiTheme="minorHAnsi" w:hAnsiTheme="minorHAnsi" w:cstheme="minorHAnsi"/>
          <w:b w:val="0"/>
          <w:sz w:val="22"/>
          <w:szCs w:val="22"/>
        </w:rPr>
        <w:t xml:space="preserve"> tegenaan loopt zit in het adviseren in faillissementszaken. Het </w:t>
      </w:r>
      <w:r w:rsidR="00A42AB5">
        <w:rPr>
          <w:rFonts w:asciiTheme="minorHAnsi" w:hAnsiTheme="minorHAnsi" w:cstheme="minorHAnsi"/>
          <w:b w:val="0"/>
          <w:sz w:val="22"/>
          <w:szCs w:val="22"/>
        </w:rPr>
        <w:t xml:space="preserve">gaat </w:t>
      </w:r>
      <w:r w:rsidR="00862307">
        <w:rPr>
          <w:rFonts w:asciiTheme="minorHAnsi" w:hAnsiTheme="minorHAnsi" w:cstheme="minorHAnsi"/>
          <w:b w:val="0"/>
          <w:sz w:val="22"/>
          <w:szCs w:val="22"/>
        </w:rPr>
        <w:t>daarbij</w:t>
      </w:r>
      <w:r w:rsidR="00A42AB5">
        <w:rPr>
          <w:rFonts w:asciiTheme="minorHAnsi" w:hAnsiTheme="minorHAnsi" w:cstheme="minorHAnsi"/>
          <w:b w:val="0"/>
          <w:sz w:val="22"/>
          <w:szCs w:val="22"/>
        </w:rPr>
        <w:t xml:space="preserve"> om zaken omtrent het verrekenen in het zicht van een faillissement. </w:t>
      </w:r>
      <w:r w:rsidR="00862307">
        <w:rPr>
          <w:rFonts w:asciiTheme="minorHAnsi" w:hAnsiTheme="minorHAnsi" w:cstheme="minorHAnsi"/>
          <w:b w:val="0"/>
          <w:sz w:val="22"/>
          <w:szCs w:val="22"/>
        </w:rPr>
        <w:t>Specifiek betreft het de situatie waarin een winkel een rekening courant heeft bij een bank en de bank daarvoor stille pandrechten vestigt op de winkel. Deze stille pandrechten vestigt de bank op vorderingen die de winkel op haar debiteuren heeft.</w:t>
      </w:r>
      <w:r w:rsidR="005134C1">
        <w:rPr>
          <w:rFonts w:asciiTheme="minorHAnsi" w:hAnsiTheme="minorHAnsi" w:cstheme="minorHAnsi"/>
          <w:b w:val="0"/>
          <w:sz w:val="20"/>
        </w:rPr>
        <w:t xml:space="preserve"> </w:t>
      </w:r>
      <w:r w:rsidR="00A35CCB" w:rsidRPr="00A60794">
        <w:rPr>
          <w:rFonts w:asciiTheme="minorHAnsi" w:hAnsiTheme="minorHAnsi" w:cstheme="minorHAnsi"/>
          <w:b w:val="0"/>
          <w:sz w:val="22"/>
          <w:szCs w:val="22"/>
        </w:rPr>
        <w:t>Nu doet zich het volgende voor</w:t>
      </w:r>
      <w:r w:rsidR="002B1EEE">
        <w:rPr>
          <w:rFonts w:asciiTheme="minorHAnsi" w:hAnsiTheme="minorHAnsi" w:cstheme="minorHAnsi"/>
          <w:b w:val="0"/>
          <w:sz w:val="22"/>
          <w:szCs w:val="22"/>
        </w:rPr>
        <w:t>,</w:t>
      </w:r>
      <w:r w:rsidR="00A35CCB">
        <w:rPr>
          <w:rFonts w:asciiTheme="minorHAnsi" w:hAnsiTheme="minorHAnsi" w:cstheme="minorHAnsi"/>
          <w:b w:val="0"/>
          <w:sz w:val="22"/>
          <w:szCs w:val="22"/>
        </w:rPr>
        <w:t xml:space="preserve"> de winkel</w:t>
      </w:r>
      <w:r w:rsidR="00A35CCB" w:rsidRPr="00A60794">
        <w:rPr>
          <w:rFonts w:asciiTheme="minorHAnsi" w:hAnsiTheme="minorHAnsi" w:cstheme="minorHAnsi"/>
          <w:b w:val="0"/>
          <w:sz w:val="22"/>
          <w:szCs w:val="22"/>
        </w:rPr>
        <w:t xml:space="preserve"> besluit </w:t>
      </w:r>
      <w:r w:rsidR="00A35CCB">
        <w:rPr>
          <w:rFonts w:asciiTheme="minorHAnsi" w:hAnsiTheme="minorHAnsi" w:cstheme="minorHAnsi"/>
          <w:b w:val="0"/>
          <w:sz w:val="22"/>
          <w:szCs w:val="22"/>
        </w:rPr>
        <w:t>haar</w:t>
      </w:r>
      <w:r w:rsidR="00A35CCB" w:rsidRPr="00A60794">
        <w:rPr>
          <w:rFonts w:asciiTheme="minorHAnsi" w:hAnsiTheme="minorHAnsi" w:cstheme="minorHAnsi"/>
          <w:b w:val="0"/>
          <w:sz w:val="22"/>
          <w:szCs w:val="22"/>
        </w:rPr>
        <w:t xml:space="preserve"> faillissement aan te vragen. </w:t>
      </w:r>
      <w:r w:rsidR="00A35CCB">
        <w:rPr>
          <w:rFonts w:asciiTheme="minorHAnsi" w:hAnsiTheme="minorHAnsi" w:cstheme="minorHAnsi"/>
          <w:b w:val="0"/>
          <w:sz w:val="22"/>
          <w:szCs w:val="22"/>
        </w:rPr>
        <w:t>De winkel</w:t>
      </w:r>
      <w:r w:rsidR="00A35CCB" w:rsidRPr="00A60794">
        <w:rPr>
          <w:rFonts w:asciiTheme="minorHAnsi" w:hAnsiTheme="minorHAnsi" w:cstheme="minorHAnsi"/>
          <w:b w:val="0"/>
          <w:sz w:val="22"/>
          <w:szCs w:val="22"/>
        </w:rPr>
        <w:t xml:space="preserve"> stelt de </w:t>
      </w:r>
      <w:r w:rsidR="00A35CCB">
        <w:rPr>
          <w:rFonts w:asciiTheme="minorHAnsi" w:hAnsiTheme="minorHAnsi" w:cstheme="minorHAnsi"/>
          <w:b w:val="0"/>
          <w:sz w:val="22"/>
          <w:szCs w:val="22"/>
        </w:rPr>
        <w:t xml:space="preserve">bank </w:t>
      </w:r>
      <w:r w:rsidR="00A35CCB" w:rsidRPr="00A60794">
        <w:rPr>
          <w:rFonts w:asciiTheme="minorHAnsi" w:hAnsiTheme="minorHAnsi" w:cstheme="minorHAnsi"/>
          <w:b w:val="0"/>
          <w:sz w:val="22"/>
          <w:szCs w:val="22"/>
        </w:rPr>
        <w:t>daarvan in kennis en die neemt deze mededeling voor kennisgeving aan. De bank is dus op de hoogte van het naderende faillissement.</w:t>
      </w:r>
      <w:r w:rsidR="00E717AD">
        <w:rPr>
          <w:rFonts w:asciiTheme="minorHAnsi" w:hAnsiTheme="minorHAnsi" w:cstheme="minorHAnsi"/>
          <w:b w:val="0"/>
          <w:sz w:val="22"/>
          <w:szCs w:val="22"/>
        </w:rPr>
        <w:t xml:space="preserve"> </w:t>
      </w:r>
      <w:r w:rsidR="00FB5CE8" w:rsidRPr="00FB5CE8">
        <w:rPr>
          <w:rFonts w:asciiTheme="minorHAnsi" w:hAnsiTheme="minorHAnsi" w:cstheme="minorHAnsi"/>
          <w:b w:val="0"/>
          <w:sz w:val="22"/>
          <w:szCs w:val="22"/>
        </w:rPr>
        <w:t>De winkel</w:t>
      </w:r>
      <w:r w:rsidR="00A35CCB" w:rsidRPr="00FB5CE8">
        <w:rPr>
          <w:rFonts w:asciiTheme="minorHAnsi" w:hAnsiTheme="minorHAnsi" w:cstheme="minorHAnsi"/>
          <w:b w:val="0"/>
          <w:sz w:val="22"/>
          <w:szCs w:val="22"/>
        </w:rPr>
        <w:t xml:space="preserve"> </w:t>
      </w:r>
      <w:r w:rsidR="00FB5CE8" w:rsidRPr="00FB5CE8">
        <w:rPr>
          <w:rFonts w:asciiTheme="minorHAnsi" w:hAnsiTheme="minorHAnsi" w:cstheme="minorHAnsi"/>
          <w:b w:val="0"/>
          <w:sz w:val="22"/>
          <w:szCs w:val="22"/>
        </w:rPr>
        <w:t>blijft</w:t>
      </w:r>
      <w:r w:rsidR="00A35CCB" w:rsidRPr="00FB5CE8">
        <w:rPr>
          <w:rFonts w:asciiTheme="minorHAnsi" w:hAnsiTheme="minorHAnsi" w:cstheme="minorHAnsi"/>
          <w:b w:val="0"/>
          <w:sz w:val="22"/>
          <w:szCs w:val="22"/>
        </w:rPr>
        <w:t xml:space="preserve"> open en de verkopen gaan door. </w:t>
      </w:r>
      <w:r w:rsidR="00FB5CE8" w:rsidRPr="00FB5CE8">
        <w:rPr>
          <w:rFonts w:asciiTheme="minorHAnsi" w:hAnsiTheme="minorHAnsi" w:cstheme="minorHAnsi"/>
          <w:b w:val="0"/>
          <w:sz w:val="22"/>
          <w:szCs w:val="22"/>
        </w:rPr>
        <w:t>Een aantal dagen na de faillissementsaanvraag</w:t>
      </w:r>
      <w:r w:rsidR="00A35CCB" w:rsidRPr="00FB5CE8">
        <w:rPr>
          <w:rFonts w:asciiTheme="minorHAnsi" w:hAnsiTheme="minorHAnsi" w:cstheme="minorHAnsi"/>
          <w:b w:val="0"/>
          <w:sz w:val="22"/>
          <w:szCs w:val="22"/>
        </w:rPr>
        <w:t xml:space="preserve"> wordt het faillissement uitgesproken. In </w:t>
      </w:r>
      <w:r w:rsidR="00FB5CE8" w:rsidRPr="00FB5CE8">
        <w:rPr>
          <w:rFonts w:asciiTheme="minorHAnsi" w:hAnsiTheme="minorHAnsi" w:cstheme="minorHAnsi"/>
          <w:b w:val="0"/>
          <w:sz w:val="22"/>
          <w:szCs w:val="22"/>
        </w:rPr>
        <w:t xml:space="preserve">de periode tussen de faillissementsaanvraag en de faillietverklaring blijft de bank </w:t>
      </w:r>
      <w:r w:rsidR="00A35CCB" w:rsidRPr="00FB5CE8">
        <w:rPr>
          <w:rFonts w:asciiTheme="minorHAnsi" w:hAnsiTheme="minorHAnsi" w:cstheme="minorHAnsi"/>
          <w:b w:val="0"/>
          <w:sz w:val="22"/>
          <w:szCs w:val="22"/>
        </w:rPr>
        <w:t xml:space="preserve">nieuwe pandrechten vestigen en heeft zij de inkomsten verrekend met de lopende </w:t>
      </w:r>
      <w:r w:rsidR="00A35CCB" w:rsidRPr="00A60794">
        <w:rPr>
          <w:rFonts w:asciiTheme="minorHAnsi" w:hAnsiTheme="minorHAnsi" w:cstheme="minorHAnsi"/>
          <w:b w:val="0"/>
          <w:sz w:val="22"/>
          <w:szCs w:val="22"/>
        </w:rPr>
        <w:t>rekening courant.</w:t>
      </w:r>
      <w:r w:rsidR="00275CD6">
        <w:rPr>
          <w:rFonts w:asciiTheme="minorHAnsi" w:hAnsiTheme="minorHAnsi" w:cstheme="minorHAnsi"/>
          <w:b w:val="0"/>
          <w:sz w:val="22"/>
          <w:szCs w:val="22"/>
        </w:rPr>
        <w:t xml:space="preserve"> </w:t>
      </w:r>
      <w:r w:rsidR="00A35CCB" w:rsidRPr="00A60794">
        <w:rPr>
          <w:rFonts w:asciiTheme="minorHAnsi" w:hAnsiTheme="minorHAnsi" w:cstheme="minorHAnsi"/>
          <w:b w:val="0"/>
          <w:sz w:val="22"/>
          <w:szCs w:val="22"/>
        </w:rPr>
        <w:t xml:space="preserve">De vraag is aan wie de opbrengst van de verkopen in de periode </w:t>
      </w:r>
      <w:r w:rsidR="00275CD6">
        <w:rPr>
          <w:rFonts w:asciiTheme="minorHAnsi" w:hAnsiTheme="minorHAnsi" w:cstheme="minorHAnsi"/>
          <w:b w:val="0"/>
          <w:sz w:val="22"/>
          <w:szCs w:val="22"/>
        </w:rPr>
        <w:t>tussen de faillissementsaanvraag en de verklaring toekomen</w:t>
      </w:r>
      <w:r w:rsidR="00A35CCB" w:rsidRPr="00A60794">
        <w:rPr>
          <w:rFonts w:asciiTheme="minorHAnsi" w:hAnsiTheme="minorHAnsi" w:cstheme="minorHAnsi"/>
          <w:b w:val="0"/>
          <w:sz w:val="22"/>
          <w:szCs w:val="22"/>
        </w:rPr>
        <w:t xml:space="preserve">. De bank stelt dat deze aan haar toekomt met een beroep op </w:t>
      </w:r>
      <w:r w:rsidR="002B1EEE">
        <w:rPr>
          <w:rFonts w:asciiTheme="minorHAnsi" w:hAnsiTheme="minorHAnsi" w:cstheme="minorHAnsi"/>
          <w:b w:val="0"/>
          <w:sz w:val="22"/>
          <w:szCs w:val="22"/>
        </w:rPr>
        <w:t>het arrest</w:t>
      </w:r>
      <w:r w:rsidR="00A35CCB" w:rsidRPr="00A60794">
        <w:rPr>
          <w:rFonts w:asciiTheme="minorHAnsi" w:hAnsiTheme="minorHAnsi" w:cstheme="minorHAnsi"/>
          <w:b w:val="0"/>
          <w:sz w:val="22"/>
          <w:szCs w:val="22"/>
        </w:rPr>
        <w:t xml:space="preserve"> Mulder q.q./CLBN onder verwijzing naar haar st</w:t>
      </w:r>
      <w:r w:rsidR="00824CB5">
        <w:rPr>
          <w:rFonts w:asciiTheme="minorHAnsi" w:hAnsiTheme="minorHAnsi" w:cstheme="minorHAnsi"/>
          <w:b w:val="0"/>
          <w:sz w:val="22"/>
          <w:szCs w:val="22"/>
        </w:rPr>
        <w:t>il pandrecht. Dit arrest zegt: e</w:t>
      </w:r>
      <w:r w:rsidR="00A35CCB" w:rsidRPr="00A60794">
        <w:rPr>
          <w:rFonts w:asciiTheme="minorHAnsi" w:hAnsiTheme="minorHAnsi" w:cstheme="minorHAnsi"/>
          <w:b w:val="0"/>
          <w:sz w:val="22"/>
          <w:szCs w:val="22"/>
        </w:rPr>
        <w:t>en bank die behalve financieel dienstverlener tevens pandhouder is/was, betalingen mag verrekenen die gedaan zijn rond een faillissement, ook wanneer deze betalingen hebben plaatsgevonden voordat de bank aan debiteuren zijn pandrecht heeft me</w:t>
      </w:r>
      <w:r w:rsidR="007A1AEC">
        <w:rPr>
          <w:rFonts w:asciiTheme="minorHAnsi" w:hAnsiTheme="minorHAnsi" w:cstheme="minorHAnsi"/>
          <w:b w:val="0"/>
          <w:sz w:val="22"/>
          <w:szCs w:val="22"/>
        </w:rPr>
        <w:t>d</w:t>
      </w:r>
      <w:r w:rsidR="00A35CCB" w:rsidRPr="00A60794">
        <w:rPr>
          <w:rFonts w:asciiTheme="minorHAnsi" w:hAnsiTheme="minorHAnsi" w:cstheme="minorHAnsi"/>
          <w:b w:val="0"/>
          <w:sz w:val="22"/>
          <w:szCs w:val="22"/>
        </w:rPr>
        <w:t>egedeeld</w:t>
      </w:r>
      <w:r w:rsidR="007F6BEA">
        <w:rPr>
          <w:rFonts w:asciiTheme="minorHAnsi" w:hAnsiTheme="minorHAnsi" w:cstheme="minorHAnsi"/>
          <w:b w:val="0"/>
          <w:sz w:val="22"/>
          <w:szCs w:val="22"/>
        </w:rPr>
        <w:t>.</w:t>
      </w:r>
      <w:r w:rsidR="00E717AD">
        <w:rPr>
          <w:rFonts w:asciiTheme="minorHAnsi" w:hAnsiTheme="minorHAnsi" w:cstheme="minorHAnsi"/>
          <w:b w:val="0"/>
          <w:sz w:val="22"/>
          <w:szCs w:val="22"/>
        </w:rPr>
        <w:t xml:space="preserve"> </w:t>
      </w:r>
      <w:r w:rsidR="005134C1" w:rsidRPr="00F56BF5">
        <w:rPr>
          <w:rFonts w:asciiTheme="minorHAnsi" w:hAnsiTheme="minorHAnsi" w:cstheme="minorHAnsi"/>
          <w:b w:val="0"/>
          <w:sz w:val="22"/>
          <w:szCs w:val="22"/>
        </w:rPr>
        <w:t xml:space="preserve">De situatie die zich bij </w:t>
      </w:r>
      <w:r w:rsidR="00F56BF5" w:rsidRPr="00F56BF5">
        <w:rPr>
          <w:rFonts w:asciiTheme="minorHAnsi" w:hAnsiTheme="minorHAnsi" w:cstheme="minorHAnsi"/>
          <w:b w:val="0"/>
          <w:sz w:val="22"/>
          <w:szCs w:val="22"/>
        </w:rPr>
        <w:t xml:space="preserve">Roest </w:t>
      </w:r>
      <w:proofErr w:type="spellStart"/>
      <w:r w:rsidR="00F56BF5" w:rsidRPr="00F56BF5">
        <w:rPr>
          <w:rFonts w:asciiTheme="minorHAnsi" w:hAnsiTheme="minorHAnsi" w:cstheme="minorHAnsi"/>
          <w:b w:val="0"/>
          <w:sz w:val="22"/>
          <w:szCs w:val="22"/>
        </w:rPr>
        <w:t>Crollius</w:t>
      </w:r>
      <w:proofErr w:type="spellEnd"/>
      <w:r w:rsidR="00F56BF5" w:rsidRPr="00F56BF5">
        <w:rPr>
          <w:rFonts w:asciiTheme="minorHAnsi" w:hAnsiTheme="minorHAnsi" w:cstheme="minorHAnsi"/>
          <w:b w:val="0"/>
          <w:sz w:val="22"/>
          <w:szCs w:val="22"/>
        </w:rPr>
        <w:t xml:space="preserve"> De Jong </w:t>
      </w:r>
      <w:r w:rsidR="005134C1" w:rsidRPr="00F56BF5">
        <w:rPr>
          <w:rFonts w:asciiTheme="minorHAnsi" w:hAnsiTheme="minorHAnsi" w:cstheme="minorHAnsi"/>
          <w:b w:val="0"/>
          <w:sz w:val="22"/>
          <w:szCs w:val="22"/>
        </w:rPr>
        <w:t xml:space="preserve">advocaten voordoet is heel specifiek maar beslaat een groot aantal rechtsgebieden en onderwerpen. Er is </w:t>
      </w:r>
      <w:r w:rsidR="0090757F">
        <w:rPr>
          <w:rFonts w:asciiTheme="minorHAnsi" w:hAnsiTheme="minorHAnsi" w:cstheme="minorHAnsi"/>
          <w:b w:val="0"/>
          <w:sz w:val="22"/>
          <w:szCs w:val="22"/>
        </w:rPr>
        <w:t xml:space="preserve">momenteel </w:t>
      </w:r>
      <w:r w:rsidR="00D62034">
        <w:rPr>
          <w:rFonts w:asciiTheme="minorHAnsi" w:hAnsiTheme="minorHAnsi" w:cstheme="minorHAnsi"/>
          <w:b w:val="0"/>
          <w:sz w:val="22"/>
          <w:szCs w:val="22"/>
        </w:rPr>
        <w:t>niet genoeg</w:t>
      </w:r>
      <w:r w:rsidR="005134C1" w:rsidRPr="00F56BF5">
        <w:rPr>
          <w:rFonts w:asciiTheme="minorHAnsi" w:hAnsiTheme="minorHAnsi" w:cstheme="minorHAnsi"/>
          <w:b w:val="0"/>
          <w:sz w:val="22"/>
          <w:szCs w:val="22"/>
        </w:rPr>
        <w:t xml:space="preserve"> kennis in huis over het mogen verrekenen en verpanden van vorderingen in het zicht van een faillissement. Zodoende wil </w:t>
      </w:r>
      <w:r w:rsidR="00D62034" w:rsidRPr="00A60794">
        <w:rPr>
          <w:rFonts w:asciiTheme="minorHAnsi" w:hAnsiTheme="minorHAnsi" w:cstheme="minorHAnsi"/>
          <w:b w:val="0"/>
          <w:sz w:val="22"/>
          <w:szCs w:val="22"/>
        </w:rPr>
        <w:t xml:space="preserve">Roest </w:t>
      </w:r>
      <w:proofErr w:type="spellStart"/>
      <w:r w:rsidR="00D62034" w:rsidRPr="00A60794">
        <w:rPr>
          <w:rFonts w:asciiTheme="minorHAnsi" w:hAnsiTheme="minorHAnsi" w:cstheme="minorHAnsi"/>
          <w:b w:val="0"/>
          <w:sz w:val="22"/>
          <w:szCs w:val="22"/>
        </w:rPr>
        <w:t>Crollius</w:t>
      </w:r>
      <w:proofErr w:type="spellEnd"/>
      <w:r w:rsidR="00D62034" w:rsidRPr="00A60794">
        <w:rPr>
          <w:rFonts w:asciiTheme="minorHAnsi" w:hAnsiTheme="minorHAnsi" w:cstheme="minorHAnsi"/>
          <w:b w:val="0"/>
          <w:sz w:val="22"/>
          <w:szCs w:val="22"/>
        </w:rPr>
        <w:t xml:space="preserve"> De Jong </w:t>
      </w:r>
      <w:r w:rsidR="005134C1" w:rsidRPr="00F56BF5">
        <w:rPr>
          <w:rFonts w:asciiTheme="minorHAnsi" w:hAnsiTheme="minorHAnsi" w:cstheme="minorHAnsi"/>
          <w:b w:val="0"/>
          <w:sz w:val="22"/>
          <w:szCs w:val="22"/>
        </w:rPr>
        <w:t xml:space="preserve">advocaten </w:t>
      </w:r>
      <w:r w:rsidR="00D62034">
        <w:rPr>
          <w:rFonts w:asciiTheme="minorHAnsi" w:hAnsiTheme="minorHAnsi" w:cstheme="minorHAnsi"/>
          <w:b w:val="0"/>
          <w:sz w:val="22"/>
          <w:szCs w:val="22"/>
        </w:rPr>
        <w:t xml:space="preserve">graag </w:t>
      </w:r>
      <w:r w:rsidR="005134C1" w:rsidRPr="00F56BF5">
        <w:rPr>
          <w:rFonts w:asciiTheme="minorHAnsi" w:hAnsiTheme="minorHAnsi" w:cstheme="minorHAnsi"/>
          <w:b w:val="0"/>
          <w:sz w:val="22"/>
          <w:szCs w:val="22"/>
        </w:rPr>
        <w:t>weten welk advies zij blijkens literatuur en jurisprudentie aan haar cliënten kan geven omtrent verrekening van verpande vorderingen (pinbetalingen) in het zicht van een faillissement.</w:t>
      </w:r>
    </w:p>
    <w:p w:rsidR="00201F19" w:rsidRDefault="00201F19" w:rsidP="005134C1">
      <w:pPr>
        <w:jc w:val="left"/>
        <w:rPr>
          <w:rFonts w:asciiTheme="minorHAnsi" w:hAnsiTheme="minorHAnsi" w:cstheme="minorHAnsi"/>
          <w:b w:val="0"/>
          <w:sz w:val="22"/>
          <w:szCs w:val="22"/>
        </w:rPr>
      </w:pPr>
    </w:p>
    <w:p w:rsidR="004C64D6" w:rsidRPr="00416DBC" w:rsidRDefault="004C64D6" w:rsidP="004C64D6">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Het doel van </w:t>
      </w:r>
      <w:r w:rsidR="007502B8">
        <w:rPr>
          <w:rFonts w:asciiTheme="minorHAnsi" w:hAnsiTheme="minorHAnsi" w:cstheme="minorHAnsi"/>
          <w:b w:val="0"/>
          <w:sz w:val="22"/>
          <w:szCs w:val="22"/>
        </w:rPr>
        <w:t>dit</w:t>
      </w:r>
      <w:r w:rsidRPr="00A60794">
        <w:rPr>
          <w:rFonts w:asciiTheme="minorHAnsi" w:hAnsiTheme="minorHAnsi" w:cstheme="minorHAnsi"/>
          <w:b w:val="0"/>
          <w:sz w:val="22"/>
          <w:szCs w:val="22"/>
        </w:rPr>
        <w:t xml:space="preserve"> onderzoek is om </w:t>
      </w:r>
      <w:r w:rsidR="007502B8" w:rsidRPr="00F56BF5">
        <w:rPr>
          <w:rFonts w:asciiTheme="minorHAnsi" w:hAnsiTheme="minorHAnsi" w:cstheme="minorHAnsi"/>
          <w:b w:val="0"/>
          <w:sz w:val="22"/>
          <w:szCs w:val="22"/>
        </w:rPr>
        <w:t xml:space="preserve">Roest </w:t>
      </w:r>
      <w:proofErr w:type="spellStart"/>
      <w:r w:rsidR="007502B8" w:rsidRPr="00F56BF5">
        <w:rPr>
          <w:rFonts w:asciiTheme="minorHAnsi" w:hAnsiTheme="minorHAnsi" w:cstheme="minorHAnsi"/>
          <w:b w:val="0"/>
          <w:sz w:val="22"/>
          <w:szCs w:val="22"/>
        </w:rPr>
        <w:t>Crollius</w:t>
      </w:r>
      <w:proofErr w:type="spellEnd"/>
      <w:r w:rsidR="007502B8" w:rsidRPr="00F56BF5">
        <w:rPr>
          <w:rFonts w:asciiTheme="minorHAnsi" w:hAnsiTheme="minorHAnsi" w:cstheme="minorHAnsi"/>
          <w:b w:val="0"/>
          <w:sz w:val="22"/>
          <w:szCs w:val="22"/>
        </w:rPr>
        <w:t xml:space="preserve"> De Jong </w:t>
      </w:r>
      <w:r w:rsidRPr="00A60794">
        <w:rPr>
          <w:rFonts w:asciiTheme="minorHAnsi" w:hAnsiTheme="minorHAnsi" w:cstheme="minorHAnsi"/>
          <w:b w:val="0"/>
          <w:sz w:val="22"/>
          <w:szCs w:val="22"/>
        </w:rPr>
        <w:t>advocaten een middel in handen te geven, waarmee zij haar cliënten van advies kan voorzien omtrent faillissementszaken waarbij verrekening van vorderingen en pandrecht centraal staan, door inzicht te geven in de wet- en regelgeving en jurisprudentie omtrent verrekenen van vorderingen, specifiek pinbetalingen, in het zicht van een faillissement.</w:t>
      </w:r>
      <w:r w:rsidR="00A23201">
        <w:rPr>
          <w:rFonts w:asciiTheme="minorHAnsi" w:hAnsiTheme="minorHAnsi" w:cstheme="minorHAnsi"/>
          <w:b w:val="0"/>
          <w:sz w:val="22"/>
          <w:szCs w:val="22"/>
        </w:rPr>
        <w:t xml:space="preserve"> Dit leidt tot de vraag, we</w:t>
      </w:r>
      <w:r w:rsidRPr="00A60794">
        <w:rPr>
          <w:rFonts w:asciiTheme="minorHAnsi" w:hAnsiTheme="minorHAnsi" w:cstheme="minorHAnsi"/>
          <w:b w:val="0"/>
          <w:sz w:val="22"/>
          <w:szCs w:val="22"/>
        </w:rPr>
        <w:t xml:space="preserve">lk advies kan blijkens literatuur- en jurisprudentieonderzoek aan </w:t>
      </w:r>
      <w:r w:rsidR="007B789B" w:rsidRPr="00F56BF5">
        <w:rPr>
          <w:rFonts w:asciiTheme="minorHAnsi" w:hAnsiTheme="minorHAnsi" w:cstheme="minorHAnsi"/>
          <w:b w:val="0"/>
          <w:sz w:val="22"/>
          <w:szCs w:val="22"/>
        </w:rPr>
        <w:t xml:space="preserve">Roest </w:t>
      </w:r>
      <w:proofErr w:type="spellStart"/>
      <w:r w:rsidR="007B789B" w:rsidRPr="00F56BF5">
        <w:rPr>
          <w:rFonts w:asciiTheme="minorHAnsi" w:hAnsiTheme="minorHAnsi" w:cstheme="minorHAnsi"/>
          <w:b w:val="0"/>
          <w:sz w:val="22"/>
          <w:szCs w:val="22"/>
        </w:rPr>
        <w:t>Crollius</w:t>
      </w:r>
      <w:proofErr w:type="spellEnd"/>
      <w:r w:rsidR="007B789B" w:rsidRPr="00F56BF5">
        <w:rPr>
          <w:rFonts w:asciiTheme="minorHAnsi" w:hAnsiTheme="minorHAnsi" w:cstheme="minorHAnsi"/>
          <w:b w:val="0"/>
          <w:sz w:val="22"/>
          <w:szCs w:val="22"/>
        </w:rPr>
        <w:t xml:space="preserve"> De Jong </w:t>
      </w:r>
      <w:r w:rsidR="00D2477A">
        <w:rPr>
          <w:rFonts w:asciiTheme="minorHAnsi" w:hAnsiTheme="minorHAnsi" w:cstheme="minorHAnsi"/>
          <w:b w:val="0"/>
          <w:sz w:val="22"/>
          <w:szCs w:val="22"/>
        </w:rPr>
        <w:t>a</w:t>
      </w:r>
      <w:r w:rsidRPr="00A60794">
        <w:rPr>
          <w:rFonts w:asciiTheme="minorHAnsi" w:hAnsiTheme="minorHAnsi" w:cstheme="minorHAnsi"/>
          <w:b w:val="0"/>
          <w:sz w:val="22"/>
          <w:szCs w:val="22"/>
        </w:rPr>
        <w:t>dvocaten gegeven worden omtrent verrekening van verpande vorderingen (pinbetalingen) in het zicht van een faillissement?</w:t>
      </w:r>
      <w:r w:rsidR="00ED1D63">
        <w:rPr>
          <w:rFonts w:asciiTheme="minorHAnsi" w:hAnsiTheme="minorHAnsi" w:cstheme="minorHAnsi"/>
          <w:b w:val="0"/>
          <w:sz w:val="22"/>
          <w:szCs w:val="22"/>
        </w:rPr>
        <w:t xml:space="preserve"> Om deze vraag te beantwoorden zal gebruik gemaakt geworden van verscheidene onderzoeksmethoden</w:t>
      </w:r>
      <w:r w:rsidR="006D6070">
        <w:rPr>
          <w:rFonts w:asciiTheme="minorHAnsi" w:hAnsiTheme="minorHAnsi" w:cstheme="minorHAnsi"/>
          <w:b w:val="0"/>
          <w:sz w:val="22"/>
          <w:szCs w:val="22"/>
        </w:rPr>
        <w:t xml:space="preserve">. Allereerst </w:t>
      </w:r>
      <w:r w:rsidR="00834B95">
        <w:rPr>
          <w:rFonts w:asciiTheme="minorHAnsi" w:hAnsiTheme="minorHAnsi" w:cstheme="minorHAnsi"/>
          <w:b w:val="0"/>
          <w:sz w:val="22"/>
          <w:szCs w:val="22"/>
        </w:rPr>
        <w:t xml:space="preserve">worden alle elementen omtrent pandrecht, </w:t>
      </w:r>
      <w:r w:rsidR="00834B95" w:rsidRPr="00416DBC">
        <w:rPr>
          <w:rFonts w:asciiTheme="minorHAnsi" w:hAnsiTheme="minorHAnsi" w:cstheme="minorHAnsi"/>
          <w:b w:val="0"/>
          <w:sz w:val="22"/>
          <w:szCs w:val="22"/>
        </w:rPr>
        <w:t>verrekening en het faillissement onderzocht door middel van een wetsanalyse en een literatuuronderzoek</w:t>
      </w:r>
      <w:r w:rsidR="002C490B" w:rsidRPr="00416DBC">
        <w:rPr>
          <w:rFonts w:asciiTheme="minorHAnsi" w:hAnsiTheme="minorHAnsi" w:cstheme="minorHAnsi"/>
          <w:b w:val="0"/>
          <w:sz w:val="22"/>
          <w:szCs w:val="22"/>
        </w:rPr>
        <w:t>. Vervolgens zal door middel van een jurisprudentieonderzoek een antwoord worden gezocht naar de omstandigheden om te mogen verrekenen in het zicht van een faillissement.</w:t>
      </w:r>
    </w:p>
    <w:p w:rsidR="00F15B1C" w:rsidRDefault="00F15B1C" w:rsidP="004C64D6">
      <w:pPr>
        <w:jc w:val="left"/>
        <w:rPr>
          <w:rFonts w:asciiTheme="minorHAnsi" w:hAnsiTheme="minorHAnsi" w:cstheme="minorHAnsi"/>
          <w:b w:val="0"/>
          <w:sz w:val="22"/>
          <w:szCs w:val="22"/>
        </w:rPr>
      </w:pPr>
    </w:p>
    <w:p w:rsidR="00386A24" w:rsidRDefault="00F15B1C" w:rsidP="007F67FD">
      <w:pPr>
        <w:jc w:val="left"/>
        <w:rPr>
          <w:rFonts w:asciiTheme="minorHAnsi" w:hAnsiTheme="minorHAnsi" w:cstheme="minorHAnsi"/>
          <w:b w:val="0"/>
          <w:sz w:val="22"/>
          <w:szCs w:val="22"/>
        </w:rPr>
      </w:pPr>
      <w:r>
        <w:rPr>
          <w:rFonts w:asciiTheme="minorHAnsi" w:hAnsiTheme="minorHAnsi" w:cstheme="minorHAnsi"/>
          <w:b w:val="0"/>
          <w:sz w:val="22"/>
          <w:szCs w:val="22"/>
        </w:rPr>
        <w:t xml:space="preserve">Uit het onderzoek is naar voren gekomen dat het arrest </w:t>
      </w:r>
      <w:r w:rsidRPr="007F6BEA">
        <w:rPr>
          <w:rFonts w:asciiTheme="minorHAnsi" w:hAnsiTheme="minorHAnsi" w:cstheme="minorHAnsi"/>
          <w:b w:val="0"/>
          <w:sz w:val="22"/>
          <w:szCs w:val="22"/>
        </w:rPr>
        <w:t xml:space="preserve">Mulder q.q./CLBN nog altijd de leidende jurisprudentie is omtrent het verrekenen in het zicht van een faillissement. </w:t>
      </w:r>
      <w:r w:rsidR="00BB5008" w:rsidRPr="007F6BEA">
        <w:rPr>
          <w:rFonts w:asciiTheme="minorHAnsi" w:hAnsiTheme="minorHAnsi" w:cstheme="minorHAnsi"/>
          <w:b w:val="0"/>
          <w:sz w:val="22"/>
          <w:szCs w:val="22"/>
        </w:rPr>
        <w:t xml:space="preserve">Dit betekent dat </w:t>
      </w:r>
      <w:r w:rsidR="005134C1" w:rsidRPr="007F6BEA">
        <w:rPr>
          <w:rFonts w:asciiTheme="minorHAnsi" w:hAnsiTheme="minorHAnsi" w:cstheme="minorHAnsi"/>
          <w:b w:val="0"/>
          <w:sz w:val="22"/>
          <w:szCs w:val="22"/>
        </w:rPr>
        <w:t>het hebben van een stil pandrecht nodig is om te mogen verrekenen in h</w:t>
      </w:r>
      <w:r w:rsidR="00562E1C">
        <w:rPr>
          <w:rFonts w:asciiTheme="minorHAnsi" w:hAnsiTheme="minorHAnsi" w:cstheme="minorHAnsi"/>
          <w:b w:val="0"/>
          <w:sz w:val="22"/>
          <w:szCs w:val="22"/>
        </w:rPr>
        <w:t xml:space="preserve">et zicht van een faillissement. </w:t>
      </w:r>
      <w:r w:rsidR="00D404A9">
        <w:rPr>
          <w:rFonts w:asciiTheme="minorHAnsi" w:hAnsiTheme="minorHAnsi" w:cstheme="minorHAnsi"/>
          <w:b w:val="0"/>
          <w:sz w:val="22"/>
          <w:szCs w:val="22"/>
        </w:rPr>
        <w:t xml:space="preserve">Een stil pandrecht kan gevestigd worden op een vordering en tevens op een vordering die </w:t>
      </w:r>
      <w:r w:rsidR="004C752B">
        <w:rPr>
          <w:rFonts w:asciiTheme="minorHAnsi" w:hAnsiTheme="minorHAnsi" w:cstheme="minorHAnsi"/>
          <w:b w:val="0"/>
          <w:sz w:val="22"/>
          <w:szCs w:val="22"/>
        </w:rPr>
        <w:t xml:space="preserve">ontstaat </w:t>
      </w:r>
      <w:r w:rsidR="00D404A9">
        <w:rPr>
          <w:rFonts w:asciiTheme="minorHAnsi" w:hAnsiTheme="minorHAnsi" w:cstheme="minorHAnsi"/>
          <w:b w:val="0"/>
          <w:sz w:val="22"/>
          <w:szCs w:val="22"/>
        </w:rPr>
        <w:t xml:space="preserve">door middel van een pinbetaling. </w:t>
      </w:r>
      <w:r w:rsidR="007514C1" w:rsidRPr="006F6DF8">
        <w:rPr>
          <w:rFonts w:asciiTheme="minorHAnsi" w:hAnsiTheme="minorHAnsi" w:cstheme="minorHAnsi"/>
          <w:b w:val="0"/>
          <w:sz w:val="22"/>
          <w:szCs w:val="22"/>
        </w:rPr>
        <w:t xml:space="preserve">Hier is in huidige jurisprudentie aan toegevoegd dat een vordering onder het pandrecht moet vallen </w:t>
      </w:r>
      <w:r w:rsidR="004E59E6">
        <w:rPr>
          <w:rFonts w:asciiTheme="minorHAnsi" w:hAnsiTheme="minorHAnsi" w:cstheme="minorHAnsi"/>
          <w:b w:val="0"/>
          <w:sz w:val="22"/>
          <w:szCs w:val="22"/>
        </w:rPr>
        <w:t xml:space="preserve">en het pandrecht moet bestaan </w:t>
      </w:r>
      <w:r w:rsidR="007514C1" w:rsidRPr="006F6DF8">
        <w:rPr>
          <w:rFonts w:asciiTheme="minorHAnsi" w:hAnsiTheme="minorHAnsi" w:cstheme="minorHAnsi"/>
          <w:b w:val="0"/>
          <w:sz w:val="22"/>
          <w:szCs w:val="22"/>
        </w:rPr>
        <w:t>om ermee te kunnen verrekenen. Het pandrecht mag zodoende niet teniet gegaan zijn door voltooiing van de vordering waar het op is gevestigd.</w:t>
      </w:r>
      <w:r w:rsidR="007514C1" w:rsidRPr="006F6DF8">
        <w:rPr>
          <w:rFonts w:asciiTheme="minorHAnsi" w:hAnsiTheme="minorHAnsi" w:cstheme="minorHAnsi"/>
          <w:b w:val="0"/>
          <w:color w:val="FF0000"/>
          <w:sz w:val="22"/>
          <w:szCs w:val="22"/>
        </w:rPr>
        <w:t xml:space="preserve"> </w:t>
      </w:r>
      <w:r w:rsidR="007062EA" w:rsidRPr="00B0149A">
        <w:rPr>
          <w:rFonts w:asciiTheme="minorHAnsi" w:hAnsiTheme="minorHAnsi" w:cstheme="minorHAnsi"/>
          <w:b w:val="0"/>
          <w:sz w:val="22"/>
          <w:szCs w:val="22"/>
        </w:rPr>
        <w:t xml:space="preserve">De verpanding van de pinvorderingen vindt in de casus plaats door middel van verzamelpandakten om zodoende zo snel en zoveel mogelijk pandrechten te kunnen vestigen. Een verzamelpandakte </w:t>
      </w:r>
      <w:r w:rsidR="00CE62F1">
        <w:rPr>
          <w:rFonts w:asciiTheme="minorHAnsi" w:hAnsiTheme="minorHAnsi" w:cstheme="minorHAnsi"/>
          <w:b w:val="0"/>
          <w:sz w:val="22"/>
          <w:szCs w:val="22"/>
        </w:rPr>
        <w:t xml:space="preserve">wordt iedere </w:t>
      </w:r>
      <w:r w:rsidR="009E5291">
        <w:rPr>
          <w:rFonts w:asciiTheme="minorHAnsi" w:hAnsiTheme="minorHAnsi" w:cstheme="minorHAnsi"/>
          <w:b w:val="0"/>
          <w:sz w:val="22"/>
          <w:szCs w:val="22"/>
        </w:rPr>
        <w:t xml:space="preserve">dag </w:t>
      </w:r>
      <w:r w:rsidR="00CE62F1">
        <w:rPr>
          <w:rFonts w:asciiTheme="minorHAnsi" w:hAnsiTheme="minorHAnsi" w:cstheme="minorHAnsi"/>
          <w:b w:val="0"/>
          <w:sz w:val="22"/>
          <w:szCs w:val="22"/>
        </w:rPr>
        <w:t xml:space="preserve">middels een volmacht bij de Belastingdienst aangeboden en </w:t>
      </w:r>
      <w:r w:rsidR="007062EA" w:rsidRPr="00B0149A">
        <w:rPr>
          <w:rFonts w:asciiTheme="minorHAnsi" w:hAnsiTheme="minorHAnsi" w:cstheme="minorHAnsi"/>
          <w:b w:val="0"/>
          <w:sz w:val="22"/>
          <w:szCs w:val="22"/>
        </w:rPr>
        <w:t xml:space="preserve">verpand in één keer alle vorderingen die op de dag van registratie van de </w:t>
      </w:r>
      <w:proofErr w:type="spellStart"/>
      <w:r w:rsidR="007062EA" w:rsidRPr="00B0149A">
        <w:rPr>
          <w:rFonts w:asciiTheme="minorHAnsi" w:hAnsiTheme="minorHAnsi" w:cstheme="minorHAnsi"/>
          <w:b w:val="0"/>
          <w:sz w:val="22"/>
          <w:szCs w:val="22"/>
        </w:rPr>
        <w:t>pandakte</w:t>
      </w:r>
      <w:proofErr w:type="spellEnd"/>
      <w:r w:rsidR="007062EA" w:rsidRPr="00B0149A">
        <w:rPr>
          <w:rFonts w:asciiTheme="minorHAnsi" w:hAnsiTheme="minorHAnsi" w:cstheme="minorHAnsi"/>
          <w:b w:val="0"/>
          <w:sz w:val="22"/>
          <w:szCs w:val="22"/>
        </w:rPr>
        <w:t xml:space="preserve"> ontstaan.</w:t>
      </w:r>
      <w:r w:rsidR="00180D55">
        <w:rPr>
          <w:rFonts w:asciiTheme="minorHAnsi" w:hAnsiTheme="minorHAnsi" w:cstheme="minorHAnsi"/>
          <w:b w:val="0"/>
          <w:sz w:val="22"/>
          <w:szCs w:val="22"/>
        </w:rPr>
        <w:t xml:space="preserve"> </w:t>
      </w:r>
    </w:p>
    <w:p w:rsidR="00DC7876" w:rsidRDefault="00DC7876" w:rsidP="007F67FD">
      <w:pPr>
        <w:jc w:val="left"/>
        <w:rPr>
          <w:rFonts w:asciiTheme="minorHAnsi" w:hAnsiTheme="minorHAnsi" w:cstheme="minorHAnsi"/>
          <w:b w:val="0"/>
          <w:sz w:val="22"/>
          <w:szCs w:val="22"/>
        </w:rPr>
      </w:pPr>
    </w:p>
    <w:p w:rsidR="00CF13C0" w:rsidRPr="006F6DF8" w:rsidRDefault="007514C1" w:rsidP="007F67FD">
      <w:pPr>
        <w:jc w:val="left"/>
        <w:rPr>
          <w:rFonts w:asciiTheme="minorHAnsi" w:hAnsiTheme="minorHAnsi" w:cstheme="minorHAnsi"/>
          <w:b w:val="0"/>
          <w:sz w:val="22"/>
          <w:szCs w:val="22"/>
        </w:rPr>
      </w:pPr>
      <w:r w:rsidRPr="006F6DF8">
        <w:rPr>
          <w:rFonts w:asciiTheme="minorHAnsi" w:hAnsiTheme="minorHAnsi" w:cstheme="minorHAnsi"/>
          <w:b w:val="0"/>
          <w:sz w:val="22"/>
          <w:szCs w:val="22"/>
        </w:rPr>
        <w:lastRenderedPageBreak/>
        <w:t xml:space="preserve">Een beroep op het arrest Mulder q.q./CLBN </w:t>
      </w:r>
      <w:r w:rsidR="00066C39">
        <w:rPr>
          <w:rFonts w:asciiTheme="minorHAnsi" w:hAnsiTheme="minorHAnsi" w:cstheme="minorHAnsi"/>
          <w:b w:val="0"/>
          <w:sz w:val="22"/>
          <w:szCs w:val="22"/>
        </w:rPr>
        <w:t>kan in d</w:t>
      </w:r>
      <w:r w:rsidRPr="006F6DF8">
        <w:rPr>
          <w:rFonts w:asciiTheme="minorHAnsi" w:hAnsiTheme="minorHAnsi" w:cstheme="minorHAnsi"/>
          <w:b w:val="0"/>
          <w:sz w:val="22"/>
          <w:szCs w:val="22"/>
        </w:rPr>
        <w:t xml:space="preserve">e weg </w:t>
      </w:r>
      <w:r w:rsidR="00066C39">
        <w:rPr>
          <w:rFonts w:asciiTheme="minorHAnsi" w:hAnsiTheme="minorHAnsi" w:cstheme="minorHAnsi"/>
          <w:b w:val="0"/>
          <w:sz w:val="22"/>
          <w:szCs w:val="22"/>
        </w:rPr>
        <w:t xml:space="preserve">worden </w:t>
      </w:r>
      <w:r w:rsidRPr="006F6DF8">
        <w:rPr>
          <w:rFonts w:asciiTheme="minorHAnsi" w:hAnsiTheme="minorHAnsi" w:cstheme="minorHAnsi"/>
          <w:b w:val="0"/>
          <w:sz w:val="22"/>
          <w:szCs w:val="22"/>
        </w:rPr>
        <w:t xml:space="preserve">gestaan door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Om een beroep op het arrest Mulder te doen en zodoende te mogen verrekenen in het zicht van een faillissement, dient men stille pandrechten te bezitten. Men mag echter niet verrekenen indien men stille pandrechten overneemt in het zicht van een faillissement en daarbij niet te goeder trouw is. Men is niet te goeder trouw indien men bij het overnemen van een vordering van het aanstaande faillissement op de hoogte was. Een ander artikel dat een beroep op het arrest Mulder q.q./CLBN in de weg </w:t>
      </w:r>
      <w:r w:rsidR="006402CC">
        <w:rPr>
          <w:rFonts w:asciiTheme="minorHAnsi" w:hAnsiTheme="minorHAnsi" w:cstheme="minorHAnsi"/>
          <w:b w:val="0"/>
          <w:sz w:val="22"/>
          <w:szCs w:val="22"/>
        </w:rPr>
        <w:t>kan staan</w:t>
      </w:r>
      <w:r w:rsidRPr="006F6DF8">
        <w:rPr>
          <w:rFonts w:asciiTheme="minorHAnsi" w:hAnsiTheme="minorHAnsi" w:cstheme="minorHAnsi"/>
          <w:b w:val="0"/>
          <w:sz w:val="22"/>
          <w:szCs w:val="22"/>
        </w:rPr>
        <w:t xml:space="preserve"> is artikel 42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Dit artikel heeft het niet over het overnemen van vorderingen in het zicht van een faillissement, maar over het creëren van een verrekeningsbevoegdheid in het zicht van een faillissement. Men mag </w:t>
      </w:r>
      <w:r w:rsidR="00B37187">
        <w:rPr>
          <w:rFonts w:asciiTheme="minorHAnsi" w:hAnsiTheme="minorHAnsi" w:cstheme="minorHAnsi"/>
          <w:b w:val="0"/>
          <w:sz w:val="22"/>
          <w:szCs w:val="22"/>
        </w:rPr>
        <w:t>namelijk</w:t>
      </w:r>
      <w:r w:rsidRPr="006F6DF8">
        <w:rPr>
          <w:rFonts w:asciiTheme="minorHAnsi" w:hAnsiTheme="minorHAnsi" w:cstheme="minorHAnsi"/>
          <w:b w:val="0"/>
          <w:sz w:val="22"/>
          <w:szCs w:val="22"/>
        </w:rPr>
        <w:t xml:space="preserve"> alleen verplichte rechtshandelingen in het zicht van een faillissement doen. </w:t>
      </w:r>
      <w:r w:rsidR="009A0885">
        <w:rPr>
          <w:rFonts w:asciiTheme="minorHAnsi" w:hAnsiTheme="minorHAnsi" w:cstheme="minorHAnsi"/>
          <w:b w:val="0"/>
          <w:sz w:val="22"/>
          <w:szCs w:val="22"/>
        </w:rPr>
        <w:t>H</w:t>
      </w:r>
      <w:r w:rsidRPr="006F6DF8">
        <w:rPr>
          <w:rFonts w:asciiTheme="minorHAnsi" w:hAnsiTheme="minorHAnsi" w:cstheme="minorHAnsi"/>
          <w:b w:val="0"/>
          <w:sz w:val="22"/>
          <w:szCs w:val="22"/>
        </w:rPr>
        <w:t xml:space="preserve">et is nog steeds niet helemaal duidelijk </w:t>
      </w:r>
      <w:r w:rsidR="00A04D41">
        <w:rPr>
          <w:rFonts w:asciiTheme="minorHAnsi" w:hAnsiTheme="minorHAnsi" w:cstheme="minorHAnsi"/>
          <w:b w:val="0"/>
          <w:sz w:val="22"/>
          <w:szCs w:val="22"/>
        </w:rPr>
        <w:t>of het vestigen van een pandrecht</w:t>
      </w:r>
      <w:r w:rsidR="009A0885">
        <w:rPr>
          <w:rFonts w:asciiTheme="minorHAnsi" w:hAnsiTheme="minorHAnsi" w:cstheme="minorHAnsi"/>
          <w:b w:val="0"/>
          <w:sz w:val="22"/>
          <w:szCs w:val="22"/>
        </w:rPr>
        <w:t xml:space="preserve"> in het zicht van een faillissement aangemerkt kan worden als een verplichte rechtshandeling. Er is namelijk </w:t>
      </w:r>
      <w:r w:rsidRPr="006F6DF8">
        <w:rPr>
          <w:rFonts w:asciiTheme="minorHAnsi" w:hAnsiTheme="minorHAnsi" w:cstheme="minorHAnsi"/>
          <w:b w:val="0"/>
          <w:sz w:val="22"/>
          <w:szCs w:val="22"/>
        </w:rPr>
        <w:t xml:space="preserve">nog te weinig rechtspraak om een antwoord op de reikwijdte van artikel 42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te </w:t>
      </w:r>
      <w:r w:rsidR="004D0AB1">
        <w:rPr>
          <w:rFonts w:asciiTheme="minorHAnsi" w:hAnsiTheme="minorHAnsi" w:cstheme="minorHAnsi"/>
          <w:b w:val="0"/>
          <w:sz w:val="22"/>
          <w:szCs w:val="22"/>
        </w:rPr>
        <w:t xml:space="preserve">kunnen </w:t>
      </w:r>
      <w:r w:rsidRPr="006F6DF8">
        <w:rPr>
          <w:rFonts w:asciiTheme="minorHAnsi" w:hAnsiTheme="minorHAnsi" w:cstheme="minorHAnsi"/>
          <w:b w:val="0"/>
          <w:sz w:val="22"/>
          <w:szCs w:val="22"/>
        </w:rPr>
        <w:t>geven.</w:t>
      </w:r>
      <w:r w:rsidR="00EF2938">
        <w:rPr>
          <w:rFonts w:asciiTheme="minorHAnsi" w:hAnsiTheme="minorHAnsi" w:cstheme="minorHAnsi"/>
          <w:b w:val="0"/>
          <w:sz w:val="22"/>
          <w:szCs w:val="22"/>
        </w:rPr>
        <w:t xml:space="preserve"> </w:t>
      </w:r>
      <w:r w:rsidRPr="006F6DF8">
        <w:rPr>
          <w:rFonts w:asciiTheme="minorHAnsi" w:hAnsiTheme="minorHAnsi" w:cstheme="minorHAnsi"/>
          <w:b w:val="0"/>
          <w:sz w:val="22"/>
          <w:szCs w:val="22"/>
        </w:rPr>
        <w:t xml:space="preserve">Tot slot is artikel 47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van belang omtrent verrekenen in het zicht van een faillissement. Artikel 47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zegt dat </w:t>
      </w:r>
      <w:r w:rsidR="00CF13C0" w:rsidRPr="00B0149A">
        <w:rPr>
          <w:rFonts w:asciiTheme="minorHAnsi" w:hAnsiTheme="minorHAnsi" w:cstheme="minorHAnsi"/>
          <w:b w:val="0"/>
          <w:sz w:val="22"/>
          <w:szCs w:val="22"/>
        </w:rPr>
        <w:t xml:space="preserve">indien men wil verrekenen terwijl men op de hoogte is van het aanstaande faillissement, dit wordt bestempeld als </w:t>
      </w:r>
      <w:proofErr w:type="spellStart"/>
      <w:r w:rsidR="00CF13C0" w:rsidRPr="00B0149A">
        <w:rPr>
          <w:rFonts w:asciiTheme="minorHAnsi" w:hAnsiTheme="minorHAnsi" w:cstheme="minorHAnsi"/>
          <w:b w:val="0"/>
          <w:sz w:val="22"/>
          <w:szCs w:val="22"/>
        </w:rPr>
        <w:t>paulianeus</w:t>
      </w:r>
      <w:proofErr w:type="spellEnd"/>
      <w:r w:rsidR="00CF13C0" w:rsidRPr="00B0149A">
        <w:rPr>
          <w:rFonts w:asciiTheme="minorHAnsi" w:hAnsiTheme="minorHAnsi" w:cstheme="minorHAnsi"/>
          <w:b w:val="0"/>
          <w:sz w:val="22"/>
          <w:szCs w:val="22"/>
        </w:rPr>
        <w:t xml:space="preserve"> handelen. </w:t>
      </w:r>
      <w:r w:rsidR="00CF13C0">
        <w:rPr>
          <w:rFonts w:asciiTheme="minorHAnsi" w:hAnsiTheme="minorHAnsi" w:cstheme="minorHAnsi"/>
          <w:b w:val="0"/>
          <w:sz w:val="22"/>
          <w:szCs w:val="22"/>
        </w:rPr>
        <w:t xml:space="preserve"> </w:t>
      </w:r>
      <w:r w:rsidR="0092051A">
        <w:rPr>
          <w:rFonts w:asciiTheme="minorHAnsi" w:hAnsiTheme="minorHAnsi" w:cstheme="minorHAnsi"/>
          <w:b w:val="0"/>
          <w:sz w:val="22"/>
          <w:szCs w:val="22"/>
        </w:rPr>
        <w:t xml:space="preserve">Daarnaast mag </w:t>
      </w:r>
      <w:r w:rsidRPr="006F6DF8">
        <w:rPr>
          <w:rFonts w:asciiTheme="minorHAnsi" w:hAnsiTheme="minorHAnsi" w:cstheme="minorHAnsi"/>
          <w:b w:val="0"/>
          <w:sz w:val="22"/>
          <w:szCs w:val="22"/>
        </w:rPr>
        <w:t xml:space="preserve">overleg tussen de schuldenaar en de schuldeiser met </w:t>
      </w:r>
      <w:r w:rsidR="0092051A">
        <w:rPr>
          <w:rFonts w:asciiTheme="minorHAnsi" w:hAnsiTheme="minorHAnsi" w:cstheme="minorHAnsi"/>
          <w:b w:val="0"/>
          <w:sz w:val="22"/>
          <w:szCs w:val="22"/>
        </w:rPr>
        <w:t xml:space="preserve">het </w:t>
      </w:r>
      <w:r w:rsidRPr="006F6DF8">
        <w:rPr>
          <w:rFonts w:asciiTheme="minorHAnsi" w:hAnsiTheme="minorHAnsi" w:cstheme="minorHAnsi"/>
          <w:b w:val="0"/>
          <w:sz w:val="22"/>
          <w:szCs w:val="22"/>
        </w:rPr>
        <w:t xml:space="preserve">oogmerk om zich boven andere schuldeisers te begunstigen niet </w:t>
      </w:r>
      <w:r w:rsidR="0092051A">
        <w:rPr>
          <w:rFonts w:asciiTheme="minorHAnsi" w:hAnsiTheme="minorHAnsi" w:cstheme="minorHAnsi"/>
          <w:b w:val="0"/>
          <w:sz w:val="22"/>
          <w:szCs w:val="22"/>
        </w:rPr>
        <w:t>plaatsvinden</w:t>
      </w:r>
      <w:r w:rsidRPr="006F6DF8">
        <w:rPr>
          <w:rFonts w:asciiTheme="minorHAnsi" w:hAnsiTheme="minorHAnsi" w:cstheme="minorHAnsi"/>
          <w:b w:val="0"/>
          <w:sz w:val="22"/>
          <w:szCs w:val="22"/>
        </w:rPr>
        <w:t xml:space="preserve">. </w:t>
      </w:r>
    </w:p>
    <w:p w:rsidR="007514C1" w:rsidRPr="006F6DF8" w:rsidRDefault="007514C1" w:rsidP="007514C1">
      <w:pPr>
        <w:jc w:val="left"/>
        <w:rPr>
          <w:rFonts w:asciiTheme="minorHAnsi" w:hAnsiTheme="minorHAnsi" w:cstheme="minorHAnsi"/>
          <w:b w:val="0"/>
          <w:sz w:val="22"/>
          <w:szCs w:val="22"/>
        </w:rPr>
      </w:pPr>
    </w:p>
    <w:p w:rsidR="003E27F8" w:rsidRPr="00282B16" w:rsidRDefault="00D2477A" w:rsidP="003E27F8">
      <w:pPr>
        <w:jc w:val="left"/>
        <w:rPr>
          <w:rFonts w:asciiTheme="minorHAnsi" w:hAnsiTheme="minorHAnsi" w:cstheme="minorHAnsi"/>
          <w:b w:val="0"/>
          <w:sz w:val="22"/>
          <w:szCs w:val="22"/>
        </w:rPr>
      </w:pPr>
      <w:r>
        <w:rPr>
          <w:rFonts w:asciiTheme="minorHAnsi" w:hAnsiTheme="minorHAnsi" w:cstheme="minorHAnsi"/>
          <w:b w:val="0"/>
          <w:sz w:val="22"/>
          <w:szCs w:val="22"/>
        </w:rPr>
        <w:t>Mid</w:t>
      </w:r>
      <w:r w:rsidR="00E93F41">
        <w:rPr>
          <w:rFonts w:asciiTheme="minorHAnsi" w:hAnsiTheme="minorHAnsi" w:cstheme="minorHAnsi"/>
          <w:b w:val="0"/>
          <w:sz w:val="22"/>
          <w:szCs w:val="22"/>
        </w:rPr>
        <w:t>d</w:t>
      </w:r>
      <w:r>
        <w:rPr>
          <w:rFonts w:asciiTheme="minorHAnsi" w:hAnsiTheme="minorHAnsi" w:cstheme="minorHAnsi"/>
          <w:b w:val="0"/>
          <w:sz w:val="22"/>
          <w:szCs w:val="22"/>
        </w:rPr>
        <w:t>els</w:t>
      </w:r>
      <w:r w:rsidR="006F65DD" w:rsidRPr="00B0149A">
        <w:rPr>
          <w:rFonts w:asciiTheme="minorHAnsi" w:hAnsiTheme="minorHAnsi" w:cstheme="minorHAnsi"/>
          <w:b w:val="0"/>
          <w:sz w:val="22"/>
          <w:szCs w:val="22"/>
        </w:rPr>
        <w:t xml:space="preserve"> dit onderzoek is geprobeerd om </w:t>
      </w:r>
      <w:r w:rsidR="00E93F41" w:rsidRPr="00F56BF5">
        <w:rPr>
          <w:rFonts w:asciiTheme="minorHAnsi" w:hAnsiTheme="minorHAnsi" w:cstheme="minorHAnsi"/>
          <w:b w:val="0"/>
          <w:sz w:val="22"/>
          <w:szCs w:val="22"/>
        </w:rPr>
        <w:t xml:space="preserve">Roest </w:t>
      </w:r>
      <w:proofErr w:type="spellStart"/>
      <w:r w:rsidR="00E93F41" w:rsidRPr="00F56BF5">
        <w:rPr>
          <w:rFonts w:asciiTheme="minorHAnsi" w:hAnsiTheme="minorHAnsi" w:cstheme="minorHAnsi"/>
          <w:b w:val="0"/>
          <w:sz w:val="22"/>
          <w:szCs w:val="22"/>
        </w:rPr>
        <w:t>Crollius</w:t>
      </w:r>
      <w:proofErr w:type="spellEnd"/>
      <w:r w:rsidR="00E93F41" w:rsidRPr="00F56BF5">
        <w:rPr>
          <w:rFonts w:asciiTheme="minorHAnsi" w:hAnsiTheme="minorHAnsi" w:cstheme="minorHAnsi"/>
          <w:b w:val="0"/>
          <w:sz w:val="22"/>
          <w:szCs w:val="22"/>
        </w:rPr>
        <w:t xml:space="preserve"> De Jong </w:t>
      </w:r>
      <w:r w:rsidR="006F65DD" w:rsidRPr="00B0149A">
        <w:rPr>
          <w:rFonts w:asciiTheme="minorHAnsi" w:hAnsiTheme="minorHAnsi" w:cstheme="minorHAnsi"/>
          <w:b w:val="0"/>
          <w:sz w:val="22"/>
          <w:szCs w:val="22"/>
        </w:rPr>
        <w:t xml:space="preserve">advocaten van informatie te voorzien zodat zij haar cliënten kan adviseren omtrent verrekening van verpande vorderingen (pinbetalingen) in het zicht van een faillissement. Hieruit is naar voren gekomen dat </w:t>
      </w:r>
      <w:r w:rsidR="007A4C06" w:rsidRPr="00F56BF5">
        <w:rPr>
          <w:rFonts w:asciiTheme="minorHAnsi" w:hAnsiTheme="minorHAnsi" w:cstheme="minorHAnsi"/>
          <w:b w:val="0"/>
          <w:sz w:val="22"/>
          <w:szCs w:val="22"/>
        </w:rPr>
        <w:t xml:space="preserve">Roest </w:t>
      </w:r>
      <w:proofErr w:type="spellStart"/>
      <w:r w:rsidR="007A4C06" w:rsidRPr="00F56BF5">
        <w:rPr>
          <w:rFonts w:asciiTheme="minorHAnsi" w:hAnsiTheme="minorHAnsi" w:cstheme="minorHAnsi"/>
          <w:b w:val="0"/>
          <w:sz w:val="22"/>
          <w:szCs w:val="22"/>
        </w:rPr>
        <w:t>Crollius</w:t>
      </w:r>
      <w:proofErr w:type="spellEnd"/>
      <w:r w:rsidR="007A4C06" w:rsidRPr="00F56BF5">
        <w:rPr>
          <w:rFonts w:asciiTheme="minorHAnsi" w:hAnsiTheme="minorHAnsi" w:cstheme="minorHAnsi"/>
          <w:b w:val="0"/>
          <w:sz w:val="22"/>
          <w:szCs w:val="22"/>
        </w:rPr>
        <w:t xml:space="preserve"> De Jong </w:t>
      </w:r>
      <w:r w:rsidR="006F65DD" w:rsidRPr="00B0149A">
        <w:rPr>
          <w:rFonts w:asciiTheme="minorHAnsi" w:hAnsiTheme="minorHAnsi" w:cstheme="minorHAnsi"/>
          <w:b w:val="0"/>
          <w:sz w:val="22"/>
          <w:szCs w:val="22"/>
        </w:rPr>
        <w:t>advocaten met een aantal elementen rekening dient te houde</w:t>
      </w:r>
      <w:r w:rsidR="006F65DD">
        <w:rPr>
          <w:rFonts w:asciiTheme="minorHAnsi" w:hAnsiTheme="minorHAnsi" w:cstheme="minorHAnsi"/>
          <w:b w:val="0"/>
          <w:sz w:val="22"/>
          <w:szCs w:val="22"/>
        </w:rPr>
        <w:t>n</w:t>
      </w:r>
      <w:r w:rsidR="006F65DD" w:rsidRPr="00B0149A">
        <w:rPr>
          <w:rFonts w:asciiTheme="minorHAnsi" w:hAnsiTheme="minorHAnsi" w:cstheme="minorHAnsi"/>
          <w:b w:val="0"/>
          <w:sz w:val="22"/>
          <w:szCs w:val="22"/>
        </w:rPr>
        <w:t xml:space="preserve">. Ten eerste is het van belang dat de cliënt stil pandhouder is en op basis van de pandrechten die zij bezit verrekend. De pandrechten dienen zodoende te bestaan en niet teniet gegaan te zijn door voltooiing van de pinvordering waar het pandrecht op gevestigd is. </w:t>
      </w:r>
      <w:r w:rsidR="00995834">
        <w:rPr>
          <w:rFonts w:asciiTheme="minorHAnsi" w:hAnsiTheme="minorHAnsi" w:cstheme="minorHAnsi"/>
          <w:b w:val="0"/>
          <w:sz w:val="22"/>
          <w:szCs w:val="22"/>
        </w:rPr>
        <w:t xml:space="preserve">De pinvordering </w:t>
      </w:r>
      <w:r w:rsidR="007F7E8E">
        <w:rPr>
          <w:rFonts w:asciiTheme="minorHAnsi" w:hAnsiTheme="minorHAnsi" w:cstheme="minorHAnsi"/>
          <w:b w:val="0"/>
          <w:sz w:val="22"/>
          <w:szCs w:val="22"/>
        </w:rPr>
        <w:t>is voltooid</w:t>
      </w:r>
      <w:r w:rsidR="00995834">
        <w:rPr>
          <w:rFonts w:asciiTheme="minorHAnsi" w:hAnsiTheme="minorHAnsi" w:cstheme="minorHAnsi"/>
          <w:b w:val="0"/>
          <w:sz w:val="22"/>
          <w:szCs w:val="22"/>
        </w:rPr>
        <w:t xml:space="preserve"> wanneer de betaling wordt gecrediteerd op de bankrekening van de pandgever. </w:t>
      </w:r>
      <w:r w:rsidR="006F65DD" w:rsidRPr="00B0149A">
        <w:rPr>
          <w:rFonts w:asciiTheme="minorHAnsi" w:hAnsiTheme="minorHAnsi" w:cstheme="minorHAnsi"/>
          <w:b w:val="0"/>
          <w:sz w:val="22"/>
          <w:szCs w:val="22"/>
        </w:rPr>
        <w:t xml:space="preserve">Verder mogen er geen nieuwe pandrechten in het zicht van het faillissement gevestigd worden en mag er geen overleg tussen de schuldenaar en de schuldeiser plaatsvinden met het oogmerk om zich boven andere schuldeisers te begunstigen. Tot slot mogen er geen vorderingen van derden worden overgenomen als men van het aanstaande faillissement op de hoogte is. </w:t>
      </w:r>
      <w:r w:rsidR="003E27F8">
        <w:rPr>
          <w:rFonts w:asciiTheme="minorHAnsi" w:hAnsiTheme="minorHAnsi" w:cstheme="minorHAnsi"/>
          <w:b w:val="0"/>
          <w:sz w:val="22"/>
          <w:szCs w:val="22"/>
        </w:rPr>
        <w:t xml:space="preserve">Het belangrijkste leerstuk is dat het arrest Mulder q.q./CLBN </w:t>
      </w:r>
      <w:r w:rsidR="00C66859">
        <w:rPr>
          <w:rFonts w:asciiTheme="minorHAnsi" w:hAnsiTheme="minorHAnsi" w:cstheme="minorHAnsi"/>
          <w:b w:val="0"/>
          <w:sz w:val="22"/>
          <w:szCs w:val="22"/>
        </w:rPr>
        <w:t xml:space="preserve">tot op heden </w:t>
      </w:r>
      <w:r w:rsidR="003E27F8">
        <w:rPr>
          <w:rFonts w:asciiTheme="minorHAnsi" w:hAnsiTheme="minorHAnsi" w:cstheme="minorHAnsi"/>
          <w:b w:val="0"/>
          <w:sz w:val="22"/>
          <w:szCs w:val="22"/>
        </w:rPr>
        <w:t>toonaangevend</w:t>
      </w:r>
      <w:r w:rsidR="00C66859">
        <w:rPr>
          <w:rFonts w:asciiTheme="minorHAnsi" w:hAnsiTheme="minorHAnsi" w:cstheme="minorHAnsi"/>
          <w:b w:val="0"/>
          <w:sz w:val="22"/>
          <w:szCs w:val="22"/>
        </w:rPr>
        <w:t xml:space="preserve"> is</w:t>
      </w:r>
      <w:r w:rsidR="003E27F8">
        <w:rPr>
          <w:rFonts w:asciiTheme="minorHAnsi" w:hAnsiTheme="minorHAnsi" w:cstheme="minorHAnsi"/>
          <w:b w:val="0"/>
          <w:sz w:val="22"/>
          <w:szCs w:val="22"/>
        </w:rPr>
        <w:t xml:space="preserve">. Zodoende dient men stille pandrechten te bezitten om te kunnen verrekenen in het zicht van het faillissement. Indien een cliënt van </w:t>
      </w:r>
      <w:r w:rsidR="003649C6" w:rsidRPr="00F56BF5">
        <w:rPr>
          <w:rFonts w:asciiTheme="minorHAnsi" w:hAnsiTheme="minorHAnsi" w:cstheme="minorHAnsi"/>
          <w:b w:val="0"/>
          <w:sz w:val="22"/>
          <w:szCs w:val="22"/>
        </w:rPr>
        <w:t xml:space="preserve">Roest </w:t>
      </w:r>
      <w:proofErr w:type="spellStart"/>
      <w:r w:rsidR="003649C6" w:rsidRPr="00F56BF5">
        <w:rPr>
          <w:rFonts w:asciiTheme="minorHAnsi" w:hAnsiTheme="minorHAnsi" w:cstheme="minorHAnsi"/>
          <w:b w:val="0"/>
          <w:sz w:val="22"/>
          <w:szCs w:val="22"/>
        </w:rPr>
        <w:t>Crollius</w:t>
      </w:r>
      <w:proofErr w:type="spellEnd"/>
      <w:r w:rsidR="003649C6" w:rsidRPr="00F56BF5">
        <w:rPr>
          <w:rFonts w:asciiTheme="minorHAnsi" w:hAnsiTheme="minorHAnsi" w:cstheme="minorHAnsi"/>
          <w:b w:val="0"/>
          <w:sz w:val="22"/>
          <w:szCs w:val="22"/>
        </w:rPr>
        <w:t xml:space="preserve"> De Jong </w:t>
      </w:r>
      <w:r w:rsidR="003E27F8">
        <w:rPr>
          <w:rFonts w:asciiTheme="minorHAnsi" w:hAnsiTheme="minorHAnsi" w:cstheme="minorHAnsi"/>
          <w:b w:val="0"/>
          <w:sz w:val="22"/>
          <w:szCs w:val="22"/>
        </w:rPr>
        <w:t xml:space="preserve">advocaten geen stille pandrechten bezit, dan kan </w:t>
      </w:r>
      <w:r w:rsidR="003649C6" w:rsidRPr="00F56BF5">
        <w:rPr>
          <w:rFonts w:asciiTheme="minorHAnsi" w:hAnsiTheme="minorHAnsi" w:cstheme="minorHAnsi"/>
          <w:b w:val="0"/>
          <w:sz w:val="22"/>
          <w:szCs w:val="22"/>
        </w:rPr>
        <w:t xml:space="preserve">Roest </w:t>
      </w:r>
      <w:proofErr w:type="spellStart"/>
      <w:r w:rsidR="003649C6" w:rsidRPr="00F56BF5">
        <w:rPr>
          <w:rFonts w:asciiTheme="minorHAnsi" w:hAnsiTheme="minorHAnsi" w:cstheme="minorHAnsi"/>
          <w:b w:val="0"/>
          <w:sz w:val="22"/>
          <w:szCs w:val="22"/>
        </w:rPr>
        <w:t>Crollius</w:t>
      </w:r>
      <w:proofErr w:type="spellEnd"/>
      <w:r w:rsidR="003649C6" w:rsidRPr="00F56BF5">
        <w:rPr>
          <w:rFonts w:asciiTheme="minorHAnsi" w:hAnsiTheme="minorHAnsi" w:cstheme="minorHAnsi"/>
          <w:b w:val="0"/>
          <w:sz w:val="22"/>
          <w:szCs w:val="22"/>
        </w:rPr>
        <w:t xml:space="preserve"> De Jong </w:t>
      </w:r>
      <w:r w:rsidR="003E27F8">
        <w:rPr>
          <w:rFonts w:asciiTheme="minorHAnsi" w:hAnsiTheme="minorHAnsi" w:cstheme="minorHAnsi"/>
          <w:b w:val="0"/>
          <w:sz w:val="22"/>
          <w:szCs w:val="22"/>
        </w:rPr>
        <w:t xml:space="preserve">advocaten haar afraden om te verrekenen in het zicht van het faillissement. Er is dan immers geen </w:t>
      </w:r>
      <w:proofErr w:type="spellStart"/>
      <w:r w:rsidR="003E27F8">
        <w:rPr>
          <w:rFonts w:asciiTheme="minorHAnsi" w:hAnsiTheme="minorHAnsi" w:cstheme="minorHAnsi"/>
          <w:b w:val="0"/>
          <w:sz w:val="22"/>
          <w:szCs w:val="22"/>
        </w:rPr>
        <w:t>verrekeningsgrond</w:t>
      </w:r>
      <w:proofErr w:type="spellEnd"/>
      <w:r w:rsidR="006441E4">
        <w:rPr>
          <w:rFonts w:asciiTheme="minorHAnsi" w:hAnsiTheme="minorHAnsi" w:cstheme="minorHAnsi"/>
          <w:b w:val="0"/>
          <w:sz w:val="22"/>
          <w:szCs w:val="22"/>
        </w:rPr>
        <w:t>. Daarbij kan</w:t>
      </w:r>
      <w:r w:rsidR="000E59B7">
        <w:rPr>
          <w:rFonts w:asciiTheme="minorHAnsi" w:hAnsiTheme="minorHAnsi" w:cstheme="minorHAnsi"/>
          <w:b w:val="0"/>
          <w:sz w:val="22"/>
          <w:szCs w:val="22"/>
        </w:rPr>
        <w:t xml:space="preserve"> </w:t>
      </w:r>
      <w:r w:rsidR="006441E4">
        <w:rPr>
          <w:rFonts w:asciiTheme="minorHAnsi" w:hAnsiTheme="minorHAnsi" w:cstheme="minorHAnsi"/>
          <w:b w:val="0"/>
          <w:sz w:val="22"/>
          <w:szCs w:val="22"/>
        </w:rPr>
        <w:t xml:space="preserve">er </w:t>
      </w:r>
      <w:r w:rsidR="000E59B7">
        <w:rPr>
          <w:rFonts w:asciiTheme="minorHAnsi" w:hAnsiTheme="minorHAnsi" w:cstheme="minorHAnsi"/>
          <w:b w:val="0"/>
          <w:sz w:val="22"/>
          <w:szCs w:val="22"/>
        </w:rPr>
        <w:t xml:space="preserve">aan de cliënt worden medegedeeld dat er </w:t>
      </w:r>
      <w:r w:rsidR="003E27F8">
        <w:rPr>
          <w:rFonts w:asciiTheme="minorHAnsi" w:hAnsiTheme="minorHAnsi" w:cstheme="minorHAnsi"/>
          <w:b w:val="0"/>
          <w:sz w:val="22"/>
          <w:szCs w:val="22"/>
        </w:rPr>
        <w:t xml:space="preserve">tevens geen nieuwe </w:t>
      </w:r>
      <w:proofErr w:type="spellStart"/>
      <w:r w:rsidR="003E27F8">
        <w:rPr>
          <w:rFonts w:asciiTheme="minorHAnsi" w:hAnsiTheme="minorHAnsi" w:cstheme="minorHAnsi"/>
          <w:b w:val="0"/>
          <w:sz w:val="22"/>
          <w:szCs w:val="22"/>
        </w:rPr>
        <w:t>verrekeningsgronden</w:t>
      </w:r>
      <w:proofErr w:type="spellEnd"/>
      <w:r w:rsidR="003E27F8">
        <w:rPr>
          <w:rFonts w:asciiTheme="minorHAnsi" w:hAnsiTheme="minorHAnsi" w:cstheme="minorHAnsi"/>
          <w:b w:val="0"/>
          <w:sz w:val="22"/>
          <w:szCs w:val="22"/>
        </w:rPr>
        <w:t xml:space="preserve"> </w:t>
      </w:r>
      <w:r w:rsidR="000E59B7">
        <w:rPr>
          <w:rFonts w:asciiTheme="minorHAnsi" w:hAnsiTheme="minorHAnsi" w:cstheme="minorHAnsi"/>
          <w:b w:val="0"/>
          <w:sz w:val="22"/>
          <w:szCs w:val="22"/>
        </w:rPr>
        <w:t xml:space="preserve">mogen </w:t>
      </w:r>
      <w:r w:rsidR="003E27F8">
        <w:rPr>
          <w:rFonts w:asciiTheme="minorHAnsi" w:hAnsiTheme="minorHAnsi" w:cstheme="minorHAnsi"/>
          <w:b w:val="0"/>
          <w:sz w:val="22"/>
          <w:szCs w:val="22"/>
        </w:rPr>
        <w:t>worden gecreëerd of worden overgenomen in het zicht van een faillissement. Indien de cliënt niet op de hoogte is van een aanstaand faillissement, dan kan het mogelijk zijn om op basis van verzamelpandakten nieuwe stille pandrechten te vestigen. Hier dient in de toekomst echter nog meer onderzoek naar gedaan te worden</w:t>
      </w:r>
      <w:r w:rsidR="00CA3B1F">
        <w:rPr>
          <w:rFonts w:asciiTheme="minorHAnsi" w:hAnsiTheme="minorHAnsi" w:cstheme="minorHAnsi"/>
          <w:b w:val="0"/>
          <w:sz w:val="22"/>
          <w:szCs w:val="22"/>
        </w:rPr>
        <w:t>, omdat de rechtspraak er nog niet duidelijk over is</w:t>
      </w:r>
      <w:r w:rsidR="003E27F8">
        <w:rPr>
          <w:rFonts w:asciiTheme="minorHAnsi" w:hAnsiTheme="minorHAnsi" w:cstheme="minorHAnsi"/>
          <w:b w:val="0"/>
          <w:sz w:val="22"/>
          <w:szCs w:val="22"/>
        </w:rPr>
        <w:t>.</w:t>
      </w:r>
    </w:p>
    <w:p w:rsidR="007A1AEC" w:rsidRDefault="007A1AEC">
      <w:pPr>
        <w:rPr>
          <w:rFonts w:asciiTheme="majorHAnsi" w:eastAsiaTheme="majorEastAsia" w:hAnsiTheme="majorHAnsi" w:cstheme="majorBidi"/>
          <w:b w:val="0"/>
          <w:bCs w:val="0"/>
          <w:color w:val="365F91" w:themeColor="accent1" w:themeShade="BF"/>
          <w:sz w:val="36"/>
          <w:szCs w:val="28"/>
        </w:rPr>
      </w:pPr>
      <w:r>
        <w:rPr>
          <w:sz w:val="36"/>
        </w:rPr>
        <w:br w:type="page"/>
      </w:r>
    </w:p>
    <w:p w:rsidR="00323B91" w:rsidRPr="00914D82" w:rsidRDefault="00323B91" w:rsidP="00323B91">
      <w:pPr>
        <w:pStyle w:val="Kop1"/>
        <w:rPr>
          <w:sz w:val="36"/>
        </w:rPr>
      </w:pPr>
      <w:bookmarkStart w:id="3" w:name="_Toc486244162"/>
      <w:bookmarkStart w:id="4" w:name="_Toc486246599"/>
      <w:r w:rsidRPr="00914D82">
        <w:rPr>
          <w:sz w:val="36"/>
        </w:rPr>
        <w:lastRenderedPageBreak/>
        <w:t>Inhoudsopgave</w:t>
      </w:r>
      <w:bookmarkEnd w:id="3"/>
      <w:bookmarkEnd w:id="4"/>
    </w:p>
    <w:p w:rsidR="00323B91" w:rsidRDefault="00323B91" w:rsidP="00323B91">
      <w:pPr>
        <w:jc w:val="left"/>
        <w:rPr>
          <w:rFonts w:asciiTheme="majorHAnsi" w:eastAsiaTheme="majorEastAsia" w:hAnsiTheme="majorHAnsi" w:cstheme="majorBidi"/>
          <w:b w:val="0"/>
          <w:bCs w:val="0"/>
          <w:color w:val="365F91" w:themeColor="accent1" w:themeShade="BF"/>
          <w:sz w:val="28"/>
          <w:szCs w:val="28"/>
        </w:rPr>
      </w:pPr>
    </w:p>
    <w:sdt>
      <w:sdtPr>
        <w:rPr>
          <w:rFonts w:ascii="Calibri" w:eastAsiaTheme="minorHAnsi" w:hAnsi="Calibri" w:cs="Times New Roman"/>
          <w:color w:val="auto"/>
          <w:sz w:val="24"/>
          <w:szCs w:val="24"/>
          <w:lang w:eastAsia="en-US"/>
        </w:rPr>
        <w:id w:val="-1626157319"/>
        <w:docPartObj>
          <w:docPartGallery w:val="Table of Contents"/>
          <w:docPartUnique/>
        </w:docPartObj>
      </w:sdtPr>
      <w:sdtEndPr/>
      <w:sdtContent>
        <w:p w:rsidR="001F54B1" w:rsidRDefault="001F54B1">
          <w:pPr>
            <w:pStyle w:val="Kopvaninhoudsopgave"/>
          </w:pPr>
          <w:r>
            <w:t>Inhoud</w:t>
          </w:r>
        </w:p>
        <w:p w:rsidR="001F54B1" w:rsidRDefault="001F54B1">
          <w:pPr>
            <w:pStyle w:val="Inhopg1"/>
            <w:tabs>
              <w:tab w:val="right" w:leader="dot" w:pos="9062"/>
            </w:tabs>
            <w:rPr>
              <w:rFonts w:asciiTheme="minorHAnsi" w:eastAsiaTheme="minorEastAsia" w:hAnsiTheme="minorHAnsi" w:cstheme="minorBidi"/>
              <w:b w:val="0"/>
              <w:bCs w:val="0"/>
              <w:noProof/>
              <w:sz w:val="22"/>
              <w:szCs w:val="22"/>
              <w:lang w:eastAsia="nl-NL"/>
            </w:rPr>
          </w:pPr>
          <w:r>
            <w:fldChar w:fldCharType="begin"/>
          </w:r>
          <w:r>
            <w:instrText xml:space="preserve"> TOC \o "1-3" \h \z \u </w:instrText>
          </w:r>
          <w:r>
            <w:fldChar w:fldCharType="separate"/>
          </w:r>
          <w:hyperlink w:anchor="_Toc486246600" w:history="1">
            <w:r w:rsidRPr="00E822CF">
              <w:rPr>
                <w:rStyle w:val="Hyperlink"/>
                <w:noProof/>
              </w:rPr>
              <w:t>Afkortingen</w:t>
            </w:r>
            <w:r>
              <w:rPr>
                <w:noProof/>
                <w:webHidden/>
              </w:rPr>
              <w:tab/>
            </w:r>
            <w:r>
              <w:rPr>
                <w:noProof/>
                <w:webHidden/>
              </w:rPr>
              <w:fldChar w:fldCharType="begin"/>
            </w:r>
            <w:r>
              <w:rPr>
                <w:noProof/>
                <w:webHidden/>
              </w:rPr>
              <w:instrText xml:space="preserve"> PAGEREF _Toc486246600 \h </w:instrText>
            </w:r>
            <w:r>
              <w:rPr>
                <w:noProof/>
                <w:webHidden/>
              </w:rPr>
            </w:r>
            <w:r>
              <w:rPr>
                <w:noProof/>
                <w:webHidden/>
              </w:rPr>
              <w:fldChar w:fldCharType="separate"/>
            </w:r>
            <w:r w:rsidR="00490CC7">
              <w:rPr>
                <w:noProof/>
                <w:webHidden/>
              </w:rPr>
              <w:t>1</w:t>
            </w:r>
            <w:r>
              <w:rPr>
                <w:noProof/>
                <w:webHidden/>
              </w:rPr>
              <w:fldChar w:fldCharType="end"/>
            </w:r>
          </w:hyperlink>
        </w:p>
        <w:p w:rsidR="001F54B1" w:rsidRDefault="00C7355A">
          <w:pPr>
            <w:pStyle w:val="Inhopg1"/>
            <w:tabs>
              <w:tab w:val="right" w:leader="dot" w:pos="9062"/>
            </w:tabs>
            <w:rPr>
              <w:rFonts w:asciiTheme="minorHAnsi" w:eastAsiaTheme="minorEastAsia" w:hAnsiTheme="minorHAnsi" w:cstheme="minorBidi"/>
              <w:b w:val="0"/>
              <w:bCs w:val="0"/>
              <w:noProof/>
              <w:sz w:val="22"/>
              <w:szCs w:val="22"/>
              <w:lang w:eastAsia="nl-NL"/>
            </w:rPr>
          </w:pPr>
          <w:hyperlink w:anchor="_Toc486246601" w:history="1">
            <w:r w:rsidR="001F54B1" w:rsidRPr="00E822CF">
              <w:rPr>
                <w:rStyle w:val="Hyperlink"/>
                <w:noProof/>
              </w:rPr>
              <w:t>Begrippenlijst</w:t>
            </w:r>
            <w:r w:rsidR="001F54B1">
              <w:rPr>
                <w:noProof/>
                <w:webHidden/>
              </w:rPr>
              <w:tab/>
            </w:r>
            <w:r w:rsidR="001F54B1">
              <w:rPr>
                <w:noProof/>
                <w:webHidden/>
              </w:rPr>
              <w:fldChar w:fldCharType="begin"/>
            </w:r>
            <w:r w:rsidR="001F54B1">
              <w:rPr>
                <w:noProof/>
                <w:webHidden/>
              </w:rPr>
              <w:instrText xml:space="preserve"> PAGEREF _Toc486246601 \h </w:instrText>
            </w:r>
            <w:r w:rsidR="001F54B1">
              <w:rPr>
                <w:noProof/>
                <w:webHidden/>
              </w:rPr>
            </w:r>
            <w:r w:rsidR="001F54B1">
              <w:rPr>
                <w:noProof/>
                <w:webHidden/>
              </w:rPr>
              <w:fldChar w:fldCharType="separate"/>
            </w:r>
            <w:r w:rsidR="00490CC7">
              <w:rPr>
                <w:noProof/>
                <w:webHidden/>
              </w:rPr>
              <w:t>2</w:t>
            </w:r>
            <w:r w:rsidR="001F54B1">
              <w:rPr>
                <w:noProof/>
                <w:webHidden/>
              </w:rPr>
              <w:fldChar w:fldCharType="end"/>
            </w:r>
          </w:hyperlink>
        </w:p>
        <w:p w:rsidR="001F54B1" w:rsidRDefault="00C7355A">
          <w:pPr>
            <w:pStyle w:val="Inhopg1"/>
            <w:tabs>
              <w:tab w:val="right" w:leader="dot" w:pos="9062"/>
            </w:tabs>
            <w:rPr>
              <w:rFonts w:asciiTheme="minorHAnsi" w:eastAsiaTheme="minorEastAsia" w:hAnsiTheme="minorHAnsi" w:cstheme="minorBidi"/>
              <w:b w:val="0"/>
              <w:bCs w:val="0"/>
              <w:noProof/>
              <w:sz w:val="22"/>
              <w:szCs w:val="22"/>
              <w:lang w:eastAsia="nl-NL"/>
            </w:rPr>
          </w:pPr>
          <w:hyperlink w:anchor="_Toc486246602" w:history="1">
            <w:r w:rsidR="001F54B1" w:rsidRPr="00E822CF">
              <w:rPr>
                <w:rStyle w:val="Hyperlink"/>
                <w:noProof/>
              </w:rPr>
              <w:t>Hoofdstuk 1</w:t>
            </w:r>
            <w:r w:rsidR="001F54B1">
              <w:rPr>
                <w:rStyle w:val="Hyperlink"/>
                <w:noProof/>
              </w:rPr>
              <w:t xml:space="preserve"> - Inleiding</w:t>
            </w:r>
            <w:r w:rsidR="001F54B1">
              <w:rPr>
                <w:noProof/>
                <w:webHidden/>
              </w:rPr>
              <w:tab/>
            </w:r>
            <w:r w:rsidR="001F54B1">
              <w:rPr>
                <w:noProof/>
                <w:webHidden/>
              </w:rPr>
              <w:fldChar w:fldCharType="begin"/>
            </w:r>
            <w:r w:rsidR="001F54B1">
              <w:rPr>
                <w:noProof/>
                <w:webHidden/>
              </w:rPr>
              <w:instrText xml:space="preserve"> PAGEREF _Toc486246602 \h </w:instrText>
            </w:r>
            <w:r w:rsidR="001F54B1">
              <w:rPr>
                <w:noProof/>
                <w:webHidden/>
              </w:rPr>
            </w:r>
            <w:r w:rsidR="001F54B1">
              <w:rPr>
                <w:noProof/>
                <w:webHidden/>
              </w:rPr>
              <w:fldChar w:fldCharType="separate"/>
            </w:r>
            <w:r w:rsidR="00490CC7">
              <w:rPr>
                <w:noProof/>
                <w:webHidden/>
              </w:rPr>
              <w:t>3</w:t>
            </w:r>
            <w:r w:rsidR="001F54B1">
              <w:rPr>
                <w:noProof/>
                <w:webHidden/>
              </w:rPr>
              <w:fldChar w:fldCharType="end"/>
            </w:r>
          </w:hyperlink>
        </w:p>
        <w:p w:rsidR="001F54B1" w:rsidRDefault="00C7355A">
          <w:pPr>
            <w:pStyle w:val="Inhopg2"/>
            <w:tabs>
              <w:tab w:val="right" w:leader="dot" w:pos="9062"/>
            </w:tabs>
            <w:rPr>
              <w:noProof/>
            </w:rPr>
          </w:pPr>
          <w:hyperlink w:anchor="_Toc486246603" w:history="1">
            <w:r w:rsidR="001F54B1" w:rsidRPr="00E822CF">
              <w:rPr>
                <w:rStyle w:val="Hyperlink"/>
                <w:rFonts w:cstheme="minorHAnsi"/>
                <w:noProof/>
              </w:rPr>
              <w:t>§1 Aanleiding en probleemanalyse</w:t>
            </w:r>
            <w:r w:rsidR="001F54B1">
              <w:rPr>
                <w:noProof/>
                <w:webHidden/>
              </w:rPr>
              <w:tab/>
            </w:r>
            <w:r w:rsidR="001F54B1">
              <w:rPr>
                <w:noProof/>
                <w:webHidden/>
              </w:rPr>
              <w:fldChar w:fldCharType="begin"/>
            </w:r>
            <w:r w:rsidR="001F54B1">
              <w:rPr>
                <w:noProof/>
                <w:webHidden/>
              </w:rPr>
              <w:instrText xml:space="preserve"> PAGEREF _Toc486246603 \h </w:instrText>
            </w:r>
            <w:r w:rsidR="001F54B1">
              <w:rPr>
                <w:noProof/>
                <w:webHidden/>
              </w:rPr>
            </w:r>
            <w:r w:rsidR="001F54B1">
              <w:rPr>
                <w:noProof/>
                <w:webHidden/>
              </w:rPr>
              <w:fldChar w:fldCharType="separate"/>
            </w:r>
            <w:r w:rsidR="00490CC7">
              <w:rPr>
                <w:noProof/>
                <w:webHidden/>
              </w:rPr>
              <w:t>3</w:t>
            </w:r>
            <w:r w:rsidR="001F54B1">
              <w:rPr>
                <w:noProof/>
                <w:webHidden/>
              </w:rPr>
              <w:fldChar w:fldCharType="end"/>
            </w:r>
          </w:hyperlink>
        </w:p>
        <w:p w:rsidR="001F54B1" w:rsidRDefault="00C7355A">
          <w:pPr>
            <w:pStyle w:val="Inhopg2"/>
            <w:tabs>
              <w:tab w:val="right" w:leader="dot" w:pos="9062"/>
            </w:tabs>
            <w:rPr>
              <w:noProof/>
            </w:rPr>
          </w:pPr>
          <w:hyperlink w:anchor="_Toc486246604" w:history="1">
            <w:r w:rsidR="001F54B1" w:rsidRPr="00E822CF">
              <w:rPr>
                <w:rStyle w:val="Hyperlink"/>
                <w:rFonts w:cstheme="minorHAnsi"/>
                <w:noProof/>
              </w:rPr>
              <w:t>§2.1 Doelstelling</w:t>
            </w:r>
            <w:r w:rsidR="001F54B1">
              <w:rPr>
                <w:noProof/>
                <w:webHidden/>
              </w:rPr>
              <w:tab/>
            </w:r>
            <w:r w:rsidR="001F54B1">
              <w:rPr>
                <w:noProof/>
                <w:webHidden/>
              </w:rPr>
              <w:fldChar w:fldCharType="begin"/>
            </w:r>
            <w:r w:rsidR="001F54B1">
              <w:rPr>
                <w:noProof/>
                <w:webHidden/>
              </w:rPr>
              <w:instrText xml:space="preserve"> PAGEREF _Toc486246604 \h </w:instrText>
            </w:r>
            <w:r w:rsidR="001F54B1">
              <w:rPr>
                <w:noProof/>
                <w:webHidden/>
              </w:rPr>
            </w:r>
            <w:r w:rsidR="001F54B1">
              <w:rPr>
                <w:noProof/>
                <w:webHidden/>
              </w:rPr>
              <w:fldChar w:fldCharType="separate"/>
            </w:r>
            <w:r w:rsidR="00490CC7">
              <w:rPr>
                <w:noProof/>
                <w:webHidden/>
              </w:rPr>
              <w:t>5</w:t>
            </w:r>
            <w:r w:rsidR="001F54B1">
              <w:rPr>
                <w:noProof/>
                <w:webHidden/>
              </w:rPr>
              <w:fldChar w:fldCharType="end"/>
            </w:r>
          </w:hyperlink>
        </w:p>
        <w:p w:rsidR="001F54B1" w:rsidRDefault="00C7355A">
          <w:pPr>
            <w:pStyle w:val="Inhopg2"/>
            <w:tabs>
              <w:tab w:val="right" w:leader="dot" w:pos="9062"/>
            </w:tabs>
            <w:rPr>
              <w:noProof/>
            </w:rPr>
          </w:pPr>
          <w:hyperlink w:anchor="_Toc486246605" w:history="1">
            <w:r w:rsidR="001F54B1" w:rsidRPr="00E822CF">
              <w:rPr>
                <w:rStyle w:val="Hyperlink"/>
                <w:rFonts w:cstheme="minorHAnsi"/>
                <w:noProof/>
              </w:rPr>
              <w:t>§2.2 Centrale vraag</w:t>
            </w:r>
            <w:r w:rsidR="001F54B1">
              <w:rPr>
                <w:noProof/>
                <w:webHidden/>
              </w:rPr>
              <w:tab/>
            </w:r>
            <w:r w:rsidR="001F54B1">
              <w:rPr>
                <w:noProof/>
                <w:webHidden/>
              </w:rPr>
              <w:fldChar w:fldCharType="begin"/>
            </w:r>
            <w:r w:rsidR="001F54B1">
              <w:rPr>
                <w:noProof/>
                <w:webHidden/>
              </w:rPr>
              <w:instrText xml:space="preserve"> PAGEREF _Toc486246605 \h </w:instrText>
            </w:r>
            <w:r w:rsidR="001F54B1">
              <w:rPr>
                <w:noProof/>
                <w:webHidden/>
              </w:rPr>
            </w:r>
            <w:r w:rsidR="001F54B1">
              <w:rPr>
                <w:noProof/>
                <w:webHidden/>
              </w:rPr>
              <w:fldChar w:fldCharType="separate"/>
            </w:r>
            <w:r w:rsidR="00490CC7">
              <w:rPr>
                <w:noProof/>
                <w:webHidden/>
              </w:rPr>
              <w:t>5</w:t>
            </w:r>
            <w:r w:rsidR="001F54B1">
              <w:rPr>
                <w:noProof/>
                <w:webHidden/>
              </w:rPr>
              <w:fldChar w:fldCharType="end"/>
            </w:r>
          </w:hyperlink>
        </w:p>
        <w:p w:rsidR="001F54B1" w:rsidRDefault="00C7355A">
          <w:pPr>
            <w:pStyle w:val="Inhopg2"/>
            <w:tabs>
              <w:tab w:val="right" w:leader="dot" w:pos="9062"/>
            </w:tabs>
            <w:rPr>
              <w:noProof/>
            </w:rPr>
          </w:pPr>
          <w:hyperlink w:anchor="_Toc486246606" w:history="1">
            <w:r w:rsidR="001F54B1" w:rsidRPr="00E822CF">
              <w:rPr>
                <w:rStyle w:val="Hyperlink"/>
                <w:rFonts w:cstheme="minorHAnsi"/>
                <w:noProof/>
              </w:rPr>
              <w:t>§2.3 Deelvragen</w:t>
            </w:r>
            <w:r w:rsidR="001F54B1">
              <w:rPr>
                <w:noProof/>
                <w:webHidden/>
              </w:rPr>
              <w:tab/>
            </w:r>
            <w:r w:rsidR="001F54B1">
              <w:rPr>
                <w:noProof/>
                <w:webHidden/>
              </w:rPr>
              <w:fldChar w:fldCharType="begin"/>
            </w:r>
            <w:r w:rsidR="001F54B1">
              <w:rPr>
                <w:noProof/>
                <w:webHidden/>
              </w:rPr>
              <w:instrText xml:space="preserve"> PAGEREF _Toc486246606 \h </w:instrText>
            </w:r>
            <w:r w:rsidR="001F54B1">
              <w:rPr>
                <w:noProof/>
                <w:webHidden/>
              </w:rPr>
            </w:r>
            <w:r w:rsidR="001F54B1">
              <w:rPr>
                <w:noProof/>
                <w:webHidden/>
              </w:rPr>
              <w:fldChar w:fldCharType="separate"/>
            </w:r>
            <w:r w:rsidR="00490CC7">
              <w:rPr>
                <w:noProof/>
                <w:webHidden/>
              </w:rPr>
              <w:t>5</w:t>
            </w:r>
            <w:r w:rsidR="001F54B1">
              <w:rPr>
                <w:noProof/>
                <w:webHidden/>
              </w:rPr>
              <w:fldChar w:fldCharType="end"/>
            </w:r>
          </w:hyperlink>
        </w:p>
        <w:p w:rsidR="001F54B1" w:rsidRDefault="00C7355A">
          <w:pPr>
            <w:pStyle w:val="Inhopg2"/>
            <w:tabs>
              <w:tab w:val="right" w:leader="dot" w:pos="9062"/>
            </w:tabs>
            <w:rPr>
              <w:noProof/>
            </w:rPr>
          </w:pPr>
          <w:hyperlink w:anchor="_Toc486246607" w:history="1">
            <w:r w:rsidR="001F54B1" w:rsidRPr="00E822CF">
              <w:rPr>
                <w:rStyle w:val="Hyperlink"/>
                <w:rFonts w:cstheme="minorHAnsi"/>
                <w:noProof/>
              </w:rPr>
              <w:t>§3 Operationaliseren begrippen</w:t>
            </w:r>
            <w:r w:rsidR="001F54B1">
              <w:rPr>
                <w:noProof/>
                <w:webHidden/>
              </w:rPr>
              <w:tab/>
            </w:r>
            <w:r w:rsidR="001F54B1">
              <w:rPr>
                <w:noProof/>
                <w:webHidden/>
              </w:rPr>
              <w:fldChar w:fldCharType="begin"/>
            </w:r>
            <w:r w:rsidR="001F54B1">
              <w:rPr>
                <w:noProof/>
                <w:webHidden/>
              </w:rPr>
              <w:instrText xml:space="preserve"> PAGEREF _Toc486246607 \h </w:instrText>
            </w:r>
            <w:r w:rsidR="001F54B1">
              <w:rPr>
                <w:noProof/>
                <w:webHidden/>
              </w:rPr>
            </w:r>
            <w:r w:rsidR="001F54B1">
              <w:rPr>
                <w:noProof/>
                <w:webHidden/>
              </w:rPr>
              <w:fldChar w:fldCharType="separate"/>
            </w:r>
            <w:r w:rsidR="00490CC7">
              <w:rPr>
                <w:noProof/>
                <w:webHidden/>
              </w:rPr>
              <w:t>5</w:t>
            </w:r>
            <w:r w:rsidR="001F54B1">
              <w:rPr>
                <w:noProof/>
                <w:webHidden/>
              </w:rPr>
              <w:fldChar w:fldCharType="end"/>
            </w:r>
          </w:hyperlink>
        </w:p>
        <w:p w:rsidR="001F54B1" w:rsidRDefault="00C7355A">
          <w:pPr>
            <w:pStyle w:val="Inhopg2"/>
            <w:tabs>
              <w:tab w:val="right" w:leader="dot" w:pos="9062"/>
            </w:tabs>
            <w:rPr>
              <w:noProof/>
            </w:rPr>
          </w:pPr>
          <w:hyperlink w:anchor="_Toc486246608" w:history="1">
            <w:r w:rsidR="001F54B1" w:rsidRPr="00E822CF">
              <w:rPr>
                <w:rStyle w:val="Hyperlink"/>
                <w:rFonts w:cstheme="minorHAnsi"/>
                <w:noProof/>
              </w:rPr>
              <w:t>§4 Onderzoeksmethoden</w:t>
            </w:r>
            <w:r w:rsidR="001F54B1">
              <w:rPr>
                <w:noProof/>
                <w:webHidden/>
              </w:rPr>
              <w:tab/>
            </w:r>
            <w:r w:rsidR="001F54B1">
              <w:rPr>
                <w:noProof/>
                <w:webHidden/>
              </w:rPr>
              <w:fldChar w:fldCharType="begin"/>
            </w:r>
            <w:r w:rsidR="001F54B1">
              <w:rPr>
                <w:noProof/>
                <w:webHidden/>
              </w:rPr>
              <w:instrText xml:space="preserve"> PAGEREF _Toc486246608 \h </w:instrText>
            </w:r>
            <w:r w:rsidR="001F54B1">
              <w:rPr>
                <w:noProof/>
                <w:webHidden/>
              </w:rPr>
            </w:r>
            <w:r w:rsidR="001F54B1">
              <w:rPr>
                <w:noProof/>
                <w:webHidden/>
              </w:rPr>
              <w:fldChar w:fldCharType="separate"/>
            </w:r>
            <w:r w:rsidR="00490CC7">
              <w:rPr>
                <w:noProof/>
                <w:webHidden/>
              </w:rPr>
              <w:t>5</w:t>
            </w:r>
            <w:r w:rsidR="001F54B1">
              <w:rPr>
                <w:noProof/>
                <w:webHidden/>
              </w:rPr>
              <w:fldChar w:fldCharType="end"/>
            </w:r>
          </w:hyperlink>
        </w:p>
        <w:p w:rsidR="001F54B1" w:rsidRDefault="00C7355A">
          <w:pPr>
            <w:pStyle w:val="Inhopg2"/>
            <w:tabs>
              <w:tab w:val="right" w:leader="dot" w:pos="9062"/>
            </w:tabs>
            <w:rPr>
              <w:noProof/>
            </w:rPr>
          </w:pPr>
          <w:hyperlink w:anchor="_Toc486246609" w:history="1">
            <w:r w:rsidR="001F54B1" w:rsidRPr="00E822CF">
              <w:rPr>
                <w:rStyle w:val="Hyperlink"/>
                <w:rFonts w:cstheme="minorHAnsi"/>
                <w:noProof/>
              </w:rPr>
              <w:t>§5 Leeswijzer</w:t>
            </w:r>
            <w:r w:rsidR="001F54B1">
              <w:rPr>
                <w:noProof/>
                <w:webHidden/>
              </w:rPr>
              <w:tab/>
            </w:r>
            <w:r w:rsidR="001F54B1">
              <w:rPr>
                <w:noProof/>
                <w:webHidden/>
              </w:rPr>
              <w:fldChar w:fldCharType="begin"/>
            </w:r>
            <w:r w:rsidR="001F54B1">
              <w:rPr>
                <w:noProof/>
                <w:webHidden/>
              </w:rPr>
              <w:instrText xml:space="preserve"> PAGEREF _Toc486246609 \h </w:instrText>
            </w:r>
            <w:r w:rsidR="001F54B1">
              <w:rPr>
                <w:noProof/>
                <w:webHidden/>
              </w:rPr>
            </w:r>
            <w:r w:rsidR="001F54B1">
              <w:rPr>
                <w:noProof/>
                <w:webHidden/>
              </w:rPr>
              <w:fldChar w:fldCharType="separate"/>
            </w:r>
            <w:r w:rsidR="00490CC7">
              <w:rPr>
                <w:noProof/>
                <w:webHidden/>
              </w:rPr>
              <w:t>7</w:t>
            </w:r>
            <w:r w:rsidR="001F54B1">
              <w:rPr>
                <w:noProof/>
                <w:webHidden/>
              </w:rPr>
              <w:fldChar w:fldCharType="end"/>
            </w:r>
          </w:hyperlink>
        </w:p>
        <w:p w:rsidR="001F54B1" w:rsidRDefault="00C7355A">
          <w:pPr>
            <w:pStyle w:val="Inhopg1"/>
            <w:tabs>
              <w:tab w:val="right" w:leader="dot" w:pos="9062"/>
            </w:tabs>
            <w:rPr>
              <w:rFonts w:asciiTheme="minorHAnsi" w:eastAsiaTheme="minorEastAsia" w:hAnsiTheme="minorHAnsi" w:cstheme="minorBidi"/>
              <w:b w:val="0"/>
              <w:bCs w:val="0"/>
              <w:noProof/>
              <w:sz w:val="22"/>
              <w:szCs w:val="22"/>
              <w:lang w:eastAsia="nl-NL"/>
            </w:rPr>
          </w:pPr>
          <w:hyperlink w:anchor="_Toc486246610" w:history="1">
            <w:r w:rsidR="001F54B1" w:rsidRPr="00E822CF">
              <w:rPr>
                <w:rStyle w:val="Hyperlink"/>
                <w:noProof/>
              </w:rPr>
              <w:t>Hoofdstuk 2</w:t>
            </w:r>
            <w:r w:rsidR="002C2F66">
              <w:rPr>
                <w:rStyle w:val="Hyperlink"/>
                <w:noProof/>
              </w:rPr>
              <w:t xml:space="preserve"> - </w:t>
            </w:r>
            <w:r w:rsidR="002C2F66" w:rsidRPr="002C2F66">
              <w:rPr>
                <w:rStyle w:val="Hyperlink"/>
                <w:noProof/>
              </w:rPr>
              <w:t>De wettelijke regels omtrent het verpanden van vorderingen</w:t>
            </w:r>
            <w:r w:rsidR="001F54B1">
              <w:rPr>
                <w:noProof/>
                <w:webHidden/>
              </w:rPr>
              <w:tab/>
            </w:r>
            <w:r w:rsidR="001F54B1">
              <w:rPr>
                <w:noProof/>
                <w:webHidden/>
              </w:rPr>
              <w:fldChar w:fldCharType="begin"/>
            </w:r>
            <w:r w:rsidR="001F54B1">
              <w:rPr>
                <w:noProof/>
                <w:webHidden/>
              </w:rPr>
              <w:instrText xml:space="preserve"> PAGEREF _Toc486246610 \h </w:instrText>
            </w:r>
            <w:r w:rsidR="001F54B1">
              <w:rPr>
                <w:noProof/>
                <w:webHidden/>
              </w:rPr>
            </w:r>
            <w:r w:rsidR="001F54B1">
              <w:rPr>
                <w:noProof/>
                <w:webHidden/>
              </w:rPr>
              <w:fldChar w:fldCharType="separate"/>
            </w:r>
            <w:r w:rsidR="00490CC7">
              <w:rPr>
                <w:noProof/>
                <w:webHidden/>
              </w:rPr>
              <w:t>8</w:t>
            </w:r>
            <w:r w:rsidR="001F54B1">
              <w:rPr>
                <w:noProof/>
                <w:webHidden/>
              </w:rPr>
              <w:fldChar w:fldCharType="end"/>
            </w:r>
          </w:hyperlink>
        </w:p>
        <w:p w:rsidR="001F54B1" w:rsidRDefault="00C7355A">
          <w:pPr>
            <w:pStyle w:val="Inhopg2"/>
            <w:tabs>
              <w:tab w:val="right" w:leader="dot" w:pos="9062"/>
            </w:tabs>
            <w:rPr>
              <w:noProof/>
            </w:rPr>
          </w:pPr>
          <w:hyperlink w:anchor="_Toc486246611" w:history="1">
            <w:r w:rsidR="001F54B1" w:rsidRPr="00E822CF">
              <w:rPr>
                <w:rStyle w:val="Hyperlink"/>
                <w:rFonts w:cstheme="minorHAnsi"/>
                <w:noProof/>
              </w:rPr>
              <w:t>§1 Het pandrecht</w:t>
            </w:r>
            <w:r w:rsidR="001F54B1">
              <w:rPr>
                <w:noProof/>
                <w:webHidden/>
              </w:rPr>
              <w:tab/>
            </w:r>
            <w:r w:rsidR="001F54B1">
              <w:rPr>
                <w:noProof/>
                <w:webHidden/>
              </w:rPr>
              <w:fldChar w:fldCharType="begin"/>
            </w:r>
            <w:r w:rsidR="001F54B1">
              <w:rPr>
                <w:noProof/>
                <w:webHidden/>
              </w:rPr>
              <w:instrText xml:space="preserve"> PAGEREF _Toc486246611 \h </w:instrText>
            </w:r>
            <w:r w:rsidR="001F54B1">
              <w:rPr>
                <w:noProof/>
                <w:webHidden/>
              </w:rPr>
            </w:r>
            <w:r w:rsidR="001F54B1">
              <w:rPr>
                <w:noProof/>
                <w:webHidden/>
              </w:rPr>
              <w:fldChar w:fldCharType="separate"/>
            </w:r>
            <w:r w:rsidR="00490CC7">
              <w:rPr>
                <w:noProof/>
                <w:webHidden/>
              </w:rPr>
              <w:t>8</w:t>
            </w:r>
            <w:r w:rsidR="001F54B1">
              <w:rPr>
                <w:noProof/>
                <w:webHidden/>
              </w:rPr>
              <w:fldChar w:fldCharType="end"/>
            </w:r>
          </w:hyperlink>
        </w:p>
        <w:p w:rsidR="001F54B1" w:rsidRDefault="00C7355A">
          <w:pPr>
            <w:pStyle w:val="Inhopg2"/>
            <w:tabs>
              <w:tab w:val="right" w:leader="dot" w:pos="9062"/>
            </w:tabs>
            <w:rPr>
              <w:noProof/>
            </w:rPr>
          </w:pPr>
          <w:hyperlink w:anchor="_Toc486246612" w:history="1">
            <w:r w:rsidR="001F54B1" w:rsidRPr="00E822CF">
              <w:rPr>
                <w:rStyle w:val="Hyperlink"/>
                <w:rFonts w:cstheme="minorHAnsi"/>
                <w:noProof/>
              </w:rPr>
              <w:t>§2 Stil pandrecht</w:t>
            </w:r>
            <w:r w:rsidR="001F54B1">
              <w:rPr>
                <w:noProof/>
                <w:webHidden/>
              </w:rPr>
              <w:tab/>
            </w:r>
            <w:r w:rsidR="001F54B1">
              <w:rPr>
                <w:noProof/>
                <w:webHidden/>
              </w:rPr>
              <w:fldChar w:fldCharType="begin"/>
            </w:r>
            <w:r w:rsidR="001F54B1">
              <w:rPr>
                <w:noProof/>
                <w:webHidden/>
              </w:rPr>
              <w:instrText xml:space="preserve"> PAGEREF _Toc486246612 \h </w:instrText>
            </w:r>
            <w:r w:rsidR="001F54B1">
              <w:rPr>
                <w:noProof/>
                <w:webHidden/>
              </w:rPr>
            </w:r>
            <w:r w:rsidR="001F54B1">
              <w:rPr>
                <w:noProof/>
                <w:webHidden/>
              </w:rPr>
              <w:fldChar w:fldCharType="separate"/>
            </w:r>
            <w:r w:rsidR="00490CC7">
              <w:rPr>
                <w:noProof/>
                <w:webHidden/>
              </w:rPr>
              <w:t>10</w:t>
            </w:r>
            <w:r w:rsidR="001F54B1">
              <w:rPr>
                <w:noProof/>
                <w:webHidden/>
              </w:rPr>
              <w:fldChar w:fldCharType="end"/>
            </w:r>
          </w:hyperlink>
        </w:p>
        <w:p w:rsidR="001F54B1" w:rsidRDefault="00C7355A">
          <w:pPr>
            <w:pStyle w:val="Inhopg2"/>
            <w:tabs>
              <w:tab w:val="right" w:leader="dot" w:pos="9062"/>
            </w:tabs>
            <w:rPr>
              <w:noProof/>
            </w:rPr>
          </w:pPr>
          <w:hyperlink w:anchor="_Toc486246613" w:history="1">
            <w:r w:rsidR="001F54B1" w:rsidRPr="00E822CF">
              <w:rPr>
                <w:rStyle w:val="Hyperlink"/>
                <w:rFonts w:cstheme="minorHAnsi"/>
                <w:noProof/>
              </w:rPr>
              <w:t>§3 Pandrecht op toekomstige vorderingen</w:t>
            </w:r>
            <w:r w:rsidR="001F54B1">
              <w:rPr>
                <w:noProof/>
                <w:webHidden/>
              </w:rPr>
              <w:tab/>
            </w:r>
            <w:r w:rsidR="001F54B1">
              <w:rPr>
                <w:noProof/>
                <w:webHidden/>
              </w:rPr>
              <w:fldChar w:fldCharType="begin"/>
            </w:r>
            <w:r w:rsidR="001F54B1">
              <w:rPr>
                <w:noProof/>
                <w:webHidden/>
              </w:rPr>
              <w:instrText xml:space="preserve"> PAGEREF _Toc486246613 \h </w:instrText>
            </w:r>
            <w:r w:rsidR="001F54B1">
              <w:rPr>
                <w:noProof/>
                <w:webHidden/>
              </w:rPr>
            </w:r>
            <w:r w:rsidR="001F54B1">
              <w:rPr>
                <w:noProof/>
                <w:webHidden/>
              </w:rPr>
              <w:fldChar w:fldCharType="separate"/>
            </w:r>
            <w:r w:rsidR="00490CC7">
              <w:rPr>
                <w:noProof/>
                <w:webHidden/>
              </w:rPr>
              <w:t>11</w:t>
            </w:r>
            <w:r w:rsidR="001F54B1">
              <w:rPr>
                <w:noProof/>
                <w:webHidden/>
              </w:rPr>
              <w:fldChar w:fldCharType="end"/>
            </w:r>
          </w:hyperlink>
        </w:p>
        <w:p w:rsidR="001F54B1" w:rsidRDefault="00C7355A">
          <w:pPr>
            <w:pStyle w:val="Inhopg2"/>
            <w:tabs>
              <w:tab w:val="right" w:leader="dot" w:pos="9062"/>
            </w:tabs>
            <w:rPr>
              <w:noProof/>
            </w:rPr>
          </w:pPr>
          <w:hyperlink w:anchor="_Toc486246614" w:history="1">
            <w:r w:rsidR="001F54B1" w:rsidRPr="00E822CF">
              <w:rPr>
                <w:rStyle w:val="Hyperlink"/>
                <w:rFonts w:cstheme="minorHAnsi"/>
                <w:noProof/>
              </w:rPr>
              <w:t>§4 Concluderend</w:t>
            </w:r>
            <w:r w:rsidR="001F54B1">
              <w:rPr>
                <w:noProof/>
                <w:webHidden/>
              </w:rPr>
              <w:tab/>
            </w:r>
            <w:r w:rsidR="001F54B1">
              <w:rPr>
                <w:noProof/>
                <w:webHidden/>
              </w:rPr>
              <w:fldChar w:fldCharType="begin"/>
            </w:r>
            <w:r w:rsidR="001F54B1">
              <w:rPr>
                <w:noProof/>
                <w:webHidden/>
              </w:rPr>
              <w:instrText xml:space="preserve"> PAGEREF _Toc486246614 \h </w:instrText>
            </w:r>
            <w:r w:rsidR="001F54B1">
              <w:rPr>
                <w:noProof/>
                <w:webHidden/>
              </w:rPr>
            </w:r>
            <w:r w:rsidR="001F54B1">
              <w:rPr>
                <w:noProof/>
                <w:webHidden/>
              </w:rPr>
              <w:fldChar w:fldCharType="separate"/>
            </w:r>
            <w:r w:rsidR="00490CC7">
              <w:rPr>
                <w:noProof/>
                <w:webHidden/>
              </w:rPr>
              <w:t>13</w:t>
            </w:r>
            <w:r w:rsidR="001F54B1">
              <w:rPr>
                <w:noProof/>
                <w:webHidden/>
              </w:rPr>
              <w:fldChar w:fldCharType="end"/>
            </w:r>
          </w:hyperlink>
        </w:p>
        <w:p w:rsidR="001F54B1" w:rsidRDefault="00C7355A">
          <w:pPr>
            <w:pStyle w:val="Inhopg1"/>
            <w:tabs>
              <w:tab w:val="right" w:leader="dot" w:pos="9062"/>
            </w:tabs>
            <w:rPr>
              <w:rFonts w:asciiTheme="minorHAnsi" w:eastAsiaTheme="minorEastAsia" w:hAnsiTheme="minorHAnsi" w:cstheme="minorBidi"/>
              <w:b w:val="0"/>
              <w:bCs w:val="0"/>
              <w:noProof/>
              <w:sz w:val="22"/>
              <w:szCs w:val="22"/>
              <w:lang w:eastAsia="nl-NL"/>
            </w:rPr>
          </w:pPr>
          <w:hyperlink w:anchor="_Toc486246615" w:history="1">
            <w:r w:rsidR="001F54B1" w:rsidRPr="00E822CF">
              <w:rPr>
                <w:rStyle w:val="Hyperlink"/>
                <w:noProof/>
              </w:rPr>
              <w:t>Hoofdstuk 3</w:t>
            </w:r>
            <w:r w:rsidR="002C2F66">
              <w:rPr>
                <w:rStyle w:val="Hyperlink"/>
                <w:noProof/>
              </w:rPr>
              <w:t xml:space="preserve"> - </w:t>
            </w:r>
            <w:r w:rsidR="002C2F66" w:rsidRPr="002C2F66">
              <w:rPr>
                <w:rStyle w:val="Hyperlink"/>
                <w:noProof/>
              </w:rPr>
              <w:t>Het verpanden van pinbetalingen</w:t>
            </w:r>
            <w:r w:rsidR="001F54B1">
              <w:rPr>
                <w:noProof/>
                <w:webHidden/>
              </w:rPr>
              <w:tab/>
            </w:r>
            <w:r w:rsidR="001F54B1">
              <w:rPr>
                <w:noProof/>
                <w:webHidden/>
              </w:rPr>
              <w:fldChar w:fldCharType="begin"/>
            </w:r>
            <w:r w:rsidR="001F54B1">
              <w:rPr>
                <w:noProof/>
                <w:webHidden/>
              </w:rPr>
              <w:instrText xml:space="preserve"> PAGEREF _Toc486246615 \h </w:instrText>
            </w:r>
            <w:r w:rsidR="001F54B1">
              <w:rPr>
                <w:noProof/>
                <w:webHidden/>
              </w:rPr>
            </w:r>
            <w:r w:rsidR="001F54B1">
              <w:rPr>
                <w:noProof/>
                <w:webHidden/>
              </w:rPr>
              <w:fldChar w:fldCharType="separate"/>
            </w:r>
            <w:r w:rsidR="00490CC7">
              <w:rPr>
                <w:noProof/>
                <w:webHidden/>
              </w:rPr>
              <w:t>14</w:t>
            </w:r>
            <w:r w:rsidR="001F54B1">
              <w:rPr>
                <w:noProof/>
                <w:webHidden/>
              </w:rPr>
              <w:fldChar w:fldCharType="end"/>
            </w:r>
          </w:hyperlink>
        </w:p>
        <w:p w:rsidR="001F54B1" w:rsidRDefault="00C7355A">
          <w:pPr>
            <w:pStyle w:val="Inhopg2"/>
            <w:tabs>
              <w:tab w:val="right" w:leader="dot" w:pos="9062"/>
            </w:tabs>
            <w:rPr>
              <w:noProof/>
            </w:rPr>
          </w:pPr>
          <w:hyperlink w:anchor="_Toc486246616" w:history="1">
            <w:r w:rsidR="001F54B1" w:rsidRPr="00E822CF">
              <w:rPr>
                <w:rStyle w:val="Hyperlink"/>
                <w:rFonts w:cstheme="minorHAnsi"/>
                <w:noProof/>
              </w:rPr>
              <w:t>§1 Pinbetalingen verpanden</w:t>
            </w:r>
            <w:r w:rsidR="001F54B1">
              <w:rPr>
                <w:noProof/>
                <w:webHidden/>
              </w:rPr>
              <w:tab/>
            </w:r>
            <w:r w:rsidR="001F54B1">
              <w:rPr>
                <w:noProof/>
                <w:webHidden/>
              </w:rPr>
              <w:fldChar w:fldCharType="begin"/>
            </w:r>
            <w:r w:rsidR="001F54B1">
              <w:rPr>
                <w:noProof/>
                <w:webHidden/>
              </w:rPr>
              <w:instrText xml:space="preserve"> PAGEREF _Toc486246616 \h </w:instrText>
            </w:r>
            <w:r w:rsidR="001F54B1">
              <w:rPr>
                <w:noProof/>
                <w:webHidden/>
              </w:rPr>
            </w:r>
            <w:r w:rsidR="001F54B1">
              <w:rPr>
                <w:noProof/>
                <w:webHidden/>
              </w:rPr>
              <w:fldChar w:fldCharType="separate"/>
            </w:r>
            <w:r w:rsidR="00490CC7">
              <w:rPr>
                <w:noProof/>
                <w:webHidden/>
              </w:rPr>
              <w:t>14</w:t>
            </w:r>
            <w:r w:rsidR="001F54B1">
              <w:rPr>
                <w:noProof/>
                <w:webHidden/>
              </w:rPr>
              <w:fldChar w:fldCharType="end"/>
            </w:r>
          </w:hyperlink>
        </w:p>
        <w:p w:rsidR="001F54B1" w:rsidRDefault="00C7355A">
          <w:pPr>
            <w:pStyle w:val="Inhopg2"/>
            <w:tabs>
              <w:tab w:val="right" w:leader="dot" w:pos="9062"/>
            </w:tabs>
            <w:rPr>
              <w:noProof/>
            </w:rPr>
          </w:pPr>
          <w:hyperlink w:anchor="_Toc486246617" w:history="1">
            <w:r w:rsidR="001F54B1" w:rsidRPr="00E822CF">
              <w:rPr>
                <w:rStyle w:val="Hyperlink"/>
                <w:rFonts w:cstheme="minorHAnsi"/>
                <w:noProof/>
              </w:rPr>
              <w:t>§2 Verzamelpandakte</w:t>
            </w:r>
            <w:r w:rsidR="001F54B1">
              <w:rPr>
                <w:noProof/>
                <w:webHidden/>
              </w:rPr>
              <w:tab/>
            </w:r>
            <w:r w:rsidR="001F54B1">
              <w:rPr>
                <w:noProof/>
                <w:webHidden/>
              </w:rPr>
              <w:fldChar w:fldCharType="begin"/>
            </w:r>
            <w:r w:rsidR="001F54B1">
              <w:rPr>
                <w:noProof/>
                <w:webHidden/>
              </w:rPr>
              <w:instrText xml:space="preserve"> PAGEREF _Toc486246617 \h </w:instrText>
            </w:r>
            <w:r w:rsidR="001F54B1">
              <w:rPr>
                <w:noProof/>
                <w:webHidden/>
              </w:rPr>
            </w:r>
            <w:r w:rsidR="001F54B1">
              <w:rPr>
                <w:noProof/>
                <w:webHidden/>
              </w:rPr>
              <w:fldChar w:fldCharType="separate"/>
            </w:r>
            <w:r w:rsidR="00490CC7">
              <w:rPr>
                <w:noProof/>
                <w:webHidden/>
              </w:rPr>
              <w:t>16</w:t>
            </w:r>
            <w:r w:rsidR="001F54B1">
              <w:rPr>
                <w:noProof/>
                <w:webHidden/>
              </w:rPr>
              <w:fldChar w:fldCharType="end"/>
            </w:r>
          </w:hyperlink>
        </w:p>
        <w:p w:rsidR="001F54B1" w:rsidRDefault="00C7355A">
          <w:pPr>
            <w:pStyle w:val="Inhopg2"/>
            <w:tabs>
              <w:tab w:val="right" w:leader="dot" w:pos="9062"/>
            </w:tabs>
            <w:rPr>
              <w:noProof/>
            </w:rPr>
          </w:pPr>
          <w:hyperlink w:anchor="_Toc486246618" w:history="1">
            <w:r w:rsidR="001F54B1" w:rsidRPr="00E822CF">
              <w:rPr>
                <w:rStyle w:val="Hyperlink"/>
                <w:rFonts w:cstheme="minorHAnsi"/>
                <w:noProof/>
              </w:rPr>
              <w:t>§3 Concluderend</w:t>
            </w:r>
            <w:r w:rsidR="001F54B1">
              <w:rPr>
                <w:noProof/>
                <w:webHidden/>
              </w:rPr>
              <w:tab/>
            </w:r>
            <w:r w:rsidR="001F54B1">
              <w:rPr>
                <w:noProof/>
                <w:webHidden/>
              </w:rPr>
              <w:fldChar w:fldCharType="begin"/>
            </w:r>
            <w:r w:rsidR="001F54B1">
              <w:rPr>
                <w:noProof/>
                <w:webHidden/>
              </w:rPr>
              <w:instrText xml:space="preserve"> PAGEREF _Toc486246618 \h </w:instrText>
            </w:r>
            <w:r w:rsidR="001F54B1">
              <w:rPr>
                <w:noProof/>
                <w:webHidden/>
              </w:rPr>
            </w:r>
            <w:r w:rsidR="001F54B1">
              <w:rPr>
                <w:noProof/>
                <w:webHidden/>
              </w:rPr>
              <w:fldChar w:fldCharType="separate"/>
            </w:r>
            <w:r w:rsidR="00490CC7">
              <w:rPr>
                <w:noProof/>
                <w:webHidden/>
              </w:rPr>
              <w:t>17</w:t>
            </w:r>
            <w:r w:rsidR="001F54B1">
              <w:rPr>
                <w:noProof/>
                <w:webHidden/>
              </w:rPr>
              <w:fldChar w:fldCharType="end"/>
            </w:r>
          </w:hyperlink>
        </w:p>
        <w:p w:rsidR="001F54B1" w:rsidRDefault="00C7355A">
          <w:pPr>
            <w:pStyle w:val="Inhopg1"/>
            <w:tabs>
              <w:tab w:val="right" w:leader="dot" w:pos="9062"/>
            </w:tabs>
            <w:rPr>
              <w:rFonts w:asciiTheme="minorHAnsi" w:eastAsiaTheme="minorEastAsia" w:hAnsiTheme="minorHAnsi" w:cstheme="minorBidi"/>
              <w:b w:val="0"/>
              <w:bCs w:val="0"/>
              <w:noProof/>
              <w:sz w:val="22"/>
              <w:szCs w:val="22"/>
              <w:lang w:eastAsia="nl-NL"/>
            </w:rPr>
          </w:pPr>
          <w:hyperlink w:anchor="_Toc486246619" w:history="1">
            <w:r w:rsidR="001F54B1" w:rsidRPr="00E822CF">
              <w:rPr>
                <w:rStyle w:val="Hyperlink"/>
                <w:noProof/>
              </w:rPr>
              <w:t>Hoofdstuk 4</w:t>
            </w:r>
            <w:r w:rsidR="001F54B1">
              <w:rPr>
                <w:rStyle w:val="Hyperlink"/>
                <w:noProof/>
              </w:rPr>
              <w:t xml:space="preserve"> - </w:t>
            </w:r>
            <w:r w:rsidR="001F54B1" w:rsidRPr="001F54B1">
              <w:rPr>
                <w:rStyle w:val="Hyperlink"/>
                <w:noProof/>
              </w:rPr>
              <w:t>De wettelijke regels omtrent verrekening</w:t>
            </w:r>
            <w:r w:rsidR="001F54B1">
              <w:rPr>
                <w:noProof/>
                <w:webHidden/>
              </w:rPr>
              <w:tab/>
            </w:r>
            <w:r w:rsidR="001F54B1">
              <w:rPr>
                <w:noProof/>
                <w:webHidden/>
              </w:rPr>
              <w:fldChar w:fldCharType="begin"/>
            </w:r>
            <w:r w:rsidR="001F54B1">
              <w:rPr>
                <w:noProof/>
                <w:webHidden/>
              </w:rPr>
              <w:instrText xml:space="preserve"> PAGEREF _Toc486246619 \h </w:instrText>
            </w:r>
            <w:r w:rsidR="001F54B1">
              <w:rPr>
                <w:noProof/>
                <w:webHidden/>
              </w:rPr>
            </w:r>
            <w:r w:rsidR="001F54B1">
              <w:rPr>
                <w:noProof/>
                <w:webHidden/>
              </w:rPr>
              <w:fldChar w:fldCharType="separate"/>
            </w:r>
            <w:r w:rsidR="00490CC7">
              <w:rPr>
                <w:noProof/>
                <w:webHidden/>
              </w:rPr>
              <w:t>18</w:t>
            </w:r>
            <w:r w:rsidR="001F54B1">
              <w:rPr>
                <w:noProof/>
                <w:webHidden/>
              </w:rPr>
              <w:fldChar w:fldCharType="end"/>
            </w:r>
          </w:hyperlink>
        </w:p>
        <w:p w:rsidR="001F54B1" w:rsidRDefault="00C7355A">
          <w:pPr>
            <w:pStyle w:val="Inhopg2"/>
            <w:tabs>
              <w:tab w:val="right" w:leader="dot" w:pos="9062"/>
            </w:tabs>
            <w:rPr>
              <w:noProof/>
            </w:rPr>
          </w:pPr>
          <w:hyperlink w:anchor="_Toc486246620" w:history="1">
            <w:r w:rsidR="001F54B1" w:rsidRPr="00E822CF">
              <w:rPr>
                <w:rStyle w:val="Hyperlink"/>
                <w:rFonts w:cstheme="minorHAnsi"/>
                <w:noProof/>
              </w:rPr>
              <w:t>§1 Verrekening</w:t>
            </w:r>
            <w:r w:rsidR="001F54B1">
              <w:rPr>
                <w:noProof/>
                <w:webHidden/>
              </w:rPr>
              <w:tab/>
            </w:r>
            <w:r w:rsidR="001F54B1">
              <w:rPr>
                <w:noProof/>
                <w:webHidden/>
              </w:rPr>
              <w:fldChar w:fldCharType="begin"/>
            </w:r>
            <w:r w:rsidR="001F54B1">
              <w:rPr>
                <w:noProof/>
                <w:webHidden/>
              </w:rPr>
              <w:instrText xml:space="preserve"> PAGEREF _Toc486246620 \h </w:instrText>
            </w:r>
            <w:r w:rsidR="001F54B1">
              <w:rPr>
                <w:noProof/>
                <w:webHidden/>
              </w:rPr>
            </w:r>
            <w:r w:rsidR="001F54B1">
              <w:rPr>
                <w:noProof/>
                <w:webHidden/>
              </w:rPr>
              <w:fldChar w:fldCharType="separate"/>
            </w:r>
            <w:r w:rsidR="00490CC7">
              <w:rPr>
                <w:noProof/>
                <w:webHidden/>
              </w:rPr>
              <w:t>18</w:t>
            </w:r>
            <w:r w:rsidR="001F54B1">
              <w:rPr>
                <w:noProof/>
                <w:webHidden/>
              </w:rPr>
              <w:fldChar w:fldCharType="end"/>
            </w:r>
          </w:hyperlink>
        </w:p>
        <w:p w:rsidR="001F54B1" w:rsidRDefault="00C7355A">
          <w:pPr>
            <w:pStyle w:val="Inhopg2"/>
            <w:tabs>
              <w:tab w:val="right" w:leader="dot" w:pos="9062"/>
            </w:tabs>
            <w:rPr>
              <w:noProof/>
            </w:rPr>
          </w:pPr>
          <w:hyperlink w:anchor="_Toc486246621" w:history="1">
            <w:r w:rsidR="001F54B1" w:rsidRPr="00E822CF">
              <w:rPr>
                <w:rStyle w:val="Hyperlink"/>
                <w:rFonts w:cstheme="minorHAnsi"/>
                <w:noProof/>
              </w:rPr>
              <w:t>§2 Voorwaarden voor verrekening</w:t>
            </w:r>
            <w:r w:rsidR="001F54B1">
              <w:rPr>
                <w:noProof/>
                <w:webHidden/>
              </w:rPr>
              <w:tab/>
            </w:r>
            <w:r w:rsidR="001F54B1">
              <w:rPr>
                <w:noProof/>
                <w:webHidden/>
              </w:rPr>
              <w:fldChar w:fldCharType="begin"/>
            </w:r>
            <w:r w:rsidR="001F54B1">
              <w:rPr>
                <w:noProof/>
                <w:webHidden/>
              </w:rPr>
              <w:instrText xml:space="preserve"> PAGEREF _Toc486246621 \h </w:instrText>
            </w:r>
            <w:r w:rsidR="001F54B1">
              <w:rPr>
                <w:noProof/>
                <w:webHidden/>
              </w:rPr>
            </w:r>
            <w:r w:rsidR="001F54B1">
              <w:rPr>
                <w:noProof/>
                <w:webHidden/>
              </w:rPr>
              <w:fldChar w:fldCharType="separate"/>
            </w:r>
            <w:r w:rsidR="00490CC7">
              <w:rPr>
                <w:noProof/>
                <w:webHidden/>
              </w:rPr>
              <w:t>19</w:t>
            </w:r>
            <w:r w:rsidR="001F54B1">
              <w:rPr>
                <w:noProof/>
                <w:webHidden/>
              </w:rPr>
              <w:fldChar w:fldCharType="end"/>
            </w:r>
          </w:hyperlink>
        </w:p>
        <w:p w:rsidR="001F54B1" w:rsidRDefault="00C7355A">
          <w:pPr>
            <w:pStyle w:val="Inhopg2"/>
            <w:tabs>
              <w:tab w:val="right" w:leader="dot" w:pos="9062"/>
            </w:tabs>
            <w:rPr>
              <w:noProof/>
            </w:rPr>
          </w:pPr>
          <w:hyperlink w:anchor="_Toc486246622" w:history="1">
            <w:r w:rsidR="001F54B1" w:rsidRPr="00E822CF">
              <w:rPr>
                <w:rStyle w:val="Hyperlink"/>
                <w:rFonts w:cstheme="minorHAnsi"/>
                <w:noProof/>
              </w:rPr>
              <w:t>§3 Rekening courant</w:t>
            </w:r>
            <w:r w:rsidR="001F54B1">
              <w:rPr>
                <w:noProof/>
                <w:webHidden/>
              </w:rPr>
              <w:tab/>
            </w:r>
            <w:r w:rsidR="001F54B1">
              <w:rPr>
                <w:noProof/>
                <w:webHidden/>
              </w:rPr>
              <w:fldChar w:fldCharType="begin"/>
            </w:r>
            <w:r w:rsidR="001F54B1">
              <w:rPr>
                <w:noProof/>
                <w:webHidden/>
              </w:rPr>
              <w:instrText xml:space="preserve"> PAGEREF _Toc486246622 \h </w:instrText>
            </w:r>
            <w:r w:rsidR="001F54B1">
              <w:rPr>
                <w:noProof/>
                <w:webHidden/>
              </w:rPr>
            </w:r>
            <w:r w:rsidR="001F54B1">
              <w:rPr>
                <w:noProof/>
                <w:webHidden/>
              </w:rPr>
              <w:fldChar w:fldCharType="separate"/>
            </w:r>
            <w:r w:rsidR="00490CC7">
              <w:rPr>
                <w:noProof/>
                <w:webHidden/>
              </w:rPr>
              <w:t>19</w:t>
            </w:r>
            <w:r w:rsidR="001F54B1">
              <w:rPr>
                <w:noProof/>
                <w:webHidden/>
              </w:rPr>
              <w:fldChar w:fldCharType="end"/>
            </w:r>
          </w:hyperlink>
        </w:p>
        <w:p w:rsidR="001F54B1" w:rsidRDefault="00C7355A">
          <w:pPr>
            <w:pStyle w:val="Inhopg2"/>
            <w:tabs>
              <w:tab w:val="right" w:leader="dot" w:pos="9062"/>
            </w:tabs>
            <w:rPr>
              <w:noProof/>
            </w:rPr>
          </w:pPr>
          <w:hyperlink w:anchor="_Toc486246623" w:history="1">
            <w:r w:rsidR="001F54B1" w:rsidRPr="00E822CF">
              <w:rPr>
                <w:rStyle w:val="Hyperlink"/>
                <w:rFonts w:cstheme="minorHAnsi"/>
                <w:noProof/>
              </w:rPr>
              <w:t>§4 Concluderend</w:t>
            </w:r>
            <w:r w:rsidR="001F54B1">
              <w:rPr>
                <w:noProof/>
                <w:webHidden/>
              </w:rPr>
              <w:tab/>
            </w:r>
            <w:r w:rsidR="001F54B1">
              <w:rPr>
                <w:noProof/>
                <w:webHidden/>
              </w:rPr>
              <w:fldChar w:fldCharType="begin"/>
            </w:r>
            <w:r w:rsidR="001F54B1">
              <w:rPr>
                <w:noProof/>
                <w:webHidden/>
              </w:rPr>
              <w:instrText xml:space="preserve"> PAGEREF _Toc486246623 \h </w:instrText>
            </w:r>
            <w:r w:rsidR="001F54B1">
              <w:rPr>
                <w:noProof/>
                <w:webHidden/>
              </w:rPr>
            </w:r>
            <w:r w:rsidR="001F54B1">
              <w:rPr>
                <w:noProof/>
                <w:webHidden/>
              </w:rPr>
              <w:fldChar w:fldCharType="separate"/>
            </w:r>
            <w:r w:rsidR="00490CC7">
              <w:rPr>
                <w:noProof/>
                <w:webHidden/>
              </w:rPr>
              <w:t>20</w:t>
            </w:r>
            <w:r w:rsidR="001F54B1">
              <w:rPr>
                <w:noProof/>
                <w:webHidden/>
              </w:rPr>
              <w:fldChar w:fldCharType="end"/>
            </w:r>
          </w:hyperlink>
        </w:p>
        <w:p w:rsidR="001F54B1" w:rsidRDefault="00C7355A">
          <w:pPr>
            <w:pStyle w:val="Inhopg1"/>
            <w:tabs>
              <w:tab w:val="right" w:leader="dot" w:pos="9062"/>
            </w:tabs>
            <w:rPr>
              <w:rFonts w:asciiTheme="minorHAnsi" w:eastAsiaTheme="minorEastAsia" w:hAnsiTheme="minorHAnsi" w:cstheme="minorBidi"/>
              <w:b w:val="0"/>
              <w:bCs w:val="0"/>
              <w:noProof/>
              <w:sz w:val="22"/>
              <w:szCs w:val="22"/>
              <w:lang w:eastAsia="nl-NL"/>
            </w:rPr>
          </w:pPr>
          <w:hyperlink w:anchor="_Toc486246624" w:history="1">
            <w:r w:rsidR="001F54B1" w:rsidRPr="00E822CF">
              <w:rPr>
                <w:rStyle w:val="Hyperlink"/>
                <w:noProof/>
              </w:rPr>
              <w:t>Hoofdstuk 5</w:t>
            </w:r>
            <w:r w:rsidR="002C2F66">
              <w:rPr>
                <w:rStyle w:val="Hyperlink"/>
                <w:noProof/>
              </w:rPr>
              <w:t xml:space="preserve"> - </w:t>
            </w:r>
            <w:r w:rsidR="002C2F66" w:rsidRPr="002C2F66">
              <w:rPr>
                <w:rStyle w:val="Hyperlink"/>
                <w:noProof/>
              </w:rPr>
              <w:t>De wettelijke regels omtrent verrekenen in het zicht van een faillissement</w:t>
            </w:r>
            <w:r w:rsidR="002C2F66">
              <w:rPr>
                <w:rStyle w:val="Hyperlink"/>
                <w:noProof/>
              </w:rPr>
              <w:t>.</w:t>
            </w:r>
            <w:r w:rsidR="001F54B1">
              <w:rPr>
                <w:noProof/>
                <w:webHidden/>
              </w:rPr>
              <w:fldChar w:fldCharType="begin"/>
            </w:r>
            <w:r w:rsidR="001F54B1">
              <w:rPr>
                <w:noProof/>
                <w:webHidden/>
              </w:rPr>
              <w:instrText xml:space="preserve"> PAGEREF _Toc486246624 \h </w:instrText>
            </w:r>
            <w:r w:rsidR="001F54B1">
              <w:rPr>
                <w:noProof/>
                <w:webHidden/>
              </w:rPr>
            </w:r>
            <w:r w:rsidR="001F54B1">
              <w:rPr>
                <w:noProof/>
                <w:webHidden/>
              </w:rPr>
              <w:fldChar w:fldCharType="separate"/>
            </w:r>
            <w:r w:rsidR="00490CC7">
              <w:rPr>
                <w:noProof/>
                <w:webHidden/>
              </w:rPr>
              <w:t>21</w:t>
            </w:r>
            <w:r w:rsidR="001F54B1">
              <w:rPr>
                <w:noProof/>
                <w:webHidden/>
              </w:rPr>
              <w:fldChar w:fldCharType="end"/>
            </w:r>
          </w:hyperlink>
        </w:p>
        <w:p w:rsidR="001F54B1" w:rsidRDefault="00C7355A">
          <w:pPr>
            <w:pStyle w:val="Inhopg2"/>
            <w:tabs>
              <w:tab w:val="right" w:leader="dot" w:pos="9062"/>
            </w:tabs>
            <w:rPr>
              <w:noProof/>
            </w:rPr>
          </w:pPr>
          <w:hyperlink w:anchor="_Toc486246625" w:history="1">
            <w:r w:rsidR="001F54B1" w:rsidRPr="00E822CF">
              <w:rPr>
                <w:rStyle w:val="Hyperlink"/>
                <w:rFonts w:cstheme="minorHAnsi"/>
                <w:noProof/>
              </w:rPr>
              <w:t>§1 Arrest Mulder</w:t>
            </w:r>
            <w:r w:rsidR="001F54B1">
              <w:rPr>
                <w:noProof/>
                <w:webHidden/>
              </w:rPr>
              <w:tab/>
            </w:r>
            <w:r w:rsidR="001F54B1">
              <w:rPr>
                <w:noProof/>
                <w:webHidden/>
              </w:rPr>
              <w:fldChar w:fldCharType="begin"/>
            </w:r>
            <w:r w:rsidR="001F54B1">
              <w:rPr>
                <w:noProof/>
                <w:webHidden/>
              </w:rPr>
              <w:instrText xml:space="preserve"> PAGEREF _Toc486246625 \h </w:instrText>
            </w:r>
            <w:r w:rsidR="001F54B1">
              <w:rPr>
                <w:noProof/>
                <w:webHidden/>
              </w:rPr>
            </w:r>
            <w:r w:rsidR="001F54B1">
              <w:rPr>
                <w:noProof/>
                <w:webHidden/>
              </w:rPr>
              <w:fldChar w:fldCharType="separate"/>
            </w:r>
            <w:r w:rsidR="00490CC7">
              <w:rPr>
                <w:noProof/>
                <w:webHidden/>
              </w:rPr>
              <w:t>21</w:t>
            </w:r>
            <w:r w:rsidR="001F54B1">
              <w:rPr>
                <w:noProof/>
                <w:webHidden/>
              </w:rPr>
              <w:fldChar w:fldCharType="end"/>
            </w:r>
          </w:hyperlink>
        </w:p>
        <w:p w:rsidR="001F54B1" w:rsidRDefault="00C7355A">
          <w:pPr>
            <w:pStyle w:val="Inhopg2"/>
            <w:tabs>
              <w:tab w:val="right" w:leader="dot" w:pos="9062"/>
            </w:tabs>
            <w:rPr>
              <w:noProof/>
            </w:rPr>
          </w:pPr>
          <w:hyperlink w:anchor="_Toc486246626" w:history="1">
            <w:r w:rsidR="001F54B1" w:rsidRPr="00E822CF">
              <w:rPr>
                <w:rStyle w:val="Hyperlink"/>
                <w:rFonts w:cstheme="minorHAnsi"/>
                <w:noProof/>
              </w:rPr>
              <w:t>§2 Faillissement</w:t>
            </w:r>
            <w:r w:rsidR="001F54B1">
              <w:rPr>
                <w:noProof/>
                <w:webHidden/>
              </w:rPr>
              <w:tab/>
            </w:r>
            <w:r w:rsidR="001F54B1">
              <w:rPr>
                <w:noProof/>
                <w:webHidden/>
              </w:rPr>
              <w:fldChar w:fldCharType="begin"/>
            </w:r>
            <w:r w:rsidR="001F54B1">
              <w:rPr>
                <w:noProof/>
                <w:webHidden/>
              </w:rPr>
              <w:instrText xml:space="preserve"> PAGEREF _Toc486246626 \h </w:instrText>
            </w:r>
            <w:r w:rsidR="001F54B1">
              <w:rPr>
                <w:noProof/>
                <w:webHidden/>
              </w:rPr>
            </w:r>
            <w:r w:rsidR="001F54B1">
              <w:rPr>
                <w:noProof/>
                <w:webHidden/>
              </w:rPr>
              <w:fldChar w:fldCharType="separate"/>
            </w:r>
            <w:r w:rsidR="00490CC7">
              <w:rPr>
                <w:noProof/>
                <w:webHidden/>
              </w:rPr>
              <w:t>22</w:t>
            </w:r>
            <w:r w:rsidR="001F54B1">
              <w:rPr>
                <w:noProof/>
                <w:webHidden/>
              </w:rPr>
              <w:fldChar w:fldCharType="end"/>
            </w:r>
          </w:hyperlink>
        </w:p>
        <w:p w:rsidR="001F54B1" w:rsidRDefault="00C7355A">
          <w:pPr>
            <w:pStyle w:val="Inhopg2"/>
            <w:tabs>
              <w:tab w:val="right" w:leader="dot" w:pos="9062"/>
            </w:tabs>
            <w:rPr>
              <w:noProof/>
            </w:rPr>
          </w:pPr>
          <w:hyperlink w:anchor="_Toc486246627" w:history="1">
            <w:r w:rsidR="001F54B1" w:rsidRPr="00E822CF">
              <w:rPr>
                <w:rStyle w:val="Hyperlink"/>
                <w:rFonts w:cstheme="minorHAnsi"/>
                <w:noProof/>
              </w:rPr>
              <w:t>§3 Verrekenen in het zicht van faillissement</w:t>
            </w:r>
            <w:r w:rsidR="001F54B1">
              <w:rPr>
                <w:noProof/>
                <w:webHidden/>
              </w:rPr>
              <w:tab/>
            </w:r>
            <w:r w:rsidR="001F54B1">
              <w:rPr>
                <w:noProof/>
                <w:webHidden/>
              </w:rPr>
              <w:fldChar w:fldCharType="begin"/>
            </w:r>
            <w:r w:rsidR="001F54B1">
              <w:rPr>
                <w:noProof/>
                <w:webHidden/>
              </w:rPr>
              <w:instrText xml:space="preserve"> PAGEREF _Toc486246627 \h </w:instrText>
            </w:r>
            <w:r w:rsidR="001F54B1">
              <w:rPr>
                <w:noProof/>
                <w:webHidden/>
              </w:rPr>
            </w:r>
            <w:r w:rsidR="001F54B1">
              <w:rPr>
                <w:noProof/>
                <w:webHidden/>
              </w:rPr>
              <w:fldChar w:fldCharType="separate"/>
            </w:r>
            <w:r w:rsidR="00490CC7">
              <w:rPr>
                <w:noProof/>
                <w:webHidden/>
              </w:rPr>
              <w:t>23</w:t>
            </w:r>
            <w:r w:rsidR="001F54B1">
              <w:rPr>
                <w:noProof/>
                <w:webHidden/>
              </w:rPr>
              <w:fldChar w:fldCharType="end"/>
            </w:r>
          </w:hyperlink>
        </w:p>
        <w:p w:rsidR="001F54B1" w:rsidRDefault="00C7355A">
          <w:pPr>
            <w:pStyle w:val="Inhopg2"/>
            <w:tabs>
              <w:tab w:val="right" w:leader="dot" w:pos="9062"/>
            </w:tabs>
            <w:rPr>
              <w:noProof/>
            </w:rPr>
          </w:pPr>
          <w:hyperlink w:anchor="_Toc486246628" w:history="1">
            <w:r w:rsidR="001F54B1" w:rsidRPr="00E822CF">
              <w:rPr>
                <w:rStyle w:val="Hyperlink"/>
                <w:rFonts w:cstheme="minorHAnsi"/>
                <w:noProof/>
              </w:rPr>
              <w:t>§4 Concluderend</w:t>
            </w:r>
            <w:r w:rsidR="001F54B1">
              <w:rPr>
                <w:noProof/>
                <w:webHidden/>
              </w:rPr>
              <w:tab/>
            </w:r>
            <w:r w:rsidR="001F54B1">
              <w:rPr>
                <w:noProof/>
                <w:webHidden/>
              </w:rPr>
              <w:fldChar w:fldCharType="begin"/>
            </w:r>
            <w:r w:rsidR="001F54B1">
              <w:rPr>
                <w:noProof/>
                <w:webHidden/>
              </w:rPr>
              <w:instrText xml:space="preserve"> PAGEREF _Toc486246628 \h </w:instrText>
            </w:r>
            <w:r w:rsidR="001F54B1">
              <w:rPr>
                <w:noProof/>
                <w:webHidden/>
              </w:rPr>
            </w:r>
            <w:r w:rsidR="001F54B1">
              <w:rPr>
                <w:noProof/>
                <w:webHidden/>
              </w:rPr>
              <w:fldChar w:fldCharType="separate"/>
            </w:r>
            <w:r w:rsidR="00490CC7">
              <w:rPr>
                <w:noProof/>
                <w:webHidden/>
              </w:rPr>
              <w:t>27</w:t>
            </w:r>
            <w:r w:rsidR="001F54B1">
              <w:rPr>
                <w:noProof/>
                <w:webHidden/>
              </w:rPr>
              <w:fldChar w:fldCharType="end"/>
            </w:r>
          </w:hyperlink>
        </w:p>
        <w:p w:rsidR="001F54B1" w:rsidRDefault="00C7355A">
          <w:pPr>
            <w:pStyle w:val="Inhopg1"/>
            <w:tabs>
              <w:tab w:val="right" w:leader="dot" w:pos="9062"/>
            </w:tabs>
            <w:rPr>
              <w:rFonts w:asciiTheme="minorHAnsi" w:eastAsiaTheme="minorEastAsia" w:hAnsiTheme="minorHAnsi" w:cstheme="minorBidi"/>
              <w:b w:val="0"/>
              <w:bCs w:val="0"/>
              <w:noProof/>
              <w:sz w:val="22"/>
              <w:szCs w:val="22"/>
              <w:lang w:eastAsia="nl-NL"/>
            </w:rPr>
          </w:pPr>
          <w:hyperlink w:anchor="_Toc486246629" w:history="1">
            <w:r w:rsidR="001F54B1" w:rsidRPr="00E822CF">
              <w:rPr>
                <w:rStyle w:val="Hyperlink"/>
                <w:noProof/>
              </w:rPr>
              <w:t>Hoofdstuk 6</w:t>
            </w:r>
            <w:r w:rsidR="001F54B1">
              <w:rPr>
                <w:rStyle w:val="Hyperlink"/>
                <w:noProof/>
              </w:rPr>
              <w:t xml:space="preserve"> - Resultaten</w:t>
            </w:r>
            <w:r w:rsidR="001F54B1">
              <w:rPr>
                <w:noProof/>
                <w:webHidden/>
              </w:rPr>
              <w:tab/>
            </w:r>
            <w:r w:rsidR="001F54B1">
              <w:rPr>
                <w:noProof/>
                <w:webHidden/>
              </w:rPr>
              <w:fldChar w:fldCharType="begin"/>
            </w:r>
            <w:r w:rsidR="001F54B1">
              <w:rPr>
                <w:noProof/>
                <w:webHidden/>
              </w:rPr>
              <w:instrText xml:space="preserve"> PAGEREF _Toc486246629 \h </w:instrText>
            </w:r>
            <w:r w:rsidR="001F54B1">
              <w:rPr>
                <w:noProof/>
                <w:webHidden/>
              </w:rPr>
            </w:r>
            <w:r w:rsidR="001F54B1">
              <w:rPr>
                <w:noProof/>
                <w:webHidden/>
              </w:rPr>
              <w:fldChar w:fldCharType="separate"/>
            </w:r>
            <w:r w:rsidR="00490CC7">
              <w:rPr>
                <w:noProof/>
                <w:webHidden/>
              </w:rPr>
              <w:t>28</w:t>
            </w:r>
            <w:r w:rsidR="001F54B1">
              <w:rPr>
                <w:noProof/>
                <w:webHidden/>
              </w:rPr>
              <w:fldChar w:fldCharType="end"/>
            </w:r>
          </w:hyperlink>
        </w:p>
        <w:p w:rsidR="001F54B1" w:rsidRDefault="00C7355A">
          <w:pPr>
            <w:pStyle w:val="Inhopg2"/>
            <w:tabs>
              <w:tab w:val="right" w:leader="dot" w:pos="9062"/>
            </w:tabs>
            <w:rPr>
              <w:noProof/>
            </w:rPr>
          </w:pPr>
          <w:hyperlink w:anchor="_Toc486246631" w:history="1">
            <w:r w:rsidR="001F54B1" w:rsidRPr="00E822CF">
              <w:rPr>
                <w:rStyle w:val="Hyperlink"/>
                <w:rFonts w:cstheme="minorHAnsi"/>
                <w:noProof/>
              </w:rPr>
              <w:t>§1 Onderzoeksmethode</w:t>
            </w:r>
            <w:r w:rsidR="001F54B1">
              <w:rPr>
                <w:noProof/>
                <w:webHidden/>
              </w:rPr>
              <w:tab/>
            </w:r>
            <w:r w:rsidR="001F54B1">
              <w:rPr>
                <w:noProof/>
                <w:webHidden/>
              </w:rPr>
              <w:fldChar w:fldCharType="begin"/>
            </w:r>
            <w:r w:rsidR="001F54B1">
              <w:rPr>
                <w:noProof/>
                <w:webHidden/>
              </w:rPr>
              <w:instrText xml:space="preserve"> PAGEREF _Toc486246631 \h </w:instrText>
            </w:r>
            <w:r w:rsidR="001F54B1">
              <w:rPr>
                <w:noProof/>
                <w:webHidden/>
              </w:rPr>
            </w:r>
            <w:r w:rsidR="001F54B1">
              <w:rPr>
                <w:noProof/>
                <w:webHidden/>
              </w:rPr>
              <w:fldChar w:fldCharType="separate"/>
            </w:r>
            <w:r w:rsidR="00490CC7">
              <w:rPr>
                <w:noProof/>
                <w:webHidden/>
              </w:rPr>
              <w:t>29</w:t>
            </w:r>
            <w:r w:rsidR="001F54B1">
              <w:rPr>
                <w:noProof/>
                <w:webHidden/>
              </w:rPr>
              <w:fldChar w:fldCharType="end"/>
            </w:r>
          </w:hyperlink>
        </w:p>
        <w:p w:rsidR="001F54B1" w:rsidRDefault="00C7355A">
          <w:pPr>
            <w:pStyle w:val="Inhopg2"/>
            <w:tabs>
              <w:tab w:val="right" w:leader="dot" w:pos="9062"/>
            </w:tabs>
            <w:rPr>
              <w:noProof/>
            </w:rPr>
          </w:pPr>
          <w:hyperlink w:anchor="_Toc486246632" w:history="1">
            <w:r w:rsidR="001F54B1" w:rsidRPr="00E822CF">
              <w:rPr>
                <w:rStyle w:val="Hyperlink"/>
                <w:rFonts w:cstheme="minorHAnsi"/>
                <w:noProof/>
              </w:rPr>
              <w:t>§2 Het onderzoek</w:t>
            </w:r>
            <w:r w:rsidR="001F54B1">
              <w:rPr>
                <w:noProof/>
                <w:webHidden/>
              </w:rPr>
              <w:tab/>
            </w:r>
            <w:r w:rsidR="001F54B1">
              <w:rPr>
                <w:noProof/>
                <w:webHidden/>
              </w:rPr>
              <w:fldChar w:fldCharType="begin"/>
            </w:r>
            <w:r w:rsidR="001F54B1">
              <w:rPr>
                <w:noProof/>
                <w:webHidden/>
              </w:rPr>
              <w:instrText xml:space="preserve"> PAGEREF _Toc486246632 \h </w:instrText>
            </w:r>
            <w:r w:rsidR="001F54B1">
              <w:rPr>
                <w:noProof/>
                <w:webHidden/>
              </w:rPr>
            </w:r>
            <w:r w:rsidR="001F54B1">
              <w:rPr>
                <w:noProof/>
                <w:webHidden/>
              </w:rPr>
              <w:fldChar w:fldCharType="separate"/>
            </w:r>
            <w:r w:rsidR="00490CC7">
              <w:rPr>
                <w:noProof/>
                <w:webHidden/>
              </w:rPr>
              <w:t>30</w:t>
            </w:r>
            <w:r w:rsidR="001F54B1">
              <w:rPr>
                <w:noProof/>
                <w:webHidden/>
              </w:rPr>
              <w:fldChar w:fldCharType="end"/>
            </w:r>
          </w:hyperlink>
        </w:p>
        <w:p w:rsidR="001F54B1" w:rsidRDefault="00C7355A">
          <w:pPr>
            <w:pStyle w:val="Inhopg2"/>
            <w:tabs>
              <w:tab w:val="right" w:leader="dot" w:pos="9062"/>
            </w:tabs>
            <w:rPr>
              <w:noProof/>
            </w:rPr>
          </w:pPr>
          <w:hyperlink w:anchor="_Toc486246633" w:history="1">
            <w:r w:rsidR="001F54B1" w:rsidRPr="00E822CF">
              <w:rPr>
                <w:rStyle w:val="Hyperlink"/>
                <w:rFonts w:cstheme="minorHAnsi"/>
                <w:noProof/>
              </w:rPr>
              <w:t>§3 Concluderend</w:t>
            </w:r>
            <w:r w:rsidR="001F54B1">
              <w:rPr>
                <w:noProof/>
                <w:webHidden/>
              </w:rPr>
              <w:tab/>
            </w:r>
            <w:r w:rsidR="001F54B1">
              <w:rPr>
                <w:noProof/>
                <w:webHidden/>
              </w:rPr>
              <w:fldChar w:fldCharType="begin"/>
            </w:r>
            <w:r w:rsidR="001F54B1">
              <w:rPr>
                <w:noProof/>
                <w:webHidden/>
              </w:rPr>
              <w:instrText xml:space="preserve"> PAGEREF _Toc486246633 \h </w:instrText>
            </w:r>
            <w:r w:rsidR="001F54B1">
              <w:rPr>
                <w:noProof/>
                <w:webHidden/>
              </w:rPr>
            </w:r>
            <w:r w:rsidR="001F54B1">
              <w:rPr>
                <w:noProof/>
                <w:webHidden/>
              </w:rPr>
              <w:fldChar w:fldCharType="separate"/>
            </w:r>
            <w:r w:rsidR="00490CC7">
              <w:rPr>
                <w:noProof/>
                <w:webHidden/>
              </w:rPr>
              <w:t>38</w:t>
            </w:r>
            <w:r w:rsidR="001F54B1">
              <w:rPr>
                <w:noProof/>
                <w:webHidden/>
              </w:rPr>
              <w:fldChar w:fldCharType="end"/>
            </w:r>
          </w:hyperlink>
        </w:p>
        <w:p w:rsidR="001F54B1" w:rsidRDefault="00C7355A">
          <w:pPr>
            <w:pStyle w:val="Inhopg1"/>
            <w:tabs>
              <w:tab w:val="right" w:leader="dot" w:pos="9062"/>
            </w:tabs>
            <w:rPr>
              <w:rFonts w:asciiTheme="minorHAnsi" w:eastAsiaTheme="minorEastAsia" w:hAnsiTheme="minorHAnsi" w:cstheme="minorBidi"/>
              <w:b w:val="0"/>
              <w:bCs w:val="0"/>
              <w:noProof/>
              <w:sz w:val="22"/>
              <w:szCs w:val="22"/>
              <w:lang w:eastAsia="nl-NL"/>
            </w:rPr>
          </w:pPr>
          <w:hyperlink w:anchor="_Toc486246634" w:history="1">
            <w:r w:rsidR="001F54B1" w:rsidRPr="00E822CF">
              <w:rPr>
                <w:rStyle w:val="Hyperlink"/>
                <w:noProof/>
              </w:rPr>
              <w:t>Hoofdstuk 7</w:t>
            </w:r>
            <w:r w:rsidR="001F54B1">
              <w:rPr>
                <w:rStyle w:val="Hyperlink"/>
                <w:noProof/>
              </w:rPr>
              <w:t xml:space="preserve"> - Conclusie</w:t>
            </w:r>
            <w:r w:rsidR="001F54B1">
              <w:rPr>
                <w:noProof/>
                <w:webHidden/>
              </w:rPr>
              <w:tab/>
            </w:r>
            <w:r w:rsidR="001F54B1">
              <w:rPr>
                <w:noProof/>
                <w:webHidden/>
              </w:rPr>
              <w:fldChar w:fldCharType="begin"/>
            </w:r>
            <w:r w:rsidR="001F54B1">
              <w:rPr>
                <w:noProof/>
                <w:webHidden/>
              </w:rPr>
              <w:instrText xml:space="preserve"> PAGEREF _Toc486246634 \h </w:instrText>
            </w:r>
            <w:r w:rsidR="001F54B1">
              <w:rPr>
                <w:noProof/>
                <w:webHidden/>
              </w:rPr>
            </w:r>
            <w:r w:rsidR="001F54B1">
              <w:rPr>
                <w:noProof/>
                <w:webHidden/>
              </w:rPr>
              <w:fldChar w:fldCharType="separate"/>
            </w:r>
            <w:r w:rsidR="00490CC7">
              <w:rPr>
                <w:noProof/>
                <w:webHidden/>
              </w:rPr>
              <w:t>40</w:t>
            </w:r>
            <w:r w:rsidR="001F54B1">
              <w:rPr>
                <w:noProof/>
                <w:webHidden/>
              </w:rPr>
              <w:fldChar w:fldCharType="end"/>
            </w:r>
          </w:hyperlink>
        </w:p>
        <w:p w:rsidR="001F54B1" w:rsidRDefault="00C7355A">
          <w:pPr>
            <w:pStyle w:val="Inhopg1"/>
            <w:tabs>
              <w:tab w:val="right" w:leader="dot" w:pos="9062"/>
            </w:tabs>
            <w:rPr>
              <w:rFonts w:asciiTheme="minorHAnsi" w:eastAsiaTheme="minorEastAsia" w:hAnsiTheme="minorHAnsi" w:cstheme="minorBidi"/>
              <w:b w:val="0"/>
              <w:bCs w:val="0"/>
              <w:noProof/>
              <w:sz w:val="22"/>
              <w:szCs w:val="22"/>
              <w:lang w:eastAsia="nl-NL"/>
            </w:rPr>
          </w:pPr>
          <w:hyperlink w:anchor="_Toc486246635" w:history="1">
            <w:r w:rsidR="001F54B1" w:rsidRPr="00E822CF">
              <w:rPr>
                <w:rStyle w:val="Hyperlink"/>
                <w:noProof/>
              </w:rPr>
              <w:t>Hoofdstuk 8</w:t>
            </w:r>
            <w:r w:rsidR="001F54B1">
              <w:rPr>
                <w:rStyle w:val="Hyperlink"/>
                <w:noProof/>
              </w:rPr>
              <w:t xml:space="preserve"> - Aanbeveling</w:t>
            </w:r>
            <w:r w:rsidR="001F54B1">
              <w:rPr>
                <w:noProof/>
                <w:webHidden/>
              </w:rPr>
              <w:tab/>
            </w:r>
            <w:r w:rsidR="001F54B1">
              <w:rPr>
                <w:noProof/>
                <w:webHidden/>
              </w:rPr>
              <w:fldChar w:fldCharType="begin"/>
            </w:r>
            <w:r w:rsidR="001F54B1">
              <w:rPr>
                <w:noProof/>
                <w:webHidden/>
              </w:rPr>
              <w:instrText xml:space="preserve"> PAGEREF _Toc486246635 \h </w:instrText>
            </w:r>
            <w:r w:rsidR="001F54B1">
              <w:rPr>
                <w:noProof/>
                <w:webHidden/>
              </w:rPr>
            </w:r>
            <w:r w:rsidR="001F54B1">
              <w:rPr>
                <w:noProof/>
                <w:webHidden/>
              </w:rPr>
              <w:fldChar w:fldCharType="separate"/>
            </w:r>
            <w:r w:rsidR="00490CC7">
              <w:rPr>
                <w:noProof/>
                <w:webHidden/>
              </w:rPr>
              <w:t>42</w:t>
            </w:r>
            <w:r w:rsidR="001F54B1">
              <w:rPr>
                <w:noProof/>
                <w:webHidden/>
              </w:rPr>
              <w:fldChar w:fldCharType="end"/>
            </w:r>
          </w:hyperlink>
        </w:p>
        <w:p w:rsidR="001F54B1" w:rsidRDefault="00C7355A">
          <w:pPr>
            <w:pStyle w:val="Inhopg1"/>
            <w:tabs>
              <w:tab w:val="right" w:leader="dot" w:pos="9062"/>
            </w:tabs>
            <w:rPr>
              <w:rFonts w:asciiTheme="minorHAnsi" w:eastAsiaTheme="minorEastAsia" w:hAnsiTheme="minorHAnsi" w:cstheme="minorBidi"/>
              <w:b w:val="0"/>
              <w:bCs w:val="0"/>
              <w:noProof/>
              <w:sz w:val="22"/>
              <w:szCs w:val="22"/>
              <w:lang w:eastAsia="nl-NL"/>
            </w:rPr>
          </w:pPr>
          <w:hyperlink w:anchor="_Toc486246636" w:history="1">
            <w:r w:rsidR="001F54B1" w:rsidRPr="00E822CF">
              <w:rPr>
                <w:rStyle w:val="Hyperlink"/>
                <w:noProof/>
              </w:rPr>
              <w:t>Literatuurlijst</w:t>
            </w:r>
            <w:r w:rsidR="001F54B1">
              <w:rPr>
                <w:noProof/>
                <w:webHidden/>
              </w:rPr>
              <w:tab/>
            </w:r>
            <w:r w:rsidR="001F54B1">
              <w:rPr>
                <w:noProof/>
                <w:webHidden/>
              </w:rPr>
              <w:fldChar w:fldCharType="begin"/>
            </w:r>
            <w:r w:rsidR="001F54B1">
              <w:rPr>
                <w:noProof/>
                <w:webHidden/>
              </w:rPr>
              <w:instrText xml:space="preserve"> PAGEREF _Toc486246636 \h </w:instrText>
            </w:r>
            <w:r w:rsidR="001F54B1">
              <w:rPr>
                <w:noProof/>
                <w:webHidden/>
              </w:rPr>
            </w:r>
            <w:r w:rsidR="001F54B1">
              <w:rPr>
                <w:noProof/>
                <w:webHidden/>
              </w:rPr>
              <w:fldChar w:fldCharType="separate"/>
            </w:r>
            <w:r w:rsidR="00490CC7">
              <w:rPr>
                <w:noProof/>
                <w:webHidden/>
              </w:rPr>
              <w:t>44</w:t>
            </w:r>
            <w:r w:rsidR="001F54B1">
              <w:rPr>
                <w:noProof/>
                <w:webHidden/>
              </w:rPr>
              <w:fldChar w:fldCharType="end"/>
            </w:r>
          </w:hyperlink>
        </w:p>
        <w:p w:rsidR="001F54B1" w:rsidRDefault="00C7355A">
          <w:pPr>
            <w:pStyle w:val="Inhopg1"/>
            <w:tabs>
              <w:tab w:val="right" w:leader="dot" w:pos="9062"/>
            </w:tabs>
            <w:rPr>
              <w:rFonts w:asciiTheme="minorHAnsi" w:eastAsiaTheme="minorEastAsia" w:hAnsiTheme="minorHAnsi" w:cstheme="minorBidi"/>
              <w:b w:val="0"/>
              <w:bCs w:val="0"/>
              <w:noProof/>
              <w:sz w:val="22"/>
              <w:szCs w:val="22"/>
              <w:lang w:eastAsia="nl-NL"/>
            </w:rPr>
          </w:pPr>
          <w:hyperlink w:anchor="_Toc486246637" w:history="1">
            <w:r w:rsidR="001F54B1" w:rsidRPr="00E822CF">
              <w:rPr>
                <w:rStyle w:val="Hyperlink"/>
                <w:noProof/>
              </w:rPr>
              <w:t>Jurisprudentielijst</w:t>
            </w:r>
            <w:r w:rsidR="001F54B1">
              <w:rPr>
                <w:noProof/>
                <w:webHidden/>
              </w:rPr>
              <w:tab/>
            </w:r>
            <w:r w:rsidR="001F54B1">
              <w:rPr>
                <w:noProof/>
                <w:webHidden/>
              </w:rPr>
              <w:fldChar w:fldCharType="begin"/>
            </w:r>
            <w:r w:rsidR="001F54B1">
              <w:rPr>
                <w:noProof/>
                <w:webHidden/>
              </w:rPr>
              <w:instrText xml:space="preserve"> PAGEREF _Toc486246637 \h </w:instrText>
            </w:r>
            <w:r w:rsidR="001F54B1">
              <w:rPr>
                <w:noProof/>
                <w:webHidden/>
              </w:rPr>
            </w:r>
            <w:r w:rsidR="001F54B1">
              <w:rPr>
                <w:noProof/>
                <w:webHidden/>
              </w:rPr>
              <w:fldChar w:fldCharType="separate"/>
            </w:r>
            <w:r w:rsidR="00490CC7">
              <w:rPr>
                <w:noProof/>
                <w:webHidden/>
              </w:rPr>
              <w:t>48</w:t>
            </w:r>
            <w:r w:rsidR="001F54B1">
              <w:rPr>
                <w:noProof/>
                <w:webHidden/>
              </w:rPr>
              <w:fldChar w:fldCharType="end"/>
            </w:r>
          </w:hyperlink>
        </w:p>
        <w:p w:rsidR="001F54B1" w:rsidRDefault="00C7355A">
          <w:pPr>
            <w:pStyle w:val="Inhopg2"/>
            <w:tabs>
              <w:tab w:val="right" w:leader="dot" w:pos="9062"/>
            </w:tabs>
            <w:rPr>
              <w:noProof/>
            </w:rPr>
          </w:pPr>
          <w:hyperlink w:anchor="_Toc486246638" w:history="1">
            <w:r w:rsidR="001F54B1" w:rsidRPr="00E822CF">
              <w:rPr>
                <w:rStyle w:val="Hyperlink"/>
                <w:rFonts w:cstheme="minorHAnsi"/>
                <w:noProof/>
              </w:rPr>
              <w:t>§1 Aangehaalde jurisprudentie (theoretisch kader)</w:t>
            </w:r>
            <w:r w:rsidR="001F54B1">
              <w:rPr>
                <w:noProof/>
                <w:webHidden/>
              </w:rPr>
              <w:tab/>
            </w:r>
            <w:r w:rsidR="001F54B1">
              <w:rPr>
                <w:noProof/>
                <w:webHidden/>
              </w:rPr>
              <w:fldChar w:fldCharType="begin"/>
            </w:r>
            <w:r w:rsidR="001F54B1">
              <w:rPr>
                <w:noProof/>
                <w:webHidden/>
              </w:rPr>
              <w:instrText xml:space="preserve"> PAGEREF _Toc486246638 \h </w:instrText>
            </w:r>
            <w:r w:rsidR="001F54B1">
              <w:rPr>
                <w:noProof/>
                <w:webHidden/>
              </w:rPr>
            </w:r>
            <w:r w:rsidR="001F54B1">
              <w:rPr>
                <w:noProof/>
                <w:webHidden/>
              </w:rPr>
              <w:fldChar w:fldCharType="separate"/>
            </w:r>
            <w:r w:rsidR="00490CC7">
              <w:rPr>
                <w:noProof/>
                <w:webHidden/>
              </w:rPr>
              <w:t>48</w:t>
            </w:r>
            <w:r w:rsidR="001F54B1">
              <w:rPr>
                <w:noProof/>
                <w:webHidden/>
              </w:rPr>
              <w:fldChar w:fldCharType="end"/>
            </w:r>
          </w:hyperlink>
        </w:p>
        <w:p w:rsidR="001F54B1" w:rsidRDefault="00C7355A">
          <w:pPr>
            <w:pStyle w:val="Inhopg2"/>
            <w:tabs>
              <w:tab w:val="right" w:leader="dot" w:pos="9062"/>
            </w:tabs>
            <w:rPr>
              <w:noProof/>
            </w:rPr>
          </w:pPr>
          <w:hyperlink w:anchor="_Toc486246639" w:history="1">
            <w:r w:rsidR="001F54B1" w:rsidRPr="00E822CF">
              <w:rPr>
                <w:rStyle w:val="Hyperlink"/>
                <w:rFonts w:cstheme="minorHAnsi"/>
                <w:noProof/>
              </w:rPr>
              <w:t>§2 Onderzochte jurisprudentie (onderzoek)</w:t>
            </w:r>
            <w:r w:rsidR="001F54B1">
              <w:rPr>
                <w:noProof/>
                <w:webHidden/>
              </w:rPr>
              <w:tab/>
            </w:r>
            <w:r w:rsidR="001F54B1">
              <w:rPr>
                <w:noProof/>
                <w:webHidden/>
              </w:rPr>
              <w:fldChar w:fldCharType="begin"/>
            </w:r>
            <w:r w:rsidR="001F54B1">
              <w:rPr>
                <w:noProof/>
                <w:webHidden/>
              </w:rPr>
              <w:instrText xml:space="preserve"> PAGEREF _Toc486246639 \h </w:instrText>
            </w:r>
            <w:r w:rsidR="001F54B1">
              <w:rPr>
                <w:noProof/>
                <w:webHidden/>
              </w:rPr>
            </w:r>
            <w:r w:rsidR="001F54B1">
              <w:rPr>
                <w:noProof/>
                <w:webHidden/>
              </w:rPr>
              <w:fldChar w:fldCharType="separate"/>
            </w:r>
            <w:r w:rsidR="00490CC7">
              <w:rPr>
                <w:noProof/>
                <w:webHidden/>
              </w:rPr>
              <w:t>48</w:t>
            </w:r>
            <w:r w:rsidR="001F54B1">
              <w:rPr>
                <w:noProof/>
                <w:webHidden/>
              </w:rPr>
              <w:fldChar w:fldCharType="end"/>
            </w:r>
          </w:hyperlink>
        </w:p>
        <w:p w:rsidR="001F54B1" w:rsidRDefault="00C7355A">
          <w:pPr>
            <w:pStyle w:val="Inhopg1"/>
            <w:tabs>
              <w:tab w:val="right" w:leader="dot" w:pos="9062"/>
            </w:tabs>
            <w:rPr>
              <w:rFonts w:asciiTheme="minorHAnsi" w:eastAsiaTheme="minorEastAsia" w:hAnsiTheme="minorHAnsi" w:cstheme="minorBidi"/>
              <w:b w:val="0"/>
              <w:bCs w:val="0"/>
              <w:noProof/>
              <w:sz w:val="22"/>
              <w:szCs w:val="22"/>
              <w:lang w:eastAsia="nl-NL"/>
            </w:rPr>
          </w:pPr>
          <w:hyperlink w:anchor="_Toc486246640" w:history="1">
            <w:r w:rsidR="001F54B1" w:rsidRPr="00E822CF">
              <w:rPr>
                <w:rStyle w:val="Hyperlink"/>
                <w:noProof/>
              </w:rPr>
              <w:t>Bijlage 1</w:t>
            </w:r>
            <w:r w:rsidR="001F54B1">
              <w:rPr>
                <w:noProof/>
                <w:webHidden/>
              </w:rPr>
              <w:tab/>
            </w:r>
            <w:r w:rsidR="001F54B1">
              <w:rPr>
                <w:noProof/>
                <w:webHidden/>
              </w:rPr>
              <w:fldChar w:fldCharType="begin"/>
            </w:r>
            <w:r w:rsidR="001F54B1">
              <w:rPr>
                <w:noProof/>
                <w:webHidden/>
              </w:rPr>
              <w:instrText xml:space="preserve"> PAGEREF _Toc486246640 \h </w:instrText>
            </w:r>
            <w:r w:rsidR="001F54B1">
              <w:rPr>
                <w:noProof/>
                <w:webHidden/>
              </w:rPr>
            </w:r>
            <w:r w:rsidR="001F54B1">
              <w:rPr>
                <w:noProof/>
                <w:webHidden/>
              </w:rPr>
              <w:fldChar w:fldCharType="separate"/>
            </w:r>
            <w:r w:rsidR="00490CC7">
              <w:rPr>
                <w:noProof/>
                <w:webHidden/>
              </w:rPr>
              <w:t>51</w:t>
            </w:r>
            <w:r w:rsidR="001F54B1">
              <w:rPr>
                <w:noProof/>
                <w:webHidden/>
              </w:rPr>
              <w:fldChar w:fldCharType="end"/>
            </w:r>
          </w:hyperlink>
        </w:p>
        <w:p w:rsidR="001F54B1" w:rsidRDefault="00C7355A">
          <w:pPr>
            <w:pStyle w:val="Inhopg2"/>
            <w:tabs>
              <w:tab w:val="right" w:leader="dot" w:pos="9062"/>
            </w:tabs>
            <w:rPr>
              <w:noProof/>
            </w:rPr>
          </w:pPr>
          <w:hyperlink w:anchor="_Toc486246641" w:history="1">
            <w:r w:rsidR="001F54B1" w:rsidRPr="00E822CF">
              <w:rPr>
                <w:rStyle w:val="Hyperlink"/>
                <w:rFonts w:cstheme="minorHAnsi"/>
                <w:noProof/>
              </w:rPr>
              <w:t>§1 Tabel onderzoek bij hoofdstuk 6</w:t>
            </w:r>
            <w:r w:rsidR="001F54B1">
              <w:rPr>
                <w:noProof/>
                <w:webHidden/>
              </w:rPr>
              <w:tab/>
            </w:r>
            <w:r w:rsidR="001F54B1">
              <w:rPr>
                <w:noProof/>
                <w:webHidden/>
              </w:rPr>
              <w:fldChar w:fldCharType="begin"/>
            </w:r>
            <w:r w:rsidR="001F54B1">
              <w:rPr>
                <w:noProof/>
                <w:webHidden/>
              </w:rPr>
              <w:instrText xml:space="preserve"> PAGEREF _Toc486246641 \h </w:instrText>
            </w:r>
            <w:r w:rsidR="001F54B1">
              <w:rPr>
                <w:noProof/>
                <w:webHidden/>
              </w:rPr>
            </w:r>
            <w:r w:rsidR="001F54B1">
              <w:rPr>
                <w:noProof/>
                <w:webHidden/>
              </w:rPr>
              <w:fldChar w:fldCharType="separate"/>
            </w:r>
            <w:r w:rsidR="00490CC7">
              <w:rPr>
                <w:noProof/>
                <w:webHidden/>
              </w:rPr>
              <w:t>51</w:t>
            </w:r>
            <w:r w:rsidR="001F54B1">
              <w:rPr>
                <w:noProof/>
                <w:webHidden/>
              </w:rPr>
              <w:fldChar w:fldCharType="end"/>
            </w:r>
          </w:hyperlink>
        </w:p>
        <w:p w:rsidR="001F54B1" w:rsidRDefault="00C7355A">
          <w:pPr>
            <w:pStyle w:val="Inhopg2"/>
            <w:tabs>
              <w:tab w:val="right" w:leader="dot" w:pos="9062"/>
            </w:tabs>
            <w:rPr>
              <w:noProof/>
            </w:rPr>
          </w:pPr>
          <w:hyperlink w:anchor="_Toc486246642" w:history="1">
            <w:r w:rsidR="001F54B1" w:rsidRPr="00E822CF">
              <w:rPr>
                <w:rStyle w:val="Hyperlink"/>
                <w:rFonts w:cstheme="minorHAnsi"/>
                <w:noProof/>
              </w:rPr>
              <w:t>§2 Jurisprudentie corresponderend met nummer in tabel</w:t>
            </w:r>
            <w:r w:rsidR="001F54B1">
              <w:rPr>
                <w:noProof/>
                <w:webHidden/>
              </w:rPr>
              <w:tab/>
            </w:r>
            <w:r w:rsidR="001F54B1">
              <w:rPr>
                <w:noProof/>
                <w:webHidden/>
              </w:rPr>
              <w:fldChar w:fldCharType="begin"/>
            </w:r>
            <w:r w:rsidR="001F54B1">
              <w:rPr>
                <w:noProof/>
                <w:webHidden/>
              </w:rPr>
              <w:instrText xml:space="preserve"> PAGEREF _Toc486246642 \h </w:instrText>
            </w:r>
            <w:r w:rsidR="001F54B1">
              <w:rPr>
                <w:noProof/>
                <w:webHidden/>
              </w:rPr>
            </w:r>
            <w:r w:rsidR="001F54B1">
              <w:rPr>
                <w:noProof/>
                <w:webHidden/>
              </w:rPr>
              <w:fldChar w:fldCharType="separate"/>
            </w:r>
            <w:r w:rsidR="00490CC7">
              <w:rPr>
                <w:noProof/>
                <w:webHidden/>
              </w:rPr>
              <w:t>69</w:t>
            </w:r>
            <w:r w:rsidR="001F54B1">
              <w:rPr>
                <w:noProof/>
                <w:webHidden/>
              </w:rPr>
              <w:fldChar w:fldCharType="end"/>
            </w:r>
          </w:hyperlink>
        </w:p>
        <w:p w:rsidR="001F54B1" w:rsidRDefault="001F54B1">
          <w:r>
            <w:fldChar w:fldCharType="end"/>
          </w:r>
        </w:p>
      </w:sdtContent>
    </w:sdt>
    <w:p w:rsidR="00CA68A0" w:rsidRDefault="00CA68A0">
      <w:pPr>
        <w:rPr>
          <w:b w:val="0"/>
          <w:sz w:val="20"/>
        </w:rPr>
        <w:sectPr w:rsidR="00CA68A0" w:rsidSect="00587569">
          <w:footerReference w:type="default" r:id="rId11"/>
          <w:pgSz w:w="11906" w:h="16838"/>
          <w:pgMar w:top="1417" w:right="1417" w:bottom="1417" w:left="1417" w:header="708" w:footer="708" w:gutter="0"/>
          <w:pgNumType w:start="0"/>
          <w:cols w:space="708"/>
          <w:titlePg/>
          <w:docGrid w:linePitch="360"/>
        </w:sectPr>
      </w:pPr>
    </w:p>
    <w:p w:rsidR="00E4236F" w:rsidRPr="00914D82" w:rsidRDefault="00E4236F" w:rsidP="00E4236F">
      <w:pPr>
        <w:pStyle w:val="Kop1"/>
        <w:rPr>
          <w:sz w:val="36"/>
        </w:rPr>
      </w:pPr>
      <w:bookmarkStart w:id="5" w:name="_Toc486246600"/>
      <w:r w:rsidRPr="00914D82">
        <w:rPr>
          <w:sz w:val="36"/>
        </w:rPr>
        <w:lastRenderedPageBreak/>
        <w:t>Afkortingen</w:t>
      </w:r>
      <w:bookmarkEnd w:id="5"/>
    </w:p>
    <w:p w:rsidR="00E4236F" w:rsidRDefault="00E4236F" w:rsidP="00E4236F">
      <w:pPr>
        <w:jc w:val="left"/>
        <w:rPr>
          <w:rFonts w:asciiTheme="majorHAnsi" w:eastAsiaTheme="majorEastAsia" w:hAnsiTheme="majorHAnsi" w:cstheme="majorBidi"/>
          <w:b w:val="0"/>
          <w:bCs w:val="0"/>
          <w:color w:val="365F91" w:themeColor="accent1" w:themeShade="BF"/>
          <w:sz w:val="20"/>
          <w:szCs w:val="28"/>
        </w:rPr>
      </w:pPr>
    </w:p>
    <w:p w:rsidR="00E4236F" w:rsidRPr="00A60794" w:rsidRDefault="00E4236F" w:rsidP="00E4236F">
      <w:pPr>
        <w:jc w:val="left"/>
        <w:rPr>
          <w:rFonts w:asciiTheme="minorHAnsi" w:eastAsiaTheme="majorEastAsia" w:hAnsiTheme="minorHAnsi" w:cstheme="minorHAnsi"/>
          <w:b w:val="0"/>
          <w:bCs w:val="0"/>
          <w:sz w:val="22"/>
          <w:szCs w:val="28"/>
        </w:rPr>
      </w:pPr>
      <w:r w:rsidRPr="00A60794">
        <w:rPr>
          <w:rFonts w:asciiTheme="minorHAnsi" w:eastAsiaTheme="majorEastAsia" w:hAnsiTheme="minorHAnsi" w:cstheme="minorHAnsi"/>
          <w:bCs w:val="0"/>
          <w:sz w:val="22"/>
          <w:szCs w:val="28"/>
        </w:rPr>
        <w:t xml:space="preserve">BW: </w:t>
      </w:r>
      <w:proofErr w:type="spellStart"/>
      <w:r w:rsidR="00FE25F3" w:rsidRPr="00A60794">
        <w:rPr>
          <w:rFonts w:asciiTheme="minorHAnsi" w:eastAsiaTheme="majorEastAsia" w:hAnsiTheme="minorHAnsi" w:cstheme="minorHAnsi"/>
          <w:b w:val="0"/>
          <w:bCs w:val="0"/>
          <w:sz w:val="22"/>
          <w:szCs w:val="28"/>
        </w:rPr>
        <w:t>Bugerlijk</w:t>
      </w:r>
      <w:proofErr w:type="spellEnd"/>
      <w:r w:rsidR="00FE25F3" w:rsidRPr="00A60794">
        <w:rPr>
          <w:rFonts w:asciiTheme="minorHAnsi" w:eastAsiaTheme="majorEastAsia" w:hAnsiTheme="minorHAnsi" w:cstheme="minorHAnsi"/>
          <w:b w:val="0"/>
          <w:bCs w:val="0"/>
          <w:sz w:val="22"/>
          <w:szCs w:val="28"/>
        </w:rPr>
        <w:t xml:space="preserve"> Wetboek</w:t>
      </w:r>
    </w:p>
    <w:p w:rsidR="00F97F60" w:rsidRPr="00A60794" w:rsidRDefault="00F97F60" w:rsidP="00E4236F">
      <w:pPr>
        <w:jc w:val="left"/>
        <w:rPr>
          <w:rFonts w:asciiTheme="minorHAnsi" w:eastAsiaTheme="majorEastAsia" w:hAnsiTheme="minorHAnsi" w:cstheme="minorHAnsi"/>
          <w:b w:val="0"/>
          <w:bCs w:val="0"/>
          <w:sz w:val="22"/>
          <w:szCs w:val="28"/>
        </w:rPr>
      </w:pPr>
    </w:p>
    <w:p w:rsidR="00E4236F" w:rsidRPr="00A60794" w:rsidRDefault="00E4236F" w:rsidP="00E4236F">
      <w:pPr>
        <w:jc w:val="left"/>
        <w:rPr>
          <w:rFonts w:asciiTheme="minorHAnsi" w:eastAsiaTheme="majorEastAsia" w:hAnsiTheme="minorHAnsi" w:cstheme="minorHAnsi"/>
          <w:b w:val="0"/>
          <w:bCs w:val="0"/>
          <w:sz w:val="22"/>
          <w:szCs w:val="28"/>
        </w:rPr>
      </w:pPr>
      <w:proofErr w:type="spellStart"/>
      <w:r w:rsidRPr="00A60794">
        <w:rPr>
          <w:rFonts w:asciiTheme="minorHAnsi" w:eastAsiaTheme="majorEastAsia" w:hAnsiTheme="minorHAnsi" w:cstheme="minorHAnsi"/>
          <w:bCs w:val="0"/>
          <w:sz w:val="22"/>
          <w:szCs w:val="28"/>
        </w:rPr>
        <w:t>Fw</w:t>
      </w:r>
      <w:proofErr w:type="spellEnd"/>
      <w:r w:rsidRPr="00A60794">
        <w:rPr>
          <w:rFonts w:asciiTheme="minorHAnsi" w:eastAsiaTheme="majorEastAsia" w:hAnsiTheme="minorHAnsi" w:cstheme="minorHAnsi"/>
          <w:bCs w:val="0"/>
          <w:sz w:val="22"/>
          <w:szCs w:val="28"/>
        </w:rPr>
        <w:t>:</w:t>
      </w:r>
      <w:r w:rsidR="00FE25F3" w:rsidRPr="00A60794">
        <w:rPr>
          <w:rFonts w:asciiTheme="minorHAnsi" w:eastAsiaTheme="majorEastAsia" w:hAnsiTheme="minorHAnsi" w:cstheme="minorHAnsi"/>
          <w:b w:val="0"/>
          <w:bCs w:val="0"/>
          <w:sz w:val="22"/>
          <w:szCs w:val="28"/>
        </w:rPr>
        <w:t xml:space="preserve"> Faillissementswet</w:t>
      </w:r>
    </w:p>
    <w:p w:rsidR="00F97F60" w:rsidRPr="00A60794" w:rsidRDefault="00F97F60" w:rsidP="00E4236F">
      <w:pPr>
        <w:jc w:val="left"/>
        <w:rPr>
          <w:rFonts w:asciiTheme="minorHAnsi" w:eastAsiaTheme="majorEastAsia" w:hAnsiTheme="minorHAnsi" w:cstheme="minorHAnsi"/>
          <w:b w:val="0"/>
          <w:bCs w:val="0"/>
          <w:sz w:val="22"/>
          <w:szCs w:val="28"/>
        </w:rPr>
      </w:pPr>
    </w:p>
    <w:p w:rsidR="00FE25F3" w:rsidRPr="00A60794" w:rsidRDefault="00FE25F3" w:rsidP="00FE25F3">
      <w:pPr>
        <w:jc w:val="left"/>
        <w:rPr>
          <w:rFonts w:asciiTheme="minorHAnsi" w:hAnsiTheme="minorHAnsi" w:cstheme="minorHAnsi"/>
          <w:b w:val="0"/>
          <w:sz w:val="22"/>
        </w:rPr>
      </w:pPr>
      <w:r w:rsidRPr="00A60794">
        <w:rPr>
          <w:rFonts w:asciiTheme="minorHAnsi" w:hAnsiTheme="minorHAnsi" w:cstheme="minorHAnsi"/>
          <w:sz w:val="22"/>
        </w:rPr>
        <w:t>DNB:</w:t>
      </w:r>
      <w:r w:rsidRPr="00A60794">
        <w:rPr>
          <w:rFonts w:asciiTheme="minorHAnsi" w:hAnsiTheme="minorHAnsi" w:cstheme="minorHAnsi"/>
          <w:b w:val="0"/>
          <w:sz w:val="22"/>
        </w:rPr>
        <w:t xml:space="preserve"> De Nederlandsche Bank</w:t>
      </w:r>
    </w:p>
    <w:p w:rsidR="00F97F60" w:rsidRPr="00A60794" w:rsidRDefault="00F97F60" w:rsidP="00FE25F3">
      <w:pPr>
        <w:jc w:val="left"/>
        <w:rPr>
          <w:rFonts w:asciiTheme="majorHAnsi" w:eastAsiaTheme="majorEastAsia" w:hAnsiTheme="majorHAnsi" w:cstheme="majorBidi"/>
          <w:b w:val="0"/>
          <w:bCs w:val="0"/>
          <w:color w:val="365F91" w:themeColor="accent1" w:themeShade="BF"/>
          <w:sz w:val="22"/>
          <w:szCs w:val="28"/>
        </w:rPr>
      </w:pPr>
    </w:p>
    <w:p w:rsidR="00E4236F" w:rsidRPr="00A60794" w:rsidRDefault="00FE25F3" w:rsidP="00E4236F">
      <w:pPr>
        <w:jc w:val="left"/>
        <w:rPr>
          <w:rFonts w:asciiTheme="majorHAnsi" w:eastAsiaTheme="majorEastAsia" w:hAnsiTheme="majorHAnsi" w:cstheme="majorBidi"/>
          <w:b w:val="0"/>
          <w:bCs w:val="0"/>
          <w:color w:val="365F91" w:themeColor="accent1" w:themeShade="BF"/>
          <w:sz w:val="22"/>
          <w:szCs w:val="28"/>
        </w:rPr>
      </w:pPr>
      <w:r w:rsidRPr="00A60794">
        <w:rPr>
          <w:rFonts w:asciiTheme="minorHAnsi" w:hAnsiTheme="minorHAnsi" w:cstheme="minorHAnsi"/>
          <w:sz w:val="22"/>
        </w:rPr>
        <w:t>RCDJ:</w:t>
      </w:r>
      <w:r w:rsidRPr="00A60794">
        <w:rPr>
          <w:rFonts w:asciiTheme="minorHAnsi" w:hAnsiTheme="minorHAnsi" w:cstheme="minorHAnsi"/>
          <w:b w:val="0"/>
          <w:sz w:val="22"/>
        </w:rPr>
        <w:t xml:space="preserve"> Roest </w:t>
      </w:r>
      <w:proofErr w:type="spellStart"/>
      <w:r w:rsidRPr="00A60794">
        <w:rPr>
          <w:rFonts w:asciiTheme="minorHAnsi" w:hAnsiTheme="minorHAnsi" w:cstheme="minorHAnsi"/>
          <w:b w:val="0"/>
          <w:sz w:val="22"/>
        </w:rPr>
        <w:t>Crollius</w:t>
      </w:r>
      <w:proofErr w:type="spellEnd"/>
      <w:r w:rsidRPr="00A60794">
        <w:rPr>
          <w:rFonts w:asciiTheme="minorHAnsi" w:hAnsiTheme="minorHAnsi" w:cstheme="minorHAnsi"/>
          <w:b w:val="0"/>
          <w:sz w:val="22"/>
        </w:rPr>
        <w:t xml:space="preserve"> De Jong advocaten</w:t>
      </w:r>
    </w:p>
    <w:p w:rsidR="00E4236F" w:rsidRDefault="00E4236F">
      <w:pPr>
        <w:rPr>
          <w:rFonts w:asciiTheme="majorHAnsi" w:eastAsiaTheme="majorEastAsia" w:hAnsiTheme="majorHAnsi" w:cstheme="majorBidi"/>
          <w:b w:val="0"/>
          <w:bCs w:val="0"/>
          <w:color w:val="365F91" w:themeColor="accent1" w:themeShade="BF"/>
          <w:sz w:val="28"/>
          <w:szCs w:val="28"/>
        </w:rPr>
      </w:pPr>
      <w:r>
        <w:br w:type="page"/>
      </w:r>
    </w:p>
    <w:p w:rsidR="0020126A" w:rsidRPr="00914D82" w:rsidRDefault="0020126A" w:rsidP="0020126A">
      <w:pPr>
        <w:pStyle w:val="Kop1"/>
        <w:rPr>
          <w:sz w:val="36"/>
        </w:rPr>
      </w:pPr>
      <w:bookmarkStart w:id="6" w:name="_Toc486246601"/>
      <w:r w:rsidRPr="00914D82">
        <w:rPr>
          <w:sz w:val="36"/>
        </w:rPr>
        <w:lastRenderedPageBreak/>
        <w:t>Begrippenlijst</w:t>
      </w:r>
      <w:bookmarkEnd w:id="6"/>
    </w:p>
    <w:p w:rsidR="0020126A" w:rsidRPr="00A60794" w:rsidRDefault="0020126A" w:rsidP="0020126A">
      <w:pPr>
        <w:jc w:val="left"/>
        <w:rPr>
          <w:b w:val="0"/>
          <w:sz w:val="22"/>
        </w:rPr>
      </w:pPr>
    </w:p>
    <w:p w:rsidR="00601D17" w:rsidRPr="00A60794" w:rsidRDefault="00601D17" w:rsidP="00601D17">
      <w:pPr>
        <w:jc w:val="left"/>
        <w:rPr>
          <w:rFonts w:asciiTheme="minorHAnsi" w:hAnsiTheme="minorHAnsi" w:cstheme="minorHAnsi"/>
          <w:b w:val="0"/>
          <w:sz w:val="22"/>
        </w:rPr>
      </w:pPr>
      <w:r w:rsidRPr="00A60794">
        <w:rPr>
          <w:rFonts w:asciiTheme="minorHAnsi" w:hAnsiTheme="minorHAnsi" w:cstheme="minorHAnsi"/>
          <w:sz w:val="22"/>
        </w:rPr>
        <w:t>Pinvordering</w:t>
      </w:r>
      <w:r w:rsidRPr="00A60794">
        <w:rPr>
          <w:rFonts w:asciiTheme="minorHAnsi" w:hAnsiTheme="minorHAnsi" w:cstheme="minorHAnsi"/>
          <w:b w:val="0"/>
          <w:sz w:val="22"/>
        </w:rPr>
        <w:t>: Een vordering die ontstaat tussen een winkel en de consument, en door de consument wordt voldaan door middel van een pintransactie.</w:t>
      </w:r>
    </w:p>
    <w:p w:rsidR="001B1FE6" w:rsidRPr="00A60794" w:rsidRDefault="001B1FE6" w:rsidP="00601D17">
      <w:pPr>
        <w:jc w:val="left"/>
        <w:rPr>
          <w:rFonts w:asciiTheme="minorHAnsi" w:hAnsiTheme="minorHAnsi" w:cstheme="minorHAnsi"/>
          <w:b w:val="0"/>
          <w:sz w:val="22"/>
        </w:rPr>
      </w:pPr>
    </w:p>
    <w:p w:rsidR="00601D17" w:rsidRPr="00A60794" w:rsidRDefault="00601D17" w:rsidP="00601D17">
      <w:pPr>
        <w:jc w:val="left"/>
        <w:rPr>
          <w:rFonts w:asciiTheme="minorHAnsi" w:eastAsia="Times New Roman" w:hAnsiTheme="minorHAnsi" w:cstheme="minorHAnsi"/>
          <w:b w:val="0"/>
          <w:bCs w:val="0"/>
          <w:color w:val="000000"/>
          <w:sz w:val="22"/>
          <w:szCs w:val="20"/>
          <w:lang w:eastAsia="nl-NL"/>
        </w:rPr>
      </w:pPr>
      <w:r w:rsidRPr="00A60794">
        <w:rPr>
          <w:rFonts w:asciiTheme="minorHAnsi" w:eastAsia="Times New Roman" w:hAnsiTheme="minorHAnsi" w:cstheme="minorHAnsi"/>
          <w:bCs w:val="0"/>
          <w:color w:val="000000"/>
          <w:sz w:val="22"/>
          <w:szCs w:val="20"/>
          <w:lang w:eastAsia="nl-NL"/>
        </w:rPr>
        <w:t>Rekening courant</w:t>
      </w:r>
      <w:r w:rsidRPr="00A60794">
        <w:rPr>
          <w:rFonts w:asciiTheme="minorHAnsi" w:eastAsia="Times New Roman" w:hAnsiTheme="minorHAnsi" w:cstheme="minorHAnsi"/>
          <w:b w:val="0"/>
          <w:bCs w:val="0"/>
          <w:color w:val="000000"/>
          <w:sz w:val="22"/>
          <w:szCs w:val="20"/>
          <w:lang w:eastAsia="nl-NL"/>
        </w:rPr>
        <w:t xml:space="preserve">: De rekening-courant is een soort </w:t>
      </w:r>
      <w:r w:rsidR="00FF41D0" w:rsidRPr="00A60794">
        <w:rPr>
          <w:rFonts w:asciiTheme="minorHAnsi" w:eastAsia="Times New Roman" w:hAnsiTheme="minorHAnsi" w:cstheme="minorHAnsi"/>
          <w:b w:val="0"/>
          <w:bCs w:val="0"/>
          <w:color w:val="000000"/>
          <w:sz w:val="22"/>
          <w:szCs w:val="20"/>
          <w:lang w:eastAsia="nl-NL"/>
        </w:rPr>
        <w:t>geld</w:t>
      </w:r>
      <w:r w:rsidRPr="00A60794">
        <w:rPr>
          <w:rFonts w:asciiTheme="minorHAnsi" w:eastAsia="Times New Roman" w:hAnsiTheme="minorHAnsi" w:cstheme="minorHAnsi"/>
          <w:b w:val="0"/>
          <w:bCs w:val="0"/>
          <w:color w:val="000000"/>
          <w:sz w:val="22"/>
          <w:szCs w:val="20"/>
          <w:lang w:eastAsia="nl-NL"/>
        </w:rPr>
        <w:t>lening</w:t>
      </w:r>
      <w:r w:rsidR="00FF41D0" w:rsidRPr="00A60794">
        <w:rPr>
          <w:rFonts w:asciiTheme="minorHAnsi" w:eastAsia="Times New Roman" w:hAnsiTheme="minorHAnsi" w:cstheme="minorHAnsi"/>
          <w:b w:val="0"/>
          <w:bCs w:val="0"/>
          <w:color w:val="000000"/>
          <w:sz w:val="22"/>
          <w:szCs w:val="20"/>
          <w:lang w:eastAsia="nl-NL"/>
        </w:rPr>
        <w:t xml:space="preserve"> die een winkel bij een bank </w:t>
      </w:r>
      <w:r w:rsidRPr="00A60794">
        <w:rPr>
          <w:rFonts w:asciiTheme="minorHAnsi" w:eastAsia="Times New Roman" w:hAnsiTheme="minorHAnsi" w:cstheme="minorHAnsi"/>
          <w:b w:val="0"/>
          <w:bCs w:val="0"/>
          <w:color w:val="000000"/>
          <w:sz w:val="22"/>
          <w:szCs w:val="20"/>
          <w:lang w:eastAsia="nl-NL"/>
        </w:rPr>
        <w:t>heeft. Echter, er wordt geen vast bedrag geleend, maar er worden kleine bedragen over en weer geboekt. De bedragen die op deze rekening worden gecrediteerd, worden doorlopend met elkaar verrekend</w:t>
      </w:r>
      <w:r w:rsidR="00FF41D0" w:rsidRPr="00A60794">
        <w:rPr>
          <w:rFonts w:asciiTheme="minorHAnsi" w:eastAsia="Times New Roman" w:hAnsiTheme="minorHAnsi" w:cstheme="minorHAnsi"/>
          <w:b w:val="0"/>
          <w:bCs w:val="0"/>
          <w:color w:val="000000"/>
          <w:sz w:val="22"/>
          <w:szCs w:val="20"/>
          <w:lang w:eastAsia="nl-NL"/>
        </w:rPr>
        <w:t>.</w:t>
      </w:r>
    </w:p>
    <w:p w:rsidR="001B1FE6" w:rsidRPr="00A60794" w:rsidRDefault="001B1FE6" w:rsidP="00601D17">
      <w:pPr>
        <w:jc w:val="left"/>
        <w:rPr>
          <w:rFonts w:asciiTheme="minorHAnsi" w:eastAsia="Times New Roman" w:hAnsiTheme="minorHAnsi" w:cstheme="minorHAnsi"/>
          <w:b w:val="0"/>
          <w:bCs w:val="0"/>
          <w:color w:val="000000"/>
          <w:sz w:val="22"/>
          <w:szCs w:val="20"/>
          <w:lang w:eastAsia="nl-NL"/>
        </w:rPr>
      </w:pPr>
    </w:p>
    <w:p w:rsidR="00601D17" w:rsidRPr="00A60794" w:rsidRDefault="00601D17" w:rsidP="00601D17">
      <w:pPr>
        <w:jc w:val="left"/>
        <w:rPr>
          <w:rFonts w:asciiTheme="minorHAnsi" w:hAnsiTheme="minorHAnsi" w:cstheme="minorHAnsi"/>
          <w:b w:val="0"/>
          <w:sz w:val="22"/>
        </w:rPr>
      </w:pPr>
      <w:r w:rsidRPr="00A60794">
        <w:rPr>
          <w:rFonts w:asciiTheme="minorHAnsi" w:hAnsiTheme="minorHAnsi" w:cstheme="minorHAnsi"/>
          <w:sz w:val="22"/>
        </w:rPr>
        <w:t>Pluraliteit</w:t>
      </w:r>
      <w:r w:rsidRPr="00A60794">
        <w:rPr>
          <w:rFonts w:asciiTheme="minorHAnsi" w:hAnsiTheme="minorHAnsi" w:cstheme="minorHAnsi"/>
          <w:b w:val="0"/>
          <w:sz w:val="22"/>
        </w:rPr>
        <w:t>: Meervoudigheid (van schuldeisers).</w:t>
      </w:r>
    </w:p>
    <w:p w:rsidR="001B1FE6" w:rsidRPr="00A60794" w:rsidRDefault="001B1FE6" w:rsidP="00601D17">
      <w:pPr>
        <w:jc w:val="left"/>
        <w:rPr>
          <w:rFonts w:asciiTheme="minorHAnsi" w:hAnsiTheme="minorHAnsi" w:cstheme="minorHAnsi"/>
          <w:b w:val="0"/>
          <w:sz w:val="22"/>
        </w:rPr>
      </w:pPr>
    </w:p>
    <w:p w:rsidR="00601D17" w:rsidRPr="00A60794" w:rsidRDefault="00601D17" w:rsidP="00601D17">
      <w:pPr>
        <w:jc w:val="left"/>
        <w:rPr>
          <w:rFonts w:asciiTheme="minorHAnsi" w:hAnsiTheme="minorHAnsi" w:cstheme="minorHAnsi"/>
          <w:b w:val="0"/>
          <w:sz w:val="22"/>
          <w:szCs w:val="28"/>
        </w:rPr>
      </w:pPr>
      <w:r w:rsidRPr="00A60794">
        <w:rPr>
          <w:rFonts w:asciiTheme="minorHAnsi" w:hAnsiTheme="minorHAnsi" w:cstheme="minorHAnsi"/>
          <w:sz w:val="22"/>
        </w:rPr>
        <w:t>Debetsaldo</w:t>
      </w:r>
      <w:r w:rsidRPr="00A60794">
        <w:rPr>
          <w:rFonts w:asciiTheme="minorHAnsi" w:hAnsiTheme="minorHAnsi" w:cstheme="minorHAnsi"/>
          <w:b w:val="0"/>
          <w:sz w:val="22"/>
        </w:rPr>
        <w:t>: Het bedrag dat nog verschuldigd is, ofwel de openstaande schuld.</w:t>
      </w:r>
    </w:p>
    <w:p w:rsidR="00601D17" w:rsidRPr="00A60794" w:rsidRDefault="00601D17" w:rsidP="0020126A">
      <w:pPr>
        <w:jc w:val="left"/>
        <w:rPr>
          <w:b w:val="0"/>
          <w:sz w:val="22"/>
        </w:rPr>
      </w:pPr>
    </w:p>
    <w:p w:rsidR="00936C6E" w:rsidRPr="00A60794" w:rsidRDefault="00936C6E" w:rsidP="0020126A">
      <w:pPr>
        <w:jc w:val="left"/>
        <w:rPr>
          <w:b w:val="0"/>
          <w:sz w:val="22"/>
        </w:rPr>
      </w:pPr>
      <w:r w:rsidRPr="00A60794">
        <w:rPr>
          <w:sz w:val="22"/>
        </w:rPr>
        <w:t>Pandgever</w:t>
      </w:r>
      <w:r w:rsidRPr="00A60794">
        <w:rPr>
          <w:b w:val="0"/>
          <w:sz w:val="22"/>
        </w:rPr>
        <w:t xml:space="preserve">: </w:t>
      </w:r>
      <w:r w:rsidR="0045052E" w:rsidRPr="00A60794">
        <w:rPr>
          <w:b w:val="0"/>
          <w:sz w:val="22"/>
        </w:rPr>
        <w:t>D</w:t>
      </w:r>
      <w:r w:rsidR="00834DAC" w:rsidRPr="00A60794">
        <w:rPr>
          <w:b w:val="0"/>
          <w:sz w:val="22"/>
        </w:rPr>
        <w:t>egene die het pandrecht verleent</w:t>
      </w:r>
      <w:r w:rsidR="0045052E" w:rsidRPr="00A60794">
        <w:rPr>
          <w:b w:val="0"/>
          <w:sz w:val="22"/>
        </w:rPr>
        <w:t>, de schuldenaar.</w:t>
      </w:r>
    </w:p>
    <w:p w:rsidR="008D0201" w:rsidRPr="00A60794" w:rsidRDefault="008D0201" w:rsidP="0020126A">
      <w:pPr>
        <w:jc w:val="left"/>
        <w:rPr>
          <w:b w:val="0"/>
          <w:sz w:val="22"/>
        </w:rPr>
      </w:pPr>
    </w:p>
    <w:p w:rsidR="008D0201" w:rsidRPr="00A60794" w:rsidRDefault="008D0201" w:rsidP="0020126A">
      <w:pPr>
        <w:jc w:val="left"/>
        <w:rPr>
          <w:b w:val="0"/>
          <w:sz w:val="22"/>
        </w:rPr>
      </w:pPr>
      <w:r w:rsidRPr="00A60794">
        <w:rPr>
          <w:sz w:val="22"/>
        </w:rPr>
        <w:t>Pandnemer/pandhouder</w:t>
      </w:r>
      <w:r w:rsidRPr="00A60794">
        <w:rPr>
          <w:b w:val="0"/>
          <w:sz w:val="22"/>
        </w:rPr>
        <w:t xml:space="preserve">: </w:t>
      </w:r>
      <w:r w:rsidR="0045052E" w:rsidRPr="00A60794">
        <w:rPr>
          <w:b w:val="0"/>
          <w:sz w:val="22"/>
        </w:rPr>
        <w:t>Degene die het pandrecht ontvangt, meestal de bank.</w:t>
      </w:r>
    </w:p>
    <w:p w:rsidR="0020126A" w:rsidRDefault="0020126A" w:rsidP="0020126A">
      <w:pPr>
        <w:jc w:val="left"/>
      </w:pPr>
    </w:p>
    <w:p w:rsidR="0020126A" w:rsidRDefault="0020126A" w:rsidP="0020126A">
      <w:pPr>
        <w:jc w:val="left"/>
      </w:pPr>
    </w:p>
    <w:p w:rsidR="0020126A" w:rsidRDefault="0020126A" w:rsidP="0020126A">
      <w:pPr>
        <w:jc w:val="left"/>
      </w:pPr>
    </w:p>
    <w:p w:rsidR="0020126A" w:rsidRDefault="0020126A" w:rsidP="0020126A">
      <w:pPr>
        <w:jc w:val="left"/>
        <w:rPr>
          <w:rFonts w:asciiTheme="majorHAnsi" w:eastAsiaTheme="majorEastAsia" w:hAnsiTheme="majorHAnsi" w:cstheme="majorBidi"/>
          <w:b w:val="0"/>
          <w:bCs w:val="0"/>
          <w:color w:val="365F91" w:themeColor="accent1" w:themeShade="BF"/>
          <w:sz w:val="28"/>
          <w:szCs w:val="28"/>
        </w:rPr>
      </w:pPr>
    </w:p>
    <w:p w:rsidR="0020126A" w:rsidRDefault="0020126A">
      <w:pPr>
        <w:rPr>
          <w:rFonts w:asciiTheme="majorHAnsi" w:eastAsiaTheme="majorEastAsia" w:hAnsiTheme="majorHAnsi" w:cstheme="majorBidi"/>
          <w:b w:val="0"/>
          <w:bCs w:val="0"/>
          <w:color w:val="365F91" w:themeColor="accent1" w:themeShade="BF"/>
          <w:sz w:val="28"/>
          <w:szCs w:val="28"/>
        </w:rPr>
      </w:pPr>
      <w:r>
        <w:br w:type="page"/>
      </w:r>
    </w:p>
    <w:p w:rsidR="006B3688" w:rsidRPr="00914D82" w:rsidRDefault="00AA7291" w:rsidP="000043FC">
      <w:pPr>
        <w:pStyle w:val="Kop1"/>
        <w:rPr>
          <w:sz w:val="36"/>
        </w:rPr>
      </w:pPr>
      <w:bookmarkStart w:id="7" w:name="_Toc486246602"/>
      <w:r w:rsidRPr="00914D82">
        <w:rPr>
          <w:sz w:val="36"/>
        </w:rPr>
        <w:lastRenderedPageBreak/>
        <w:t>Hoofdstuk 1</w:t>
      </w:r>
      <w:bookmarkEnd w:id="7"/>
    </w:p>
    <w:p w:rsidR="00AA7291" w:rsidRPr="00914D82" w:rsidRDefault="00AA7291" w:rsidP="00AA7291">
      <w:pPr>
        <w:pStyle w:val="Kop4"/>
        <w:rPr>
          <w:sz w:val="26"/>
          <w:szCs w:val="26"/>
        </w:rPr>
      </w:pPr>
      <w:r w:rsidRPr="00914D82">
        <w:rPr>
          <w:sz w:val="26"/>
          <w:szCs w:val="26"/>
        </w:rPr>
        <w:t>- Inleiding -</w:t>
      </w:r>
    </w:p>
    <w:p w:rsidR="00AA7291" w:rsidRDefault="00AA7291" w:rsidP="00426C98">
      <w:pPr>
        <w:jc w:val="left"/>
        <w:rPr>
          <w:rFonts w:asciiTheme="minorHAnsi" w:hAnsiTheme="minorHAnsi" w:cstheme="minorHAnsi"/>
          <w:b w:val="0"/>
          <w:sz w:val="20"/>
        </w:rPr>
      </w:pPr>
    </w:p>
    <w:p w:rsidR="00FA180F" w:rsidRPr="00570D50" w:rsidRDefault="00BC0AAF" w:rsidP="00570D50">
      <w:pPr>
        <w:pStyle w:val="Kop2"/>
        <w:spacing w:before="0" w:beforeAutospacing="0" w:after="0" w:afterAutospacing="0"/>
        <w:rPr>
          <w:rFonts w:asciiTheme="minorHAnsi" w:hAnsiTheme="minorHAnsi" w:cstheme="minorHAnsi"/>
          <w:sz w:val="24"/>
          <w:szCs w:val="24"/>
        </w:rPr>
      </w:pPr>
      <w:bookmarkStart w:id="8" w:name="_Toc486246603"/>
      <w:r w:rsidRPr="00570D50">
        <w:rPr>
          <w:rFonts w:asciiTheme="minorHAnsi" w:hAnsiTheme="minorHAnsi" w:cstheme="minorHAnsi"/>
          <w:sz w:val="24"/>
          <w:szCs w:val="24"/>
        </w:rPr>
        <w:t xml:space="preserve">§1 </w:t>
      </w:r>
      <w:r w:rsidR="00EB7FC5" w:rsidRPr="00570D50">
        <w:rPr>
          <w:rFonts w:asciiTheme="minorHAnsi" w:hAnsiTheme="minorHAnsi" w:cstheme="minorHAnsi"/>
          <w:sz w:val="24"/>
          <w:szCs w:val="24"/>
        </w:rPr>
        <w:t>Aanleiding en p</w:t>
      </w:r>
      <w:r w:rsidRPr="00570D50">
        <w:rPr>
          <w:rFonts w:asciiTheme="minorHAnsi" w:hAnsiTheme="minorHAnsi" w:cstheme="minorHAnsi"/>
          <w:sz w:val="24"/>
          <w:szCs w:val="24"/>
        </w:rPr>
        <w:t>robleemanalyse</w:t>
      </w:r>
      <w:bookmarkEnd w:id="8"/>
    </w:p>
    <w:p w:rsidR="00B51EA2" w:rsidRPr="00A60794" w:rsidRDefault="00B51EA2"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Roest </w:t>
      </w:r>
      <w:proofErr w:type="spellStart"/>
      <w:r w:rsidRPr="00A60794">
        <w:rPr>
          <w:rFonts w:asciiTheme="minorHAnsi" w:hAnsiTheme="minorHAnsi" w:cstheme="minorHAnsi"/>
          <w:b w:val="0"/>
          <w:sz w:val="22"/>
          <w:szCs w:val="22"/>
        </w:rPr>
        <w:t>Crollius</w:t>
      </w:r>
      <w:proofErr w:type="spellEnd"/>
      <w:r w:rsidRPr="00A60794">
        <w:rPr>
          <w:rFonts w:asciiTheme="minorHAnsi" w:hAnsiTheme="minorHAnsi" w:cstheme="minorHAnsi"/>
          <w:b w:val="0"/>
          <w:sz w:val="22"/>
          <w:szCs w:val="22"/>
        </w:rPr>
        <w:t xml:space="preserve"> De Jong advocaten (hierna: RCDJ) is </w:t>
      </w:r>
      <w:r w:rsidR="00A30F1C" w:rsidRPr="00A60794">
        <w:rPr>
          <w:rFonts w:asciiTheme="minorHAnsi" w:hAnsiTheme="minorHAnsi" w:cstheme="minorHAnsi"/>
          <w:b w:val="0"/>
          <w:sz w:val="22"/>
          <w:szCs w:val="22"/>
        </w:rPr>
        <w:t xml:space="preserve">een advocatenkantoor gevestigd in Woerden. RCDJ is </w:t>
      </w:r>
      <w:r w:rsidRPr="00A60794">
        <w:rPr>
          <w:rFonts w:asciiTheme="minorHAnsi" w:hAnsiTheme="minorHAnsi" w:cstheme="minorHAnsi"/>
          <w:b w:val="0"/>
          <w:sz w:val="22"/>
          <w:szCs w:val="22"/>
        </w:rPr>
        <w:t>gespecialiseerd in</w:t>
      </w:r>
      <w:r w:rsidR="00A30F1C" w:rsidRPr="00A60794">
        <w:rPr>
          <w:rFonts w:asciiTheme="minorHAnsi" w:hAnsiTheme="minorHAnsi" w:cstheme="minorHAnsi"/>
          <w:b w:val="0"/>
          <w:sz w:val="22"/>
          <w:szCs w:val="22"/>
        </w:rPr>
        <w:t xml:space="preserve"> personen- en familierecht, arbeidsrecht, strafrecht, ondernemingsrecht en in</w:t>
      </w:r>
      <w:r w:rsidRPr="00A60794">
        <w:rPr>
          <w:rFonts w:asciiTheme="minorHAnsi" w:hAnsiTheme="minorHAnsi" w:cstheme="minorHAnsi"/>
          <w:b w:val="0"/>
          <w:sz w:val="22"/>
          <w:szCs w:val="22"/>
        </w:rPr>
        <w:t xml:space="preserve"> het insolventierecht. Het insolventierecht wordt ook wel faillissementsrecht genoemd. Een veelvoorkomend probleem waar RCDJ tegenaan loopt zit in het adviseren in faillissementszaken van banken. Het gaat dan niet om de situatie waarin een bank failliet gaat, maar om de situatie waarin een schuldenaar van de bank failliet gaat. Het probleem zit hem in de specifieke situatie waarbij een winkel een rekening courant heeft bij een bank en de bank daartegenover een pandrecht</w:t>
      </w:r>
      <w:r w:rsidR="0041717F" w:rsidRPr="00A60794">
        <w:rPr>
          <w:rFonts w:asciiTheme="minorHAnsi" w:hAnsiTheme="minorHAnsi" w:cstheme="minorHAnsi"/>
          <w:b w:val="0"/>
          <w:sz w:val="22"/>
          <w:szCs w:val="22"/>
        </w:rPr>
        <w:t>,</w:t>
      </w:r>
      <w:r w:rsidRPr="00A60794">
        <w:rPr>
          <w:rFonts w:asciiTheme="minorHAnsi" w:hAnsiTheme="minorHAnsi" w:cstheme="minorHAnsi"/>
          <w:b w:val="0"/>
          <w:sz w:val="22"/>
          <w:szCs w:val="22"/>
        </w:rPr>
        <w:t xml:space="preserve"> op de vordering van een winkel op zijn klanten</w:t>
      </w:r>
      <w:r w:rsidR="0041717F" w:rsidRPr="00A60794">
        <w:rPr>
          <w:rFonts w:asciiTheme="minorHAnsi" w:hAnsiTheme="minorHAnsi" w:cstheme="minorHAnsi"/>
          <w:b w:val="0"/>
          <w:sz w:val="22"/>
          <w:szCs w:val="22"/>
        </w:rPr>
        <w:t>,</w:t>
      </w:r>
      <w:r w:rsidRPr="00A60794">
        <w:rPr>
          <w:rFonts w:asciiTheme="minorHAnsi" w:hAnsiTheme="minorHAnsi" w:cstheme="minorHAnsi"/>
          <w:b w:val="0"/>
          <w:sz w:val="22"/>
          <w:szCs w:val="22"/>
        </w:rPr>
        <w:t xml:space="preserve"> vestigt. Dit houdt kortgezegd in dat: Een winkel verkoopt een paar schoenen aan klant X, hierdoor ontstaat vordering Y van de winkel op klant X, de bank </w:t>
      </w:r>
      <w:r w:rsidR="00DB5F81" w:rsidRPr="00A60794">
        <w:rPr>
          <w:rFonts w:asciiTheme="minorHAnsi" w:hAnsiTheme="minorHAnsi" w:cstheme="minorHAnsi"/>
          <w:b w:val="0"/>
          <w:sz w:val="22"/>
          <w:szCs w:val="22"/>
        </w:rPr>
        <w:t>vestigt</w:t>
      </w:r>
      <w:r w:rsidRPr="00A60794">
        <w:rPr>
          <w:rFonts w:asciiTheme="minorHAnsi" w:hAnsiTheme="minorHAnsi" w:cstheme="minorHAnsi"/>
          <w:b w:val="0"/>
          <w:sz w:val="22"/>
          <w:szCs w:val="22"/>
        </w:rPr>
        <w:t xml:space="preserve"> een pandrecht op vordering Y. </w:t>
      </w:r>
      <w:r w:rsidR="00E1325E" w:rsidRPr="00A60794">
        <w:rPr>
          <w:rFonts w:asciiTheme="minorHAnsi" w:hAnsiTheme="minorHAnsi" w:cstheme="minorHAnsi"/>
          <w:b w:val="0"/>
          <w:sz w:val="22"/>
          <w:szCs w:val="22"/>
        </w:rPr>
        <w:t xml:space="preserve">Het pandrecht dat de bank vestigt is een stil pandrecht dat door middel van een verzamelpandakte wordt </w:t>
      </w:r>
      <w:r w:rsidR="00DB43EE" w:rsidRPr="00A60794">
        <w:rPr>
          <w:rFonts w:asciiTheme="minorHAnsi" w:hAnsiTheme="minorHAnsi" w:cstheme="minorHAnsi"/>
          <w:b w:val="0"/>
          <w:sz w:val="22"/>
          <w:szCs w:val="22"/>
        </w:rPr>
        <w:t>gevestigd</w:t>
      </w:r>
      <w:r w:rsidR="00E1325E" w:rsidRPr="00A60794">
        <w:rPr>
          <w:rFonts w:asciiTheme="minorHAnsi" w:hAnsiTheme="minorHAnsi" w:cstheme="minorHAnsi"/>
          <w:b w:val="0"/>
          <w:sz w:val="22"/>
          <w:szCs w:val="22"/>
        </w:rPr>
        <w:t>.</w:t>
      </w:r>
      <w:r w:rsidR="000C0D08" w:rsidRPr="00A60794">
        <w:rPr>
          <w:rFonts w:asciiTheme="minorHAnsi" w:hAnsiTheme="minorHAnsi" w:cstheme="minorHAnsi"/>
          <w:b w:val="0"/>
          <w:sz w:val="22"/>
          <w:szCs w:val="22"/>
        </w:rPr>
        <w:t xml:space="preserve"> </w:t>
      </w:r>
      <w:r w:rsidR="00E259BB" w:rsidRPr="00A60794">
        <w:rPr>
          <w:rFonts w:asciiTheme="minorHAnsi" w:hAnsiTheme="minorHAnsi" w:cstheme="minorHAnsi"/>
          <w:b w:val="0"/>
          <w:sz w:val="22"/>
          <w:szCs w:val="22"/>
        </w:rPr>
        <w:t>Zie hieronder een schematisch overzicht van de situatie:</w:t>
      </w:r>
    </w:p>
    <w:p w:rsidR="00E259BB" w:rsidRPr="00A60794" w:rsidRDefault="00E259BB" w:rsidP="00426C98">
      <w:pPr>
        <w:jc w:val="left"/>
        <w:rPr>
          <w:rFonts w:asciiTheme="minorHAnsi" w:hAnsiTheme="minorHAnsi" w:cstheme="minorHAnsi"/>
          <w:b w:val="0"/>
          <w:sz w:val="22"/>
          <w:szCs w:val="22"/>
        </w:rPr>
      </w:pPr>
    </w:p>
    <w:p w:rsidR="00E259BB" w:rsidRPr="00A60794" w:rsidRDefault="004257A8" w:rsidP="00DB558E">
      <w:pPr>
        <w:rPr>
          <w:rFonts w:asciiTheme="minorHAnsi" w:hAnsiTheme="minorHAnsi" w:cstheme="minorHAnsi"/>
          <w:b w:val="0"/>
          <w:sz w:val="22"/>
          <w:szCs w:val="22"/>
        </w:rPr>
      </w:pPr>
      <w:r w:rsidRPr="00A60794">
        <w:rPr>
          <w:rFonts w:asciiTheme="minorHAnsi" w:hAnsiTheme="minorHAnsi" w:cstheme="minorHAnsi"/>
          <w:b w:val="0"/>
          <w:noProof/>
          <w:sz w:val="22"/>
          <w:szCs w:val="22"/>
          <w:lang w:eastAsia="nl-NL"/>
        </w:rPr>
        <w:drawing>
          <wp:inline distT="0" distB="0" distL="0" distR="0" wp14:anchorId="241C00F1" wp14:editId="615CD43F">
            <wp:extent cx="5339715" cy="26739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9715" cy="2673985"/>
                    </a:xfrm>
                    <a:prstGeom prst="rect">
                      <a:avLst/>
                    </a:prstGeom>
                    <a:noFill/>
                    <a:ln>
                      <a:noFill/>
                    </a:ln>
                  </pic:spPr>
                </pic:pic>
              </a:graphicData>
            </a:graphic>
          </wp:inline>
        </w:drawing>
      </w:r>
    </w:p>
    <w:p w:rsidR="00B51EA2" w:rsidRPr="00A60794" w:rsidRDefault="00230888" w:rsidP="00230888">
      <w:pPr>
        <w:jc w:val="right"/>
        <w:rPr>
          <w:rFonts w:asciiTheme="minorHAnsi" w:hAnsiTheme="minorHAnsi" w:cstheme="minorHAnsi"/>
          <w:b w:val="0"/>
          <w:i/>
          <w:sz w:val="22"/>
          <w:szCs w:val="22"/>
        </w:rPr>
      </w:pPr>
      <w:r w:rsidRPr="00A60794">
        <w:rPr>
          <w:rFonts w:asciiTheme="minorHAnsi" w:hAnsiTheme="minorHAnsi" w:cstheme="minorHAnsi"/>
          <w:b w:val="0"/>
          <w:i/>
          <w:sz w:val="22"/>
          <w:szCs w:val="22"/>
        </w:rPr>
        <w:t>Afbeelding 1</w:t>
      </w:r>
    </w:p>
    <w:p w:rsidR="00230888" w:rsidRPr="00A60794" w:rsidRDefault="00230888" w:rsidP="00426C98">
      <w:pPr>
        <w:jc w:val="left"/>
        <w:rPr>
          <w:rFonts w:asciiTheme="minorHAnsi" w:hAnsiTheme="minorHAnsi" w:cstheme="minorHAnsi"/>
          <w:b w:val="0"/>
          <w:sz w:val="22"/>
          <w:szCs w:val="22"/>
        </w:rPr>
      </w:pPr>
    </w:p>
    <w:p w:rsidR="00B51EA2" w:rsidRPr="00A60794" w:rsidRDefault="00B51EA2"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Nu </w:t>
      </w:r>
      <w:r w:rsidR="00606F54" w:rsidRPr="00A60794">
        <w:rPr>
          <w:rFonts w:asciiTheme="minorHAnsi" w:hAnsiTheme="minorHAnsi" w:cstheme="minorHAnsi"/>
          <w:b w:val="0"/>
          <w:sz w:val="22"/>
          <w:szCs w:val="22"/>
        </w:rPr>
        <w:t>doet zich het volgende voor, e</w:t>
      </w:r>
      <w:r w:rsidRPr="00A60794">
        <w:rPr>
          <w:rFonts w:asciiTheme="minorHAnsi" w:hAnsiTheme="minorHAnsi" w:cstheme="minorHAnsi"/>
          <w:b w:val="0"/>
          <w:sz w:val="22"/>
          <w:szCs w:val="22"/>
        </w:rPr>
        <w:t xml:space="preserve">en keten </w:t>
      </w:r>
      <w:r w:rsidR="003971A8" w:rsidRPr="00A60794">
        <w:rPr>
          <w:rFonts w:asciiTheme="minorHAnsi" w:hAnsiTheme="minorHAnsi" w:cstheme="minorHAnsi"/>
          <w:b w:val="0"/>
          <w:sz w:val="22"/>
          <w:szCs w:val="22"/>
        </w:rPr>
        <w:t>schoenen</w:t>
      </w:r>
      <w:r w:rsidRPr="00A60794">
        <w:rPr>
          <w:rFonts w:asciiTheme="minorHAnsi" w:hAnsiTheme="minorHAnsi" w:cstheme="minorHAnsi"/>
          <w:b w:val="0"/>
          <w:sz w:val="22"/>
          <w:szCs w:val="22"/>
        </w:rPr>
        <w:t>winkels</w:t>
      </w:r>
      <w:r w:rsidR="00372DB3" w:rsidRPr="00A60794">
        <w:rPr>
          <w:rFonts w:asciiTheme="minorHAnsi" w:hAnsiTheme="minorHAnsi" w:cstheme="minorHAnsi"/>
          <w:b w:val="0"/>
          <w:sz w:val="22"/>
          <w:szCs w:val="22"/>
        </w:rPr>
        <w:t xml:space="preserve">, bestaande uit vijf </w:t>
      </w:r>
      <w:proofErr w:type="spellStart"/>
      <w:r w:rsidR="00372DB3" w:rsidRPr="00A60794">
        <w:rPr>
          <w:rFonts w:asciiTheme="minorHAnsi" w:hAnsiTheme="minorHAnsi" w:cstheme="minorHAnsi"/>
          <w:b w:val="0"/>
          <w:sz w:val="22"/>
          <w:szCs w:val="22"/>
        </w:rPr>
        <w:t>B.V.’s</w:t>
      </w:r>
      <w:proofErr w:type="spellEnd"/>
      <w:r w:rsidR="00372DB3" w:rsidRPr="00A60794">
        <w:rPr>
          <w:rFonts w:asciiTheme="minorHAnsi" w:hAnsiTheme="minorHAnsi" w:cstheme="minorHAnsi"/>
          <w:b w:val="0"/>
          <w:sz w:val="22"/>
          <w:szCs w:val="22"/>
        </w:rPr>
        <w:t>,</w:t>
      </w:r>
      <w:r w:rsidRPr="00A60794">
        <w:rPr>
          <w:rFonts w:asciiTheme="minorHAnsi" w:hAnsiTheme="minorHAnsi" w:cstheme="minorHAnsi"/>
          <w:b w:val="0"/>
          <w:sz w:val="22"/>
          <w:szCs w:val="22"/>
        </w:rPr>
        <w:t xml:space="preserve"> besluit op een vrijdag om het faillissement aan te vragen. Men stelt de </w:t>
      </w:r>
      <w:r w:rsidR="00DA0C1E" w:rsidRPr="00A60794">
        <w:rPr>
          <w:rFonts w:asciiTheme="minorHAnsi" w:hAnsiTheme="minorHAnsi" w:cstheme="minorHAnsi"/>
          <w:b w:val="0"/>
          <w:sz w:val="22"/>
          <w:szCs w:val="22"/>
        </w:rPr>
        <w:t>Rabo</w:t>
      </w:r>
      <w:r w:rsidRPr="00A60794">
        <w:rPr>
          <w:rFonts w:asciiTheme="minorHAnsi" w:hAnsiTheme="minorHAnsi" w:cstheme="minorHAnsi"/>
          <w:b w:val="0"/>
          <w:sz w:val="22"/>
          <w:szCs w:val="22"/>
        </w:rPr>
        <w:t>bank, die onder meer een pandrecht heeft op de debiteuren (klanten) van de winkelketen, daarvan in kennis en die neemt deze mededeling voor kennisgeving aan. De eigen aangifte tot faillietverklaring wordt op diezelfde vrijdag ingediend bij de Rechtbank.</w:t>
      </w:r>
      <w:r w:rsidR="00DA0C1E" w:rsidRPr="00A60794">
        <w:rPr>
          <w:rFonts w:asciiTheme="minorHAnsi" w:hAnsiTheme="minorHAnsi" w:cstheme="minorHAnsi"/>
          <w:b w:val="0"/>
          <w:sz w:val="22"/>
          <w:szCs w:val="22"/>
        </w:rPr>
        <w:t xml:space="preserve"> De Rabobank is dus op de hoogte van het naderende faillissement.</w:t>
      </w:r>
    </w:p>
    <w:p w:rsidR="00B51EA2" w:rsidRPr="00A60794" w:rsidRDefault="00B51EA2" w:rsidP="00426C98">
      <w:pPr>
        <w:jc w:val="left"/>
        <w:rPr>
          <w:rFonts w:asciiTheme="minorHAnsi" w:hAnsiTheme="minorHAnsi" w:cstheme="minorHAnsi"/>
          <w:b w:val="0"/>
          <w:sz w:val="22"/>
          <w:szCs w:val="22"/>
        </w:rPr>
      </w:pPr>
    </w:p>
    <w:p w:rsidR="00B51EA2" w:rsidRPr="00A60794" w:rsidRDefault="00B51EA2"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De winkels blijven open en de verkopen gaan door. Op de dinsdag, volgend op de vrijdag waarop het verzoek is ingediend, wordt het faillissement uitgesproken. Er wordt een curator aangesteld en op donderdag gaan alle winkels op slot en worden de verkopen gestaakt.</w:t>
      </w:r>
      <w:r w:rsidR="009A5233" w:rsidRPr="00A60794">
        <w:rPr>
          <w:rFonts w:asciiTheme="minorHAnsi" w:hAnsiTheme="minorHAnsi" w:cstheme="minorHAnsi"/>
          <w:b w:val="0"/>
          <w:sz w:val="22"/>
          <w:szCs w:val="22"/>
        </w:rPr>
        <w:t xml:space="preserve"> In deze periode is de Rabobank nieuwe pandrechten</w:t>
      </w:r>
      <w:r w:rsidR="009028FD" w:rsidRPr="00A60794">
        <w:rPr>
          <w:rFonts w:asciiTheme="minorHAnsi" w:hAnsiTheme="minorHAnsi" w:cstheme="minorHAnsi"/>
          <w:b w:val="0"/>
          <w:sz w:val="22"/>
          <w:szCs w:val="22"/>
        </w:rPr>
        <w:t xml:space="preserve"> blijven vestigen en heeft zij de inkomsten verrekend met de lopende rekening courant.</w:t>
      </w:r>
    </w:p>
    <w:p w:rsidR="00B51EA2" w:rsidRPr="00A60794" w:rsidRDefault="00B51EA2" w:rsidP="00426C98">
      <w:pPr>
        <w:jc w:val="left"/>
        <w:rPr>
          <w:rFonts w:asciiTheme="minorHAnsi" w:hAnsiTheme="minorHAnsi" w:cstheme="minorHAnsi"/>
          <w:b w:val="0"/>
          <w:sz w:val="22"/>
          <w:szCs w:val="22"/>
        </w:rPr>
      </w:pPr>
    </w:p>
    <w:p w:rsidR="00B51EA2" w:rsidRPr="00A60794" w:rsidRDefault="00B51EA2"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De vraag is aan wie de opbrengst van de verkopen in de periode vanaf vrijdag tot en met woensdag toekomt. De bank stelt dat deze aan haar toekomt met een beroep op o.a. Mulder q.q./CLBN onder verwijzing naar haar </w:t>
      </w:r>
      <w:r w:rsidR="00891427" w:rsidRPr="00A60794">
        <w:rPr>
          <w:rFonts w:asciiTheme="minorHAnsi" w:hAnsiTheme="minorHAnsi" w:cstheme="minorHAnsi"/>
          <w:b w:val="0"/>
          <w:sz w:val="22"/>
          <w:szCs w:val="22"/>
        </w:rPr>
        <w:t xml:space="preserve">stil </w:t>
      </w:r>
      <w:r w:rsidRPr="00A60794">
        <w:rPr>
          <w:rFonts w:asciiTheme="minorHAnsi" w:hAnsiTheme="minorHAnsi" w:cstheme="minorHAnsi"/>
          <w:b w:val="0"/>
          <w:sz w:val="22"/>
          <w:szCs w:val="22"/>
        </w:rPr>
        <w:t xml:space="preserve">pandrecht. Dit arrest zegt: Een bank die behalve financieel dienstverlener tevens pandhouder is/was, ook betalingen </w:t>
      </w:r>
      <w:r w:rsidR="00C3640C" w:rsidRPr="00A60794">
        <w:rPr>
          <w:rFonts w:asciiTheme="minorHAnsi" w:hAnsiTheme="minorHAnsi" w:cstheme="minorHAnsi"/>
          <w:b w:val="0"/>
          <w:sz w:val="22"/>
          <w:szCs w:val="22"/>
        </w:rPr>
        <w:t xml:space="preserve">mag </w:t>
      </w:r>
      <w:r w:rsidRPr="00A60794">
        <w:rPr>
          <w:rFonts w:asciiTheme="minorHAnsi" w:hAnsiTheme="minorHAnsi" w:cstheme="minorHAnsi"/>
          <w:b w:val="0"/>
          <w:sz w:val="22"/>
          <w:szCs w:val="22"/>
        </w:rPr>
        <w:t xml:space="preserve">verrekenen die gedaan zijn rond een faillissement, </w:t>
      </w:r>
      <w:r w:rsidRPr="00A60794">
        <w:rPr>
          <w:rFonts w:asciiTheme="minorHAnsi" w:hAnsiTheme="minorHAnsi" w:cstheme="minorHAnsi"/>
          <w:b w:val="0"/>
          <w:sz w:val="22"/>
          <w:szCs w:val="22"/>
        </w:rPr>
        <w:lastRenderedPageBreak/>
        <w:t>ook wanneer deze betalingen hebben plaatsgevonden voordat de bank aan debiteuren zijn pandrecht heeft meegedeeld.</w:t>
      </w:r>
      <w:r w:rsidR="00F725EF" w:rsidRPr="00A60794">
        <w:rPr>
          <w:rStyle w:val="Voetnootmarkering"/>
          <w:rFonts w:asciiTheme="minorHAnsi" w:hAnsiTheme="minorHAnsi" w:cstheme="minorHAnsi"/>
          <w:b w:val="0"/>
          <w:sz w:val="22"/>
          <w:szCs w:val="22"/>
        </w:rPr>
        <w:footnoteReference w:id="1"/>
      </w:r>
      <w:r w:rsidR="00F725EF" w:rsidRPr="00A60794">
        <w:rPr>
          <w:rFonts w:asciiTheme="minorHAnsi" w:hAnsiTheme="minorHAnsi" w:cstheme="minorHAnsi"/>
          <w:b w:val="0"/>
          <w:sz w:val="22"/>
          <w:szCs w:val="22"/>
        </w:rPr>
        <w:t xml:space="preserve"> </w:t>
      </w:r>
      <w:r w:rsidR="00F725EF" w:rsidRPr="00A60794">
        <w:rPr>
          <w:rStyle w:val="Voetnootmarkering"/>
          <w:rFonts w:asciiTheme="minorHAnsi" w:hAnsiTheme="minorHAnsi" w:cstheme="minorHAnsi"/>
          <w:b w:val="0"/>
          <w:sz w:val="22"/>
          <w:szCs w:val="22"/>
        </w:rPr>
        <w:footnoteReference w:id="2"/>
      </w:r>
      <w:r w:rsidRPr="00A60794">
        <w:rPr>
          <w:rFonts w:asciiTheme="minorHAnsi" w:hAnsiTheme="minorHAnsi" w:cstheme="minorHAnsi"/>
          <w:b w:val="0"/>
          <w:sz w:val="22"/>
          <w:szCs w:val="22"/>
        </w:rPr>
        <w:t xml:space="preserve">   </w:t>
      </w:r>
    </w:p>
    <w:p w:rsidR="00DB558E" w:rsidRPr="00A60794" w:rsidRDefault="00DB558E" w:rsidP="00426C98">
      <w:pPr>
        <w:jc w:val="left"/>
        <w:rPr>
          <w:rFonts w:asciiTheme="minorHAnsi" w:hAnsiTheme="minorHAnsi" w:cstheme="minorHAnsi"/>
          <w:b w:val="0"/>
          <w:sz w:val="22"/>
          <w:szCs w:val="22"/>
        </w:rPr>
      </w:pPr>
    </w:p>
    <w:p w:rsidR="00DB558E" w:rsidRPr="00A60794" w:rsidRDefault="00DB558E"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De Rabobank klopt aan bij RCDJ advocaten om advies in te winnen over bovengenoemde situatie. </w:t>
      </w:r>
      <w:r w:rsidR="00A00BD7" w:rsidRPr="00A60794">
        <w:rPr>
          <w:rFonts w:asciiTheme="minorHAnsi" w:hAnsiTheme="minorHAnsi" w:cstheme="minorHAnsi"/>
          <w:b w:val="0"/>
          <w:sz w:val="22"/>
          <w:szCs w:val="22"/>
        </w:rPr>
        <w:t xml:space="preserve">De Rabobank wil de verpande vorderingen verrekenen met haar rekening courant. Zij vraagt zich echter af welke gelden haar toekomen, in haar opzicht met een beroep op het arrest Mulder q.q./CLBN komt het geld vanaf de faillissementsaanvraag tot de faillietverklaring haar toe. </w:t>
      </w:r>
      <w:r w:rsidR="007E2E88" w:rsidRPr="00A60794">
        <w:rPr>
          <w:rFonts w:asciiTheme="minorHAnsi" w:hAnsiTheme="minorHAnsi" w:cstheme="minorHAnsi"/>
          <w:b w:val="0"/>
          <w:sz w:val="22"/>
          <w:szCs w:val="22"/>
        </w:rPr>
        <w:t>RCDJ advocaten wil de Rabobank een inhoudelijk advies geven over de situatie, maar dient een groot aantal vraagstukken te beantwoorden alvorens de vraag van Rabobank kan worden beantwoord.</w:t>
      </w:r>
    </w:p>
    <w:p w:rsidR="00B51EA2" w:rsidRPr="00A60794" w:rsidRDefault="00B51EA2" w:rsidP="00426C98">
      <w:pPr>
        <w:jc w:val="left"/>
        <w:rPr>
          <w:rFonts w:asciiTheme="minorHAnsi" w:hAnsiTheme="minorHAnsi" w:cstheme="minorHAnsi"/>
          <w:b w:val="0"/>
          <w:sz w:val="22"/>
          <w:szCs w:val="22"/>
        </w:rPr>
      </w:pPr>
    </w:p>
    <w:p w:rsidR="00B51EA2" w:rsidRPr="00A60794" w:rsidRDefault="009A5233"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Eén van de vragen</w:t>
      </w:r>
      <w:r w:rsidR="00B51EA2" w:rsidRPr="00A60794">
        <w:rPr>
          <w:rFonts w:asciiTheme="minorHAnsi" w:hAnsiTheme="minorHAnsi" w:cstheme="minorHAnsi"/>
          <w:b w:val="0"/>
          <w:sz w:val="22"/>
          <w:szCs w:val="22"/>
        </w:rPr>
        <w:t xml:space="preserve"> is </w:t>
      </w:r>
      <w:r w:rsidR="007E2E88" w:rsidRPr="00A60794">
        <w:rPr>
          <w:rFonts w:asciiTheme="minorHAnsi" w:hAnsiTheme="minorHAnsi" w:cstheme="minorHAnsi"/>
          <w:b w:val="0"/>
          <w:sz w:val="22"/>
          <w:szCs w:val="22"/>
        </w:rPr>
        <w:t xml:space="preserve">namelijk </w:t>
      </w:r>
      <w:r w:rsidR="00B51EA2" w:rsidRPr="00A60794">
        <w:rPr>
          <w:rFonts w:asciiTheme="minorHAnsi" w:hAnsiTheme="minorHAnsi" w:cstheme="minorHAnsi"/>
          <w:b w:val="0"/>
          <w:sz w:val="22"/>
          <w:szCs w:val="22"/>
        </w:rPr>
        <w:t>of er wel een pandrecht is ontstaan. Het gaat immers om transacties (pinbetalingen) die binnen enkele minuten worden afgewikkeld en er moet van uit worden gegaan dat de bank binnen dat tijdsbestek geen pandrecht heeft kunnen vestigen. Het pandrecht ligt namelijk op de vordering die de winkel op zijn klant heeft (bijv. een openstaand bedrag voor een verkocht kledingstuk), indien die vordering wordt voldaan door betaling vervalt het pandrecht.</w:t>
      </w:r>
      <w:r w:rsidR="00350AD8" w:rsidRPr="00A60794">
        <w:rPr>
          <w:rStyle w:val="Voetnootmarkering"/>
          <w:rFonts w:asciiTheme="minorHAnsi" w:hAnsiTheme="minorHAnsi" w:cstheme="minorHAnsi"/>
          <w:b w:val="0"/>
          <w:sz w:val="22"/>
          <w:szCs w:val="22"/>
        </w:rPr>
        <w:footnoteReference w:id="3"/>
      </w:r>
      <w:r w:rsidR="00B51EA2" w:rsidRPr="00A60794">
        <w:rPr>
          <w:rFonts w:asciiTheme="minorHAnsi" w:hAnsiTheme="minorHAnsi" w:cstheme="minorHAnsi"/>
          <w:b w:val="0"/>
          <w:sz w:val="22"/>
          <w:szCs w:val="22"/>
        </w:rPr>
        <w:t xml:space="preserve"> </w:t>
      </w:r>
    </w:p>
    <w:p w:rsidR="00B51EA2" w:rsidRPr="00A60794" w:rsidRDefault="00B51EA2" w:rsidP="00426C98">
      <w:pPr>
        <w:jc w:val="left"/>
        <w:rPr>
          <w:rFonts w:asciiTheme="minorHAnsi" w:hAnsiTheme="minorHAnsi" w:cstheme="minorHAnsi"/>
          <w:b w:val="0"/>
          <w:sz w:val="22"/>
          <w:szCs w:val="22"/>
        </w:rPr>
      </w:pPr>
    </w:p>
    <w:p w:rsidR="00B51EA2" w:rsidRPr="00A60794" w:rsidRDefault="00B51EA2"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Daarnaast is de vraag of de bank, vanaf het moment dat zij weet van het naderende faillissement nog wel </w:t>
      </w:r>
      <w:r w:rsidR="009A5233" w:rsidRPr="00A60794">
        <w:rPr>
          <w:rFonts w:asciiTheme="minorHAnsi" w:hAnsiTheme="minorHAnsi" w:cstheme="minorHAnsi"/>
          <w:b w:val="0"/>
          <w:sz w:val="22"/>
          <w:szCs w:val="22"/>
        </w:rPr>
        <w:t xml:space="preserve">nieuwe stille pandrechten mocht vestigen en op basis van deze pandrechten </w:t>
      </w:r>
      <w:r w:rsidRPr="00A60794">
        <w:rPr>
          <w:rFonts w:asciiTheme="minorHAnsi" w:hAnsiTheme="minorHAnsi" w:cstheme="minorHAnsi"/>
          <w:b w:val="0"/>
          <w:sz w:val="22"/>
          <w:szCs w:val="22"/>
        </w:rPr>
        <w:t>mocht verrekenen op</w:t>
      </w:r>
      <w:r w:rsidR="00EE4FB4" w:rsidRPr="00A60794">
        <w:rPr>
          <w:rFonts w:asciiTheme="minorHAnsi" w:hAnsiTheme="minorHAnsi" w:cstheme="minorHAnsi"/>
          <w:b w:val="0"/>
          <w:sz w:val="22"/>
          <w:szCs w:val="22"/>
        </w:rPr>
        <w:t xml:space="preserve"> grond van</w:t>
      </w:r>
      <w:r w:rsidR="00D9150C" w:rsidRPr="00A60794">
        <w:rPr>
          <w:rFonts w:asciiTheme="minorHAnsi" w:hAnsiTheme="minorHAnsi" w:cstheme="minorHAnsi"/>
          <w:b w:val="0"/>
          <w:sz w:val="22"/>
          <w:szCs w:val="22"/>
        </w:rPr>
        <w:t xml:space="preserve"> het bepaalde in de artikelen 42 en</w:t>
      </w:r>
      <w:r w:rsidR="00EE4FB4" w:rsidRPr="00A60794">
        <w:rPr>
          <w:rFonts w:asciiTheme="minorHAnsi" w:hAnsiTheme="minorHAnsi" w:cstheme="minorHAnsi"/>
          <w:b w:val="0"/>
          <w:sz w:val="22"/>
          <w:szCs w:val="22"/>
        </w:rPr>
        <w:t xml:space="preserve"> </w:t>
      </w:r>
      <w:r w:rsidRPr="00A60794">
        <w:rPr>
          <w:rFonts w:asciiTheme="minorHAnsi" w:hAnsiTheme="minorHAnsi" w:cstheme="minorHAnsi"/>
          <w:b w:val="0"/>
          <w:sz w:val="22"/>
          <w:szCs w:val="22"/>
        </w:rPr>
        <w:t>47 Faillissementswet</w:t>
      </w:r>
      <w:r w:rsidR="00D93523" w:rsidRPr="00A60794">
        <w:rPr>
          <w:rFonts w:asciiTheme="minorHAnsi" w:hAnsiTheme="minorHAnsi" w:cstheme="minorHAnsi"/>
          <w:b w:val="0"/>
          <w:sz w:val="22"/>
          <w:szCs w:val="22"/>
        </w:rPr>
        <w:t xml:space="preserve"> (hierna: </w:t>
      </w:r>
      <w:proofErr w:type="spellStart"/>
      <w:r w:rsidR="00D93523" w:rsidRPr="00A60794">
        <w:rPr>
          <w:rFonts w:asciiTheme="minorHAnsi" w:hAnsiTheme="minorHAnsi" w:cstheme="minorHAnsi"/>
          <w:b w:val="0"/>
          <w:sz w:val="22"/>
          <w:szCs w:val="22"/>
        </w:rPr>
        <w:t>Fw</w:t>
      </w:r>
      <w:proofErr w:type="spellEnd"/>
      <w:r w:rsidR="00D93523" w:rsidRPr="00A60794">
        <w:rPr>
          <w:rFonts w:asciiTheme="minorHAnsi" w:hAnsiTheme="minorHAnsi" w:cstheme="minorHAnsi"/>
          <w:b w:val="0"/>
          <w:sz w:val="22"/>
          <w:szCs w:val="22"/>
        </w:rPr>
        <w:t>)</w:t>
      </w:r>
      <w:r w:rsidRPr="00A60794">
        <w:rPr>
          <w:rFonts w:asciiTheme="minorHAnsi" w:hAnsiTheme="minorHAnsi" w:cstheme="minorHAnsi"/>
          <w:b w:val="0"/>
          <w:sz w:val="22"/>
          <w:szCs w:val="22"/>
        </w:rPr>
        <w:t>.</w:t>
      </w:r>
      <w:r w:rsidR="00D9150C" w:rsidRPr="00A60794">
        <w:rPr>
          <w:rFonts w:asciiTheme="minorHAnsi" w:hAnsiTheme="minorHAnsi" w:cstheme="minorHAnsi"/>
          <w:b w:val="0"/>
          <w:sz w:val="22"/>
          <w:szCs w:val="22"/>
        </w:rPr>
        <w:t xml:space="preserve"> E</w:t>
      </w:r>
      <w:r w:rsidRPr="00A60794">
        <w:rPr>
          <w:rFonts w:asciiTheme="minorHAnsi" w:hAnsiTheme="minorHAnsi" w:cstheme="minorHAnsi"/>
          <w:b w:val="0"/>
          <w:sz w:val="22"/>
          <w:szCs w:val="22"/>
        </w:rPr>
        <w:t>r mag op grond van</w:t>
      </w:r>
      <w:r w:rsidR="00D9150C" w:rsidRPr="00A60794">
        <w:rPr>
          <w:rFonts w:asciiTheme="minorHAnsi" w:hAnsiTheme="minorHAnsi" w:cstheme="minorHAnsi"/>
          <w:b w:val="0"/>
          <w:sz w:val="22"/>
          <w:szCs w:val="22"/>
        </w:rPr>
        <w:t xml:space="preserve"> artikel</w:t>
      </w:r>
      <w:r w:rsidRPr="00A60794">
        <w:rPr>
          <w:rFonts w:asciiTheme="minorHAnsi" w:hAnsiTheme="minorHAnsi" w:cstheme="minorHAnsi"/>
          <w:b w:val="0"/>
          <w:sz w:val="22"/>
          <w:szCs w:val="22"/>
        </w:rPr>
        <w:t xml:space="preserve"> 47 </w:t>
      </w:r>
      <w:proofErr w:type="spellStart"/>
      <w:r w:rsidRPr="00A60794">
        <w:rPr>
          <w:rFonts w:asciiTheme="minorHAnsi" w:hAnsiTheme="minorHAnsi" w:cstheme="minorHAnsi"/>
          <w:b w:val="0"/>
          <w:sz w:val="22"/>
          <w:szCs w:val="22"/>
        </w:rPr>
        <w:t>Fw</w:t>
      </w:r>
      <w:proofErr w:type="spellEnd"/>
      <w:r w:rsidRPr="00A60794">
        <w:rPr>
          <w:rFonts w:asciiTheme="minorHAnsi" w:hAnsiTheme="minorHAnsi" w:cstheme="minorHAnsi"/>
          <w:b w:val="0"/>
          <w:sz w:val="22"/>
          <w:szCs w:val="22"/>
        </w:rPr>
        <w:t xml:space="preserve"> </w:t>
      </w:r>
      <w:r w:rsidR="009A5233" w:rsidRPr="00A60794">
        <w:rPr>
          <w:rFonts w:asciiTheme="minorHAnsi" w:hAnsiTheme="minorHAnsi" w:cstheme="minorHAnsi"/>
          <w:b w:val="0"/>
          <w:sz w:val="22"/>
          <w:szCs w:val="22"/>
        </w:rPr>
        <w:t xml:space="preserve">namelijk </w:t>
      </w:r>
      <w:r w:rsidRPr="00A60794">
        <w:rPr>
          <w:rFonts w:asciiTheme="minorHAnsi" w:hAnsiTheme="minorHAnsi" w:cstheme="minorHAnsi"/>
          <w:b w:val="0"/>
          <w:sz w:val="22"/>
          <w:szCs w:val="22"/>
        </w:rPr>
        <w:t xml:space="preserve">geen verrekeningsbevoegdheid worden gecreëerd indien men op de hoogte </w:t>
      </w:r>
      <w:r w:rsidR="009A5233" w:rsidRPr="00A60794">
        <w:rPr>
          <w:rFonts w:asciiTheme="minorHAnsi" w:hAnsiTheme="minorHAnsi" w:cstheme="minorHAnsi"/>
          <w:b w:val="0"/>
          <w:sz w:val="22"/>
          <w:szCs w:val="22"/>
        </w:rPr>
        <w:t>is</w:t>
      </w:r>
      <w:r w:rsidRPr="00A60794">
        <w:rPr>
          <w:rFonts w:asciiTheme="minorHAnsi" w:hAnsiTheme="minorHAnsi" w:cstheme="minorHAnsi"/>
          <w:b w:val="0"/>
          <w:sz w:val="22"/>
          <w:szCs w:val="22"/>
        </w:rPr>
        <w:t xml:space="preserve"> van</w:t>
      </w:r>
      <w:r w:rsidR="00350AD8" w:rsidRPr="00A60794">
        <w:rPr>
          <w:rFonts w:asciiTheme="minorHAnsi" w:hAnsiTheme="minorHAnsi" w:cstheme="minorHAnsi"/>
          <w:b w:val="0"/>
          <w:sz w:val="22"/>
          <w:szCs w:val="22"/>
        </w:rPr>
        <w:t xml:space="preserve"> het naderend faillissement.</w:t>
      </w:r>
      <w:r w:rsidR="00350AD8" w:rsidRPr="00A60794">
        <w:rPr>
          <w:rStyle w:val="Voetnootmarkering"/>
          <w:rFonts w:asciiTheme="minorHAnsi" w:hAnsiTheme="minorHAnsi" w:cstheme="minorHAnsi"/>
          <w:b w:val="0"/>
          <w:sz w:val="22"/>
          <w:szCs w:val="22"/>
        </w:rPr>
        <w:footnoteReference w:id="4"/>
      </w:r>
      <w:r w:rsidR="00350AD8" w:rsidRPr="00A60794">
        <w:rPr>
          <w:rFonts w:asciiTheme="minorHAnsi" w:hAnsiTheme="minorHAnsi" w:cstheme="minorHAnsi"/>
          <w:b w:val="0"/>
          <w:sz w:val="22"/>
          <w:szCs w:val="22"/>
        </w:rPr>
        <w:t xml:space="preserve"> </w:t>
      </w:r>
      <w:r w:rsidR="00EE4FB4" w:rsidRPr="00A60794">
        <w:rPr>
          <w:rFonts w:asciiTheme="minorHAnsi" w:hAnsiTheme="minorHAnsi" w:cstheme="minorHAnsi"/>
          <w:b w:val="0"/>
          <w:sz w:val="22"/>
          <w:szCs w:val="22"/>
        </w:rPr>
        <w:t xml:space="preserve">Daarnaast bepaalt artikel 42 </w:t>
      </w:r>
      <w:proofErr w:type="spellStart"/>
      <w:r w:rsidR="00EE4FB4" w:rsidRPr="00A60794">
        <w:rPr>
          <w:rFonts w:asciiTheme="minorHAnsi" w:hAnsiTheme="minorHAnsi" w:cstheme="minorHAnsi"/>
          <w:b w:val="0"/>
          <w:sz w:val="22"/>
          <w:szCs w:val="22"/>
        </w:rPr>
        <w:t>Fw</w:t>
      </w:r>
      <w:proofErr w:type="spellEnd"/>
      <w:r w:rsidR="00EE4FB4" w:rsidRPr="00A60794">
        <w:rPr>
          <w:rFonts w:asciiTheme="minorHAnsi" w:hAnsiTheme="minorHAnsi" w:cstheme="minorHAnsi"/>
          <w:b w:val="0"/>
          <w:sz w:val="22"/>
          <w:szCs w:val="22"/>
        </w:rPr>
        <w:t xml:space="preserve"> dat alleen verplichte rechtshandelingen gedaan mogen worden in het zicht van een faillissement. </w:t>
      </w:r>
      <w:r w:rsidR="007E078F" w:rsidRPr="00A60794">
        <w:rPr>
          <w:rFonts w:asciiTheme="minorHAnsi" w:hAnsiTheme="minorHAnsi" w:cstheme="minorHAnsi"/>
          <w:b w:val="0"/>
          <w:sz w:val="22"/>
          <w:szCs w:val="22"/>
        </w:rPr>
        <w:t xml:space="preserve">‘In het zicht van een faillissement’, is de periode tussen de faillissementsaanvraag en het definitief failliet verklaard worden. </w:t>
      </w:r>
      <w:r w:rsidR="00EE4FB4" w:rsidRPr="00A60794">
        <w:rPr>
          <w:rFonts w:asciiTheme="minorHAnsi" w:hAnsiTheme="minorHAnsi" w:cstheme="minorHAnsi"/>
          <w:b w:val="0"/>
          <w:sz w:val="22"/>
          <w:szCs w:val="22"/>
        </w:rPr>
        <w:t>Dit brengt een lastige situatie met zich mee, want is het vestigen van een pandrecht wel een verplichte rechtshandeling. Het hebben van een pandrecht is namelijk een vereiste voor verrekenen in het zicht van faillissement volgens het arrest Mulder q.q./CLBN.</w:t>
      </w:r>
      <w:r w:rsidR="00971A7E" w:rsidRPr="00A60794">
        <w:rPr>
          <w:rStyle w:val="Voetnootmarkering"/>
          <w:rFonts w:asciiTheme="minorHAnsi" w:hAnsiTheme="minorHAnsi" w:cstheme="minorHAnsi"/>
          <w:b w:val="0"/>
          <w:sz w:val="22"/>
          <w:szCs w:val="22"/>
        </w:rPr>
        <w:footnoteReference w:id="5"/>
      </w:r>
      <w:r w:rsidR="00C01C87" w:rsidRPr="00A60794">
        <w:rPr>
          <w:rFonts w:asciiTheme="minorHAnsi" w:hAnsiTheme="minorHAnsi" w:cstheme="minorHAnsi"/>
          <w:b w:val="0"/>
          <w:sz w:val="22"/>
          <w:szCs w:val="22"/>
        </w:rPr>
        <w:t xml:space="preserve"> </w:t>
      </w:r>
      <w:r w:rsidR="00971A7E" w:rsidRPr="00A60794">
        <w:rPr>
          <w:rStyle w:val="Voetnootmarkering"/>
          <w:rFonts w:asciiTheme="minorHAnsi" w:hAnsiTheme="minorHAnsi" w:cstheme="minorHAnsi"/>
          <w:b w:val="0"/>
          <w:sz w:val="22"/>
          <w:szCs w:val="22"/>
        </w:rPr>
        <w:footnoteReference w:id="6"/>
      </w:r>
      <w:r w:rsidR="00971A7E" w:rsidRPr="00A60794">
        <w:rPr>
          <w:rFonts w:asciiTheme="minorHAnsi" w:hAnsiTheme="minorHAnsi" w:cstheme="minorHAnsi"/>
          <w:b w:val="0"/>
          <w:sz w:val="22"/>
          <w:szCs w:val="22"/>
        </w:rPr>
        <w:t xml:space="preserve"> </w:t>
      </w:r>
      <w:r w:rsidR="00971A7E" w:rsidRPr="00A60794">
        <w:rPr>
          <w:rStyle w:val="Voetnootmarkering"/>
          <w:rFonts w:asciiTheme="minorHAnsi" w:hAnsiTheme="minorHAnsi" w:cstheme="minorHAnsi"/>
          <w:b w:val="0"/>
          <w:sz w:val="22"/>
          <w:szCs w:val="22"/>
        </w:rPr>
        <w:footnoteReference w:id="7"/>
      </w:r>
    </w:p>
    <w:p w:rsidR="00B51EA2" w:rsidRPr="00A60794" w:rsidRDefault="00B51EA2" w:rsidP="00426C98">
      <w:pPr>
        <w:jc w:val="left"/>
        <w:rPr>
          <w:rFonts w:asciiTheme="minorHAnsi" w:hAnsiTheme="minorHAnsi" w:cstheme="minorHAnsi"/>
          <w:b w:val="0"/>
          <w:sz w:val="22"/>
          <w:szCs w:val="22"/>
        </w:rPr>
      </w:pPr>
    </w:p>
    <w:p w:rsidR="00B51EA2" w:rsidRPr="00A60794" w:rsidRDefault="00B51EA2"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Kortom, de bank wil haar rekening courant verrekenen met </w:t>
      </w:r>
      <w:r w:rsidR="00272754" w:rsidRPr="00A60794">
        <w:rPr>
          <w:rFonts w:asciiTheme="minorHAnsi" w:hAnsiTheme="minorHAnsi" w:cstheme="minorHAnsi"/>
          <w:b w:val="0"/>
          <w:sz w:val="22"/>
          <w:szCs w:val="22"/>
        </w:rPr>
        <w:t>de</w:t>
      </w:r>
      <w:r w:rsidRPr="00A60794">
        <w:rPr>
          <w:rFonts w:asciiTheme="minorHAnsi" w:hAnsiTheme="minorHAnsi" w:cstheme="minorHAnsi"/>
          <w:b w:val="0"/>
          <w:sz w:val="22"/>
          <w:szCs w:val="22"/>
        </w:rPr>
        <w:t xml:space="preserve"> pandrecht</w:t>
      </w:r>
      <w:r w:rsidR="00272754" w:rsidRPr="00A60794">
        <w:rPr>
          <w:rFonts w:asciiTheme="minorHAnsi" w:hAnsiTheme="minorHAnsi" w:cstheme="minorHAnsi"/>
          <w:b w:val="0"/>
          <w:sz w:val="22"/>
          <w:szCs w:val="22"/>
        </w:rPr>
        <w:t>en</w:t>
      </w:r>
      <w:r w:rsidRPr="00A60794">
        <w:rPr>
          <w:rFonts w:asciiTheme="minorHAnsi" w:hAnsiTheme="minorHAnsi" w:cstheme="minorHAnsi"/>
          <w:b w:val="0"/>
          <w:sz w:val="22"/>
          <w:szCs w:val="22"/>
        </w:rPr>
        <w:t>. Echter, het is de vraag of er überhaupt pandrecht</w:t>
      </w:r>
      <w:r w:rsidR="00272754" w:rsidRPr="00A60794">
        <w:rPr>
          <w:rFonts w:asciiTheme="minorHAnsi" w:hAnsiTheme="minorHAnsi" w:cstheme="minorHAnsi"/>
          <w:b w:val="0"/>
          <w:sz w:val="22"/>
          <w:szCs w:val="22"/>
        </w:rPr>
        <w:t>en bestaan</w:t>
      </w:r>
      <w:r w:rsidRPr="00A60794">
        <w:rPr>
          <w:rFonts w:asciiTheme="minorHAnsi" w:hAnsiTheme="minorHAnsi" w:cstheme="minorHAnsi"/>
          <w:b w:val="0"/>
          <w:sz w:val="22"/>
          <w:szCs w:val="22"/>
        </w:rPr>
        <w:t xml:space="preserve">, aangezien een pandrecht vervalt bij voldoening </w:t>
      </w:r>
      <w:r w:rsidR="00C5201F" w:rsidRPr="00A60794">
        <w:rPr>
          <w:rFonts w:asciiTheme="minorHAnsi" w:hAnsiTheme="minorHAnsi" w:cstheme="minorHAnsi"/>
          <w:b w:val="0"/>
          <w:sz w:val="22"/>
          <w:szCs w:val="22"/>
        </w:rPr>
        <w:t>van hetgeen waar het pandrecht op is gevestigd</w:t>
      </w:r>
      <w:r w:rsidRPr="00A60794">
        <w:rPr>
          <w:rFonts w:asciiTheme="minorHAnsi" w:hAnsiTheme="minorHAnsi" w:cstheme="minorHAnsi"/>
          <w:b w:val="0"/>
          <w:sz w:val="22"/>
          <w:szCs w:val="22"/>
        </w:rPr>
        <w:t>. Daarnaast is de vraag of de bank wel</w:t>
      </w:r>
      <w:r w:rsidR="00C5201F" w:rsidRPr="00A60794">
        <w:rPr>
          <w:rFonts w:asciiTheme="minorHAnsi" w:hAnsiTheme="minorHAnsi" w:cstheme="minorHAnsi"/>
          <w:b w:val="0"/>
          <w:sz w:val="22"/>
          <w:szCs w:val="22"/>
        </w:rPr>
        <w:t xml:space="preserve"> pandrechten mag vestigen in het zicht van een faillissement en zodoende</w:t>
      </w:r>
      <w:r w:rsidRPr="00A60794">
        <w:rPr>
          <w:rFonts w:asciiTheme="minorHAnsi" w:hAnsiTheme="minorHAnsi" w:cstheme="minorHAnsi"/>
          <w:b w:val="0"/>
          <w:sz w:val="22"/>
          <w:szCs w:val="22"/>
        </w:rPr>
        <w:t xml:space="preserve"> mag verrekenen, aangezien het zo dicht in het zicht van een faillissement is en </w:t>
      </w:r>
      <w:r w:rsidR="00DD176A" w:rsidRPr="00A60794">
        <w:rPr>
          <w:rFonts w:asciiTheme="minorHAnsi" w:hAnsiTheme="minorHAnsi" w:cstheme="minorHAnsi"/>
          <w:b w:val="0"/>
          <w:sz w:val="22"/>
          <w:szCs w:val="22"/>
        </w:rPr>
        <w:t xml:space="preserve">de bank van </w:t>
      </w:r>
      <w:r w:rsidR="00272754" w:rsidRPr="00A60794">
        <w:rPr>
          <w:rFonts w:asciiTheme="minorHAnsi" w:hAnsiTheme="minorHAnsi" w:cstheme="minorHAnsi"/>
          <w:b w:val="0"/>
          <w:sz w:val="22"/>
          <w:szCs w:val="22"/>
        </w:rPr>
        <w:t>de</w:t>
      </w:r>
      <w:r w:rsidR="00DD176A" w:rsidRPr="00A60794">
        <w:rPr>
          <w:rFonts w:asciiTheme="minorHAnsi" w:hAnsiTheme="minorHAnsi" w:cstheme="minorHAnsi"/>
          <w:b w:val="0"/>
          <w:sz w:val="22"/>
          <w:szCs w:val="22"/>
        </w:rPr>
        <w:t xml:space="preserve"> faillissement</w:t>
      </w:r>
      <w:r w:rsidR="00272754" w:rsidRPr="00A60794">
        <w:rPr>
          <w:rFonts w:asciiTheme="minorHAnsi" w:hAnsiTheme="minorHAnsi" w:cstheme="minorHAnsi"/>
          <w:b w:val="0"/>
          <w:sz w:val="22"/>
          <w:szCs w:val="22"/>
        </w:rPr>
        <w:t>saanvraag</w:t>
      </w:r>
      <w:r w:rsidRPr="00A60794">
        <w:rPr>
          <w:rFonts w:asciiTheme="minorHAnsi" w:hAnsiTheme="minorHAnsi" w:cstheme="minorHAnsi"/>
          <w:b w:val="0"/>
          <w:sz w:val="22"/>
          <w:szCs w:val="22"/>
        </w:rPr>
        <w:t xml:space="preserve"> op de hoogte was. </w:t>
      </w:r>
    </w:p>
    <w:p w:rsidR="00B51EA2" w:rsidRPr="00A60794" w:rsidRDefault="00B51EA2" w:rsidP="00426C98">
      <w:pPr>
        <w:jc w:val="left"/>
        <w:rPr>
          <w:rFonts w:asciiTheme="minorHAnsi" w:hAnsiTheme="minorHAnsi" w:cstheme="minorHAnsi"/>
          <w:b w:val="0"/>
          <w:sz w:val="22"/>
          <w:szCs w:val="22"/>
        </w:rPr>
      </w:pPr>
    </w:p>
    <w:p w:rsidR="00B51EA2" w:rsidRPr="00A60794" w:rsidRDefault="00B51EA2"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Ten gevolge van deze situatie is het probleem dat zich bij RCDJ voordoet, dat zij geen duidelijk advies aan hun cliënten (banken) </w:t>
      </w:r>
      <w:r w:rsidR="007E2E88" w:rsidRPr="00A60794">
        <w:rPr>
          <w:rFonts w:asciiTheme="minorHAnsi" w:hAnsiTheme="minorHAnsi" w:cstheme="minorHAnsi"/>
          <w:b w:val="0"/>
          <w:sz w:val="22"/>
          <w:szCs w:val="22"/>
        </w:rPr>
        <w:t>kan</w:t>
      </w:r>
      <w:r w:rsidRPr="00A60794">
        <w:rPr>
          <w:rFonts w:asciiTheme="minorHAnsi" w:hAnsiTheme="minorHAnsi" w:cstheme="minorHAnsi"/>
          <w:b w:val="0"/>
          <w:sz w:val="22"/>
          <w:szCs w:val="22"/>
        </w:rPr>
        <w:t xml:space="preserve"> verstrekken omtrent deze situatie. Zodoende worden dit soort situaties altijd onderhands afgehandeld tussen de bank en de failliet verklaard</w:t>
      </w:r>
      <w:r w:rsidR="00C01C87" w:rsidRPr="00A60794">
        <w:rPr>
          <w:rFonts w:asciiTheme="minorHAnsi" w:hAnsiTheme="minorHAnsi" w:cstheme="minorHAnsi"/>
          <w:b w:val="0"/>
          <w:sz w:val="22"/>
          <w:szCs w:val="22"/>
        </w:rPr>
        <w:t>, dan wel tussen de bank en de curator</w:t>
      </w:r>
      <w:r w:rsidRPr="00A60794">
        <w:rPr>
          <w:rFonts w:asciiTheme="minorHAnsi" w:hAnsiTheme="minorHAnsi" w:cstheme="minorHAnsi"/>
          <w:b w:val="0"/>
          <w:sz w:val="22"/>
          <w:szCs w:val="22"/>
        </w:rPr>
        <w:t>.</w:t>
      </w:r>
      <w:r w:rsidR="00F31FF6" w:rsidRPr="00A60794">
        <w:rPr>
          <w:rFonts w:asciiTheme="minorHAnsi" w:hAnsiTheme="minorHAnsi" w:cstheme="minorHAnsi"/>
          <w:b w:val="0"/>
          <w:sz w:val="22"/>
          <w:szCs w:val="22"/>
        </w:rPr>
        <w:t xml:space="preserve"> RCDJ weet </w:t>
      </w:r>
      <w:r w:rsidR="00C01C87" w:rsidRPr="00A60794">
        <w:rPr>
          <w:rFonts w:asciiTheme="minorHAnsi" w:hAnsiTheme="minorHAnsi" w:cstheme="minorHAnsi"/>
          <w:b w:val="0"/>
          <w:sz w:val="22"/>
          <w:szCs w:val="22"/>
        </w:rPr>
        <w:t xml:space="preserve">immers </w:t>
      </w:r>
      <w:r w:rsidR="00F31FF6" w:rsidRPr="00A60794">
        <w:rPr>
          <w:rFonts w:asciiTheme="minorHAnsi" w:hAnsiTheme="minorHAnsi" w:cstheme="minorHAnsi"/>
          <w:b w:val="0"/>
          <w:sz w:val="22"/>
          <w:szCs w:val="22"/>
        </w:rPr>
        <w:t xml:space="preserve">te weinig over de bovengenoemde artikelen in de faillissementswet en de samenhang met het arrest Mulder q.q./CLBN om de Rabobank in dezen te kunnen adviseren. Het is daarom aan mij de taak om alle </w:t>
      </w:r>
      <w:r w:rsidR="00C01C87" w:rsidRPr="00A60794">
        <w:rPr>
          <w:rFonts w:asciiTheme="minorHAnsi" w:hAnsiTheme="minorHAnsi" w:cstheme="minorHAnsi"/>
          <w:b w:val="0"/>
          <w:sz w:val="22"/>
          <w:szCs w:val="22"/>
        </w:rPr>
        <w:t xml:space="preserve">artikelen en jurisprudentie omtrent verrekenen in het zicht van een faillissement </w:t>
      </w:r>
      <w:r w:rsidR="00F31FF6" w:rsidRPr="00A60794">
        <w:rPr>
          <w:rFonts w:asciiTheme="minorHAnsi" w:hAnsiTheme="minorHAnsi" w:cstheme="minorHAnsi"/>
          <w:b w:val="0"/>
          <w:sz w:val="22"/>
          <w:szCs w:val="22"/>
        </w:rPr>
        <w:t>duidelijk in kaart te bren</w:t>
      </w:r>
      <w:r w:rsidR="00130BFF" w:rsidRPr="00A60794">
        <w:rPr>
          <w:rFonts w:asciiTheme="minorHAnsi" w:hAnsiTheme="minorHAnsi" w:cstheme="minorHAnsi"/>
          <w:b w:val="0"/>
          <w:sz w:val="22"/>
          <w:szCs w:val="22"/>
        </w:rPr>
        <w:t>gen en te koppelen aan de casus, zodat RCDJ de kennis verkrijgt om dit soort situaties te kunnen behandelen.</w:t>
      </w:r>
      <w:r w:rsidR="00325F44" w:rsidRPr="00A60794">
        <w:rPr>
          <w:rFonts w:asciiTheme="minorHAnsi" w:hAnsiTheme="minorHAnsi" w:cstheme="minorHAnsi"/>
          <w:b w:val="0"/>
          <w:sz w:val="22"/>
          <w:szCs w:val="22"/>
        </w:rPr>
        <w:t xml:space="preserve"> RCDJ kan cliënten dan beter adviseren, versterkt haar onderhandelingspositie en kan hen bijstaan in eventuele rechterlijke procedures.</w:t>
      </w:r>
    </w:p>
    <w:p w:rsidR="00E64606" w:rsidRPr="00A60794" w:rsidRDefault="00E64606" w:rsidP="00426C98">
      <w:pPr>
        <w:jc w:val="left"/>
        <w:rPr>
          <w:rFonts w:asciiTheme="minorHAnsi" w:hAnsiTheme="minorHAnsi" w:cstheme="minorHAnsi"/>
          <w:b w:val="0"/>
          <w:sz w:val="22"/>
          <w:szCs w:val="22"/>
        </w:rPr>
      </w:pPr>
    </w:p>
    <w:p w:rsidR="0084773A" w:rsidRPr="00A60794" w:rsidRDefault="006B3688"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lastRenderedPageBreak/>
        <w:t>Om de situatie die zich bij RCDJ voordoet</w:t>
      </w:r>
      <w:r w:rsidR="007E3BC3" w:rsidRPr="00A60794">
        <w:rPr>
          <w:rFonts w:asciiTheme="minorHAnsi" w:hAnsiTheme="minorHAnsi" w:cstheme="minorHAnsi"/>
          <w:b w:val="0"/>
          <w:sz w:val="22"/>
          <w:szCs w:val="22"/>
        </w:rPr>
        <w:t xml:space="preserve"> duidelijk te maken zal de situatie in stukken </w:t>
      </w:r>
      <w:r w:rsidR="008456B8">
        <w:rPr>
          <w:rFonts w:asciiTheme="minorHAnsi" w:hAnsiTheme="minorHAnsi" w:cstheme="minorHAnsi"/>
          <w:b w:val="0"/>
          <w:sz w:val="22"/>
          <w:szCs w:val="22"/>
        </w:rPr>
        <w:t xml:space="preserve">worden gehakte </w:t>
      </w:r>
      <w:r w:rsidR="007E3BC3" w:rsidRPr="00A60794">
        <w:rPr>
          <w:rFonts w:asciiTheme="minorHAnsi" w:hAnsiTheme="minorHAnsi" w:cstheme="minorHAnsi"/>
          <w:b w:val="0"/>
          <w:sz w:val="22"/>
          <w:szCs w:val="22"/>
        </w:rPr>
        <w:t>hakken</w:t>
      </w:r>
      <w:r w:rsidR="008456B8">
        <w:rPr>
          <w:rFonts w:asciiTheme="minorHAnsi" w:hAnsiTheme="minorHAnsi" w:cstheme="minorHAnsi"/>
          <w:b w:val="0"/>
          <w:sz w:val="22"/>
          <w:szCs w:val="22"/>
        </w:rPr>
        <w:t xml:space="preserve"> en over de hoofdstukken verdeeld worden. Allereerst wordt ingegaan op het  pandrecht, h</w:t>
      </w:r>
      <w:r w:rsidR="007E3BC3" w:rsidRPr="00A60794">
        <w:rPr>
          <w:rFonts w:asciiTheme="minorHAnsi" w:hAnsiTheme="minorHAnsi" w:cstheme="minorHAnsi"/>
          <w:b w:val="0"/>
          <w:sz w:val="22"/>
          <w:szCs w:val="22"/>
        </w:rPr>
        <w:t xml:space="preserve">oe zit het pandrecht in elkaar en hoe kun je het vestigen. Vervolgens zal dieper </w:t>
      </w:r>
      <w:r w:rsidR="00E06F23">
        <w:rPr>
          <w:rFonts w:asciiTheme="minorHAnsi" w:hAnsiTheme="minorHAnsi" w:cstheme="minorHAnsi"/>
          <w:b w:val="0"/>
          <w:sz w:val="22"/>
          <w:szCs w:val="22"/>
        </w:rPr>
        <w:t>worden ge</w:t>
      </w:r>
      <w:r w:rsidR="007E3BC3" w:rsidRPr="00A60794">
        <w:rPr>
          <w:rFonts w:asciiTheme="minorHAnsi" w:hAnsiTheme="minorHAnsi" w:cstheme="minorHAnsi"/>
          <w:b w:val="0"/>
          <w:sz w:val="22"/>
          <w:szCs w:val="22"/>
        </w:rPr>
        <w:t xml:space="preserve">gaan op specifiek het stille pandrecht, deze vorm van pandrecht is immers door de bank in de casus toegepast. </w:t>
      </w:r>
      <w:r w:rsidR="00E06F23">
        <w:rPr>
          <w:rFonts w:asciiTheme="minorHAnsi" w:hAnsiTheme="minorHAnsi" w:cstheme="minorHAnsi"/>
          <w:b w:val="0"/>
          <w:sz w:val="22"/>
          <w:szCs w:val="22"/>
        </w:rPr>
        <w:t>Daarna zal bekeken worden</w:t>
      </w:r>
      <w:r w:rsidR="000D736F" w:rsidRPr="00A60794">
        <w:rPr>
          <w:rFonts w:asciiTheme="minorHAnsi" w:hAnsiTheme="minorHAnsi" w:cstheme="minorHAnsi"/>
          <w:b w:val="0"/>
          <w:sz w:val="22"/>
          <w:szCs w:val="22"/>
        </w:rPr>
        <w:t xml:space="preserve"> hoe een pandrecht op </w:t>
      </w:r>
      <w:r w:rsidR="00620688" w:rsidRPr="00A60794">
        <w:rPr>
          <w:rFonts w:asciiTheme="minorHAnsi" w:hAnsiTheme="minorHAnsi" w:cstheme="minorHAnsi"/>
          <w:b w:val="0"/>
          <w:sz w:val="22"/>
          <w:szCs w:val="22"/>
        </w:rPr>
        <w:t xml:space="preserve">toekomstige </w:t>
      </w:r>
      <w:r w:rsidR="000D736F" w:rsidRPr="00A60794">
        <w:rPr>
          <w:rFonts w:asciiTheme="minorHAnsi" w:hAnsiTheme="minorHAnsi" w:cstheme="minorHAnsi"/>
          <w:b w:val="0"/>
          <w:sz w:val="22"/>
          <w:szCs w:val="22"/>
        </w:rPr>
        <w:t>v</w:t>
      </w:r>
      <w:r w:rsidR="005935DF" w:rsidRPr="00A60794">
        <w:rPr>
          <w:rFonts w:asciiTheme="minorHAnsi" w:hAnsiTheme="minorHAnsi" w:cstheme="minorHAnsi"/>
          <w:b w:val="0"/>
          <w:sz w:val="22"/>
          <w:szCs w:val="22"/>
        </w:rPr>
        <w:t>orderingen kan worden gevestigd en</w:t>
      </w:r>
      <w:r w:rsidR="000D736F" w:rsidRPr="00A60794">
        <w:rPr>
          <w:rFonts w:asciiTheme="minorHAnsi" w:hAnsiTheme="minorHAnsi" w:cstheme="minorHAnsi"/>
          <w:b w:val="0"/>
          <w:sz w:val="22"/>
          <w:szCs w:val="22"/>
        </w:rPr>
        <w:t xml:space="preserve"> specifiek op </w:t>
      </w:r>
      <w:r w:rsidR="00C46403" w:rsidRPr="00A60794">
        <w:rPr>
          <w:rFonts w:asciiTheme="minorHAnsi" w:hAnsiTheme="minorHAnsi" w:cstheme="minorHAnsi"/>
          <w:b w:val="0"/>
          <w:sz w:val="22"/>
          <w:szCs w:val="22"/>
        </w:rPr>
        <w:t>vorderingen die worden voldaan door pinbetalingen</w:t>
      </w:r>
      <w:r w:rsidR="000D736F" w:rsidRPr="00A60794">
        <w:rPr>
          <w:rFonts w:asciiTheme="minorHAnsi" w:hAnsiTheme="minorHAnsi" w:cstheme="minorHAnsi"/>
          <w:b w:val="0"/>
          <w:sz w:val="22"/>
          <w:szCs w:val="22"/>
        </w:rPr>
        <w:t xml:space="preserve">. </w:t>
      </w:r>
      <w:r w:rsidR="0084773A" w:rsidRPr="00A60794">
        <w:rPr>
          <w:rFonts w:asciiTheme="minorHAnsi" w:hAnsiTheme="minorHAnsi" w:cstheme="minorHAnsi"/>
          <w:b w:val="0"/>
          <w:sz w:val="22"/>
          <w:szCs w:val="22"/>
        </w:rPr>
        <w:t xml:space="preserve">Daarna zal </w:t>
      </w:r>
      <w:r w:rsidR="00E06F23">
        <w:rPr>
          <w:rFonts w:asciiTheme="minorHAnsi" w:hAnsiTheme="minorHAnsi" w:cstheme="minorHAnsi"/>
          <w:b w:val="0"/>
          <w:sz w:val="22"/>
          <w:szCs w:val="22"/>
        </w:rPr>
        <w:t xml:space="preserve">behandeld worden </w:t>
      </w:r>
      <w:r w:rsidR="0084773A" w:rsidRPr="00A60794">
        <w:rPr>
          <w:rFonts w:asciiTheme="minorHAnsi" w:hAnsiTheme="minorHAnsi" w:cstheme="minorHAnsi"/>
          <w:b w:val="0"/>
          <w:sz w:val="22"/>
          <w:szCs w:val="22"/>
        </w:rPr>
        <w:t xml:space="preserve">wat verrekening is. Vervolgens zal </w:t>
      </w:r>
      <w:r w:rsidR="00F01C69">
        <w:rPr>
          <w:rFonts w:asciiTheme="minorHAnsi" w:hAnsiTheme="minorHAnsi" w:cstheme="minorHAnsi"/>
          <w:b w:val="0"/>
          <w:sz w:val="22"/>
          <w:szCs w:val="22"/>
        </w:rPr>
        <w:t>ingegaan worden op het</w:t>
      </w:r>
      <w:r w:rsidR="0084773A" w:rsidRPr="00A60794">
        <w:rPr>
          <w:rFonts w:asciiTheme="minorHAnsi" w:hAnsiTheme="minorHAnsi" w:cstheme="minorHAnsi"/>
          <w:b w:val="0"/>
          <w:sz w:val="22"/>
          <w:szCs w:val="22"/>
        </w:rPr>
        <w:t xml:space="preserve"> faillissement, wat gebeurt er als men failliet gaat. In het kader van het faillissement zal </w:t>
      </w:r>
      <w:r w:rsidR="00F01C69">
        <w:rPr>
          <w:rFonts w:asciiTheme="minorHAnsi" w:hAnsiTheme="minorHAnsi" w:cstheme="minorHAnsi"/>
          <w:b w:val="0"/>
          <w:sz w:val="22"/>
          <w:szCs w:val="22"/>
        </w:rPr>
        <w:t>verder worden ingegaan</w:t>
      </w:r>
      <w:r w:rsidR="0084773A" w:rsidRPr="00A60794">
        <w:rPr>
          <w:rFonts w:asciiTheme="minorHAnsi" w:hAnsiTheme="minorHAnsi" w:cstheme="minorHAnsi"/>
          <w:b w:val="0"/>
          <w:sz w:val="22"/>
          <w:szCs w:val="22"/>
        </w:rPr>
        <w:t xml:space="preserve"> op het verrekenen in het zicht van het faillisseme</w:t>
      </w:r>
      <w:r w:rsidR="00D12656" w:rsidRPr="00A60794">
        <w:rPr>
          <w:rFonts w:asciiTheme="minorHAnsi" w:hAnsiTheme="minorHAnsi" w:cstheme="minorHAnsi"/>
          <w:b w:val="0"/>
          <w:sz w:val="22"/>
          <w:szCs w:val="22"/>
        </w:rPr>
        <w:t>nt, hiervoor gelden immers andere</w:t>
      </w:r>
      <w:r w:rsidR="0084773A" w:rsidRPr="00A60794">
        <w:rPr>
          <w:rFonts w:asciiTheme="minorHAnsi" w:hAnsiTheme="minorHAnsi" w:cstheme="minorHAnsi"/>
          <w:b w:val="0"/>
          <w:sz w:val="22"/>
          <w:szCs w:val="22"/>
        </w:rPr>
        <w:t xml:space="preserve"> regels</w:t>
      </w:r>
      <w:r w:rsidR="004237C6" w:rsidRPr="00A60794">
        <w:rPr>
          <w:rFonts w:asciiTheme="minorHAnsi" w:hAnsiTheme="minorHAnsi" w:cstheme="minorHAnsi"/>
          <w:b w:val="0"/>
          <w:sz w:val="22"/>
          <w:szCs w:val="22"/>
        </w:rPr>
        <w:t xml:space="preserve"> dan voor verrekenen buiten een faillissement</w:t>
      </w:r>
      <w:r w:rsidR="0084773A" w:rsidRPr="00A60794">
        <w:rPr>
          <w:rFonts w:asciiTheme="minorHAnsi" w:hAnsiTheme="minorHAnsi" w:cstheme="minorHAnsi"/>
          <w:b w:val="0"/>
          <w:sz w:val="22"/>
          <w:szCs w:val="22"/>
        </w:rPr>
        <w:t xml:space="preserve">. Het verrekenen in het zicht van een faillissement sluit aan </w:t>
      </w:r>
      <w:r w:rsidR="00147E71">
        <w:rPr>
          <w:rFonts w:asciiTheme="minorHAnsi" w:hAnsiTheme="minorHAnsi" w:cstheme="minorHAnsi"/>
          <w:b w:val="0"/>
          <w:sz w:val="22"/>
          <w:szCs w:val="22"/>
        </w:rPr>
        <w:t>bij het</w:t>
      </w:r>
      <w:r w:rsidR="0084773A" w:rsidRPr="00A60794">
        <w:rPr>
          <w:rFonts w:asciiTheme="minorHAnsi" w:hAnsiTheme="minorHAnsi" w:cstheme="minorHAnsi"/>
          <w:b w:val="0"/>
          <w:sz w:val="22"/>
          <w:szCs w:val="22"/>
        </w:rPr>
        <w:t xml:space="preserve"> laatste onderwerp, namelijk het arrest Mulder q.q./CLBN.</w:t>
      </w:r>
      <w:r w:rsidR="007F58B1" w:rsidRPr="00A60794">
        <w:rPr>
          <w:rFonts w:asciiTheme="minorHAnsi" w:hAnsiTheme="minorHAnsi" w:cstheme="minorHAnsi"/>
          <w:b w:val="0"/>
          <w:sz w:val="22"/>
          <w:szCs w:val="22"/>
        </w:rPr>
        <w:t xml:space="preserve"> Om te zien hoe het arrest Mulder zich in de praktijk ontvouwt</w:t>
      </w:r>
      <w:r w:rsidR="00410E33">
        <w:rPr>
          <w:rFonts w:asciiTheme="minorHAnsi" w:hAnsiTheme="minorHAnsi" w:cstheme="minorHAnsi"/>
          <w:b w:val="0"/>
          <w:sz w:val="22"/>
          <w:szCs w:val="22"/>
        </w:rPr>
        <w:t xml:space="preserve">, zal </w:t>
      </w:r>
      <w:r w:rsidR="006E08DA" w:rsidRPr="00A60794">
        <w:rPr>
          <w:rFonts w:asciiTheme="minorHAnsi" w:hAnsiTheme="minorHAnsi" w:cstheme="minorHAnsi"/>
          <w:b w:val="0"/>
          <w:sz w:val="22"/>
          <w:szCs w:val="22"/>
        </w:rPr>
        <w:t xml:space="preserve">tot slot </w:t>
      </w:r>
      <w:r w:rsidR="00E756C8" w:rsidRPr="00A60794">
        <w:rPr>
          <w:rFonts w:asciiTheme="minorHAnsi" w:hAnsiTheme="minorHAnsi" w:cstheme="minorHAnsi"/>
          <w:b w:val="0"/>
          <w:sz w:val="22"/>
          <w:szCs w:val="22"/>
        </w:rPr>
        <w:t xml:space="preserve">een jurisprudentieonderzoek </w:t>
      </w:r>
      <w:r w:rsidR="00410E33">
        <w:rPr>
          <w:rFonts w:asciiTheme="minorHAnsi" w:hAnsiTheme="minorHAnsi" w:cstheme="minorHAnsi"/>
          <w:b w:val="0"/>
          <w:sz w:val="22"/>
          <w:szCs w:val="22"/>
        </w:rPr>
        <w:t>gedaan worden</w:t>
      </w:r>
      <w:r w:rsidR="007F58B1" w:rsidRPr="00A60794">
        <w:rPr>
          <w:rFonts w:asciiTheme="minorHAnsi" w:hAnsiTheme="minorHAnsi" w:cstheme="minorHAnsi"/>
          <w:b w:val="0"/>
          <w:sz w:val="22"/>
          <w:szCs w:val="22"/>
        </w:rPr>
        <w:t xml:space="preserve"> </w:t>
      </w:r>
      <w:r w:rsidR="00E756C8" w:rsidRPr="00A60794">
        <w:rPr>
          <w:rFonts w:asciiTheme="minorHAnsi" w:hAnsiTheme="minorHAnsi" w:cstheme="minorHAnsi"/>
          <w:b w:val="0"/>
          <w:sz w:val="22"/>
          <w:szCs w:val="22"/>
        </w:rPr>
        <w:t>naar w</w:t>
      </w:r>
      <w:r w:rsidR="007F58B1" w:rsidRPr="00A60794">
        <w:rPr>
          <w:rFonts w:asciiTheme="minorHAnsi" w:hAnsiTheme="minorHAnsi" w:cstheme="minorHAnsi"/>
          <w:b w:val="0"/>
          <w:sz w:val="22"/>
          <w:szCs w:val="22"/>
        </w:rPr>
        <w:t>elke omstandigheden</w:t>
      </w:r>
      <w:r w:rsidR="00E756C8" w:rsidRPr="00A60794">
        <w:rPr>
          <w:rFonts w:asciiTheme="minorHAnsi" w:hAnsiTheme="minorHAnsi" w:cstheme="minorHAnsi"/>
          <w:b w:val="0"/>
          <w:sz w:val="22"/>
          <w:szCs w:val="22"/>
        </w:rPr>
        <w:t xml:space="preserve"> </w:t>
      </w:r>
      <w:r w:rsidR="007F58B1" w:rsidRPr="00A60794">
        <w:rPr>
          <w:rFonts w:asciiTheme="minorHAnsi" w:hAnsiTheme="minorHAnsi" w:cstheme="minorHAnsi"/>
          <w:b w:val="0"/>
          <w:sz w:val="22"/>
          <w:szCs w:val="22"/>
        </w:rPr>
        <w:t xml:space="preserve">een rol spelen </w:t>
      </w:r>
      <w:r w:rsidR="00E756C8" w:rsidRPr="00A60794">
        <w:rPr>
          <w:rFonts w:asciiTheme="minorHAnsi" w:hAnsiTheme="minorHAnsi" w:cstheme="minorHAnsi"/>
          <w:b w:val="0"/>
          <w:sz w:val="22"/>
          <w:szCs w:val="22"/>
        </w:rPr>
        <w:t>bij verrekenen in het zicht van een faillissement</w:t>
      </w:r>
      <w:r w:rsidR="008375A2" w:rsidRPr="00A60794">
        <w:rPr>
          <w:rFonts w:asciiTheme="minorHAnsi" w:hAnsiTheme="minorHAnsi" w:cstheme="minorHAnsi"/>
          <w:b w:val="0"/>
          <w:sz w:val="22"/>
          <w:szCs w:val="22"/>
        </w:rPr>
        <w:t>.</w:t>
      </w:r>
    </w:p>
    <w:p w:rsidR="00A60794" w:rsidRDefault="00A60794" w:rsidP="00426C98">
      <w:pPr>
        <w:jc w:val="left"/>
        <w:rPr>
          <w:rFonts w:asciiTheme="minorHAnsi" w:hAnsiTheme="minorHAnsi" w:cstheme="minorHAnsi"/>
          <w:sz w:val="22"/>
          <w:szCs w:val="22"/>
        </w:rPr>
      </w:pPr>
    </w:p>
    <w:p w:rsidR="008228DA" w:rsidRPr="00570D50" w:rsidRDefault="008228DA" w:rsidP="00570D50">
      <w:pPr>
        <w:pStyle w:val="Kop2"/>
        <w:spacing w:before="0" w:beforeAutospacing="0" w:after="0" w:afterAutospacing="0"/>
        <w:rPr>
          <w:rFonts w:asciiTheme="minorHAnsi" w:hAnsiTheme="minorHAnsi" w:cstheme="minorHAnsi"/>
          <w:sz w:val="24"/>
          <w:szCs w:val="24"/>
        </w:rPr>
      </w:pPr>
      <w:bookmarkStart w:id="9" w:name="_Toc486246604"/>
      <w:r w:rsidRPr="00570D50">
        <w:rPr>
          <w:rFonts w:asciiTheme="minorHAnsi" w:hAnsiTheme="minorHAnsi" w:cstheme="minorHAnsi"/>
          <w:sz w:val="24"/>
          <w:szCs w:val="24"/>
        </w:rPr>
        <w:t>§2.1 Doelstelling</w:t>
      </w:r>
      <w:bookmarkEnd w:id="9"/>
    </w:p>
    <w:p w:rsidR="002329F2" w:rsidRPr="00A60794" w:rsidRDefault="00CF7F05"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Het doel van mijn onderzoek is om RC</w:t>
      </w:r>
      <w:r w:rsidR="00B72581" w:rsidRPr="00A60794">
        <w:rPr>
          <w:rFonts w:asciiTheme="minorHAnsi" w:hAnsiTheme="minorHAnsi" w:cstheme="minorHAnsi"/>
          <w:b w:val="0"/>
          <w:sz w:val="22"/>
          <w:szCs w:val="22"/>
        </w:rPr>
        <w:t xml:space="preserve">DJ advocaten een middel </w:t>
      </w:r>
      <w:r w:rsidRPr="00A60794">
        <w:rPr>
          <w:rFonts w:asciiTheme="minorHAnsi" w:hAnsiTheme="minorHAnsi" w:cstheme="minorHAnsi"/>
          <w:b w:val="0"/>
          <w:sz w:val="22"/>
          <w:szCs w:val="22"/>
        </w:rPr>
        <w:t>in handen te geven, waarmee zij haar cliënten van advies kan voorzien omtrent faillissementszaken waarbij verrekening van vorderin</w:t>
      </w:r>
      <w:r w:rsidR="00B72581" w:rsidRPr="00A60794">
        <w:rPr>
          <w:rFonts w:asciiTheme="minorHAnsi" w:hAnsiTheme="minorHAnsi" w:cstheme="minorHAnsi"/>
          <w:b w:val="0"/>
          <w:sz w:val="22"/>
          <w:szCs w:val="22"/>
        </w:rPr>
        <w:t>gen en pandrecht centraal staan, door inzicht te geven in de wet- en regelgeving en jurisprudentie omtrent verrekenen van vorderingen</w:t>
      </w:r>
      <w:r w:rsidR="00F64043" w:rsidRPr="00A60794">
        <w:rPr>
          <w:rFonts w:asciiTheme="minorHAnsi" w:hAnsiTheme="minorHAnsi" w:cstheme="minorHAnsi"/>
          <w:b w:val="0"/>
          <w:sz w:val="22"/>
          <w:szCs w:val="22"/>
        </w:rPr>
        <w:t>, specifiek pinbetalingen,</w:t>
      </w:r>
      <w:r w:rsidR="00B72581" w:rsidRPr="00A60794">
        <w:rPr>
          <w:rFonts w:asciiTheme="minorHAnsi" w:hAnsiTheme="minorHAnsi" w:cstheme="minorHAnsi"/>
          <w:b w:val="0"/>
          <w:sz w:val="22"/>
          <w:szCs w:val="22"/>
        </w:rPr>
        <w:t xml:space="preserve"> in het zicht van een faillissement.</w:t>
      </w:r>
    </w:p>
    <w:p w:rsidR="002329F2" w:rsidRPr="00A60794" w:rsidRDefault="002329F2" w:rsidP="00426C98">
      <w:pPr>
        <w:jc w:val="left"/>
        <w:rPr>
          <w:rFonts w:asciiTheme="minorHAnsi" w:hAnsiTheme="minorHAnsi" w:cstheme="minorHAnsi"/>
          <w:b w:val="0"/>
          <w:sz w:val="22"/>
          <w:szCs w:val="22"/>
        </w:rPr>
      </w:pPr>
    </w:p>
    <w:p w:rsidR="002329F2" w:rsidRPr="00570D50" w:rsidRDefault="008228DA" w:rsidP="00570D50">
      <w:pPr>
        <w:pStyle w:val="Kop2"/>
        <w:spacing w:before="0" w:beforeAutospacing="0" w:after="0" w:afterAutospacing="0"/>
        <w:rPr>
          <w:rFonts w:asciiTheme="minorHAnsi" w:hAnsiTheme="minorHAnsi" w:cstheme="minorHAnsi"/>
          <w:sz w:val="24"/>
          <w:szCs w:val="24"/>
        </w:rPr>
      </w:pPr>
      <w:bookmarkStart w:id="10" w:name="_Toc486246605"/>
      <w:r w:rsidRPr="00570D50">
        <w:rPr>
          <w:rFonts w:asciiTheme="minorHAnsi" w:hAnsiTheme="minorHAnsi" w:cstheme="minorHAnsi"/>
          <w:sz w:val="24"/>
          <w:szCs w:val="24"/>
        </w:rPr>
        <w:t>§2.2 Centrale vraag</w:t>
      </w:r>
      <w:bookmarkEnd w:id="10"/>
    </w:p>
    <w:p w:rsidR="00D678AF" w:rsidRPr="00A60794" w:rsidRDefault="00D678AF"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Welk advies kan blijkens literatuur- en jurisprudentieonderzoek aan RCDJ Advocaten gegeven worden omtrent verrekening van verpande vorderingen (pinbetalingen) in het zicht van een faillissement?</w:t>
      </w:r>
    </w:p>
    <w:p w:rsidR="00D678AF" w:rsidRPr="00A60794" w:rsidRDefault="00D678AF" w:rsidP="00426C98">
      <w:pPr>
        <w:jc w:val="left"/>
        <w:rPr>
          <w:rFonts w:asciiTheme="minorHAnsi" w:hAnsiTheme="minorHAnsi" w:cstheme="minorHAnsi"/>
          <w:b w:val="0"/>
          <w:sz w:val="22"/>
          <w:szCs w:val="22"/>
        </w:rPr>
      </w:pPr>
    </w:p>
    <w:p w:rsidR="008228DA" w:rsidRPr="00570D50" w:rsidRDefault="008228DA" w:rsidP="00570D50">
      <w:pPr>
        <w:pStyle w:val="Kop2"/>
        <w:spacing w:before="0" w:beforeAutospacing="0" w:after="0" w:afterAutospacing="0"/>
        <w:rPr>
          <w:rFonts w:asciiTheme="minorHAnsi" w:hAnsiTheme="minorHAnsi" w:cstheme="minorHAnsi"/>
          <w:sz w:val="24"/>
          <w:szCs w:val="24"/>
        </w:rPr>
      </w:pPr>
      <w:bookmarkStart w:id="11" w:name="_Toc486246606"/>
      <w:r w:rsidRPr="00570D50">
        <w:rPr>
          <w:rFonts w:asciiTheme="minorHAnsi" w:hAnsiTheme="minorHAnsi" w:cstheme="minorHAnsi"/>
          <w:sz w:val="24"/>
          <w:szCs w:val="24"/>
        </w:rPr>
        <w:t>§2.3 Deelvragen</w:t>
      </w:r>
      <w:bookmarkEnd w:id="11"/>
    </w:p>
    <w:p w:rsidR="00D678AF" w:rsidRPr="00A60794" w:rsidRDefault="00D678AF"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1. Wat houdt verpanden van vorderingen in en hoe is dit wettelijk geregeld?</w:t>
      </w:r>
    </w:p>
    <w:p w:rsidR="00D678AF" w:rsidRPr="00A60794" w:rsidRDefault="00D678AF"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2. Hoe verhouden pinbetalingen zich tot verpanding?</w:t>
      </w:r>
    </w:p>
    <w:p w:rsidR="00D678AF" w:rsidRPr="00A60794" w:rsidRDefault="00D678AF"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3. Wat houdt verrekenen in en hoe is dit wettelijk geregeld?</w:t>
      </w:r>
    </w:p>
    <w:p w:rsidR="00D678AF" w:rsidRPr="00A60794" w:rsidRDefault="00D678AF" w:rsidP="00426C98">
      <w:pPr>
        <w:jc w:val="left"/>
        <w:rPr>
          <w:rFonts w:asciiTheme="minorHAnsi" w:hAnsiTheme="minorHAnsi" w:cstheme="minorHAnsi"/>
          <w:sz w:val="22"/>
          <w:szCs w:val="22"/>
        </w:rPr>
      </w:pPr>
      <w:r w:rsidRPr="00A60794">
        <w:rPr>
          <w:rFonts w:asciiTheme="minorHAnsi" w:hAnsiTheme="minorHAnsi" w:cstheme="minorHAnsi"/>
          <w:b w:val="0"/>
          <w:sz w:val="22"/>
          <w:szCs w:val="22"/>
        </w:rPr>
        <w:t xml:space="preserve">4. Wat is er </w:t>
      </w:r>
      <w:r w:rsidR="00E4083A" w:rsidRPr="00A60794">
        <w:rPr>
          <w:rFonts w:asciiTheme="minorHAnsi" w:hAnsiTheme="minorHAnsi" w:cstheme="minorHAnsi"/>
          <w:b w:val="0"/>
          <w:sz w:val="22"/>
          <w:szCs w:val="22"/>
        </w:rPr>
        <w:t xml:space="preserve">wettelijk </w:t>
      </w:r>
      <w:r w:rsidRPr="00A60794">
        <w:rPr>
          <w:rFonts w:asciiTheme="minorHAnsi" w:hAnsiTheme="minorHAnsi" w:cstheme="minorHAnsi"/>
          <w:b w:val="0"/>
          <w:sz w:val="22"/>
          <w:szCs w:val="22"/>
        </w:rPr>
        <w:t>geregeld omtrent verrekenen in het zicht van een faillissement</w:t>
      </w:r>
      <w:r w:rsidR="00EC57D2" w:rsidRPr="00A60794">
        <w:rPr>
          <w:rFonts w:asciiTheme="minorHAnsi" w:hAnsiTheme="minorHAnsi" w:cstheme="minorHAnsi"/>
          <w:b w:val="0"/>
          <w:sz w:val="22"/>
          <w:szCs w:val="22"/>
        </w:rPr>
        <w:t>?</w:t>
      </w:r>
    </w:p>
    <w:p w:rsidR="002329F2" w:rsidRDefault="00D678AF"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5. </w:t>
      </w:r>
      <w:r w:rsidR="00B82BBC" w:rsidRPr="00A60794">
        <w:rPr>
          <w:rFonts w:asciiTheme="minorHAnsi" w:hAnsiTheme="minorHAnsi" w:cstheme="minorHAnsi"/>
          <w:b w:val="0"/>
          <w:sz w:val="22"/>
          <w:szCs w:val="22"/>
        </w:rPr>
        <w:t xml:space="preserve">Wat </w:t>
      </w:r>
      <w:r w:rsidR="007C50B3" w:rsidRPr="00A60794">
        <w:rPr>
          <w:rFonts w:asciiTheme="minorHAnsi" w:hAnsiTheme="minorHAnsi" w:cstheme="minorHAnsi"/>
          <w:b w:val="0"/>
          <w:sz w:val="22"/>
          <w:szCs w:val="22"/>
        </w:rPr>
        <w:t xml:space="preserve">zijn </w:t>
      </w:r>
      <w:r w:rsidR="00B82BBC" w:rsidRPr="00A60794">
        <w:rPr>
          <w:rFonts w:asciiTheme="minorHAnsi" w:hAnsiTheme="minorHAnsi" w:cstheme="minorHAnsi"/>
          <w:b w:val="0"/>
          <w:sz w:val="22"/>
          <w:szCs w:val="22"/>
        </w:rPr>
        <w:t>volgens jurisprudentie de omstandigheden om te mogen verrekenen in het zicht van het faillissement?</w:t>
      </w:r>
    </w:p>
    <w:p w:rsidR="00111A8E" w:rsidRPr="00A60794" w:rsidRDefault="00111A8E" w:rsidP="00426C98">
      <w:pPr>
        <w:jc w:val="left"/>
        <w:rPr>
          <w:rFonts w:asciiTheme="minorHAnsi" w:hAnsiTheme="minorHAnsi" w:cstheme="minorHAnsi"/>
          <w:b w:val="0"/>
          <w:sz w:val="22"/>
          <w:szCs w:val="22"/>
        </w:rPr>
      </w:pPr>
    </w:p>
    <w:p w:rsidR="007D3D7F" w:rsidRPr="00570D50" w:rsidRDefault="007D3D7F" w:rsidP="00570D50">
      <w:pPr>
        <w:pStyle w:val="Kop2"/>
        <w:spacing w:before="0" w:beforeAutospacing="0" w:after="0" w:afterAutospacing="0"/>
        <w:rPr>
          <w:rFonts w:asciiTheme="minorHAnsi" w:hAnsiTheme="minorHAnsi" w:cstheme="minorHAnsi"/>
          <w:sz w:val="24"/>
          <w:szCs w:val="24"/>
        </w:rPr>
      </w:pPr>
      <w:bookmarkStart w:id="12" w:name="_Toc486246607"/>
      <w:r w:rsidRPr="00570D50">
        <w:rPr>
          <w:rFonts w:asciiTheme="minorHAnsi" w:hAnsiTheme="minorHAnsi" w:cstheme="minorHAnsi"/>
          <w:sz w:val="24"/>
          <w:szCs w:val="24"/>
        </w:rPr>
        <w:t>§3 Operationaliseren begrippen</w:t>
      </w:r>
      <w:bookmarkEnd w:id="12"/>
    </w:p>
    <w:p w:rsidR="001B1AF2" w:rsidRPr="00A60794" w:rsidRDefault="00CF4306"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In het </w:t>
      </w:r>
      <w:r w:rsidRPr="00A60794">
        <w:rPr>
          <w:rFonts w:asciiTheme="minorHAnsi" w:hAnsiTheme="minorHAnsi" w:cstheme="minorHAnsi"/>
          <w:sz w:val="22"/>
          <w:szCs w:val="22"/>
        </w:rPr>
        <w:t>zicht</w:t>
      </w:r>
      <w:r w:rsidRPr="00A60794">
        <w:rPr>
          <w:rFonts w:asciiTheme="minorHAnsi" w:hAnsiTheme="minorHAnsi" w:cstheme="minorHAnsi"/>
          <w:b w:val="0"/>
          <w:sz w:val="22"/>
          <w:szCs w:val="22"/>
        </w:rPr>
        <w:t xml:space="preserve"> van een faillissement: </w:t>
      </w:r>
      <w:r w:rsidR="007E18FF" w:rsidRPr="00A60794">
        <w:rPr>
          <w:rFonts w:asciiTheme="minorHAnsi" w:hAnsiTheme="minorHAnsi" w:cstheme="minorHAnsi"/>
          <w:b w:val="0"/>
          <w:sz w:val="22"/>
          <w:szCs w:val="22"/>
        </w:rPr>
        <w:t>De periode tussen de faillissementsaanvraag en het definitief failliet verklaard worden.</w:t>
      </w:r>
    </w:p>
    <w:p w:rsidR="00E63A20" w:rsidRPr="00A60794" w:rsidRDefault="00E63A20" w:rsidP="00426C98">
      <w:pPr>
        <w:jc w:val="left"/>
        <w:rPr>
          <w:rFonts w:asciiTheme="minorHAnsi" w:hAnsiTheme="minorHAnsi" w:cstheme="minorHAnsi"/>
          <w:sz w:val="22"/>
          <w:szCs w:val="22"/>
        </w:rPr>
      </w:pPr>
    </w:p>
    <w:p w:rsidR="00A46159" w:rsidRPr="00570D50" w:rsidRDefault="00A46159" w:rsidP="00570D50">
      <w:pPr>
        <w:pStyle w:val="Kop2"/>
        <w:spacing w:before="0" w:beforeAutospacing="0" w:after="0" w:afterAutospacing="0"/>
        <w:rPr>
          <w:rFonts w:asciiTheme="minorHAnsi" w:hAnsiTheme="minorHAnsi" w:cstheme="minorHAnsi"/>
          <w:sz w:val="24"/>
          <w:szCs w:val="24"/>
        </w:rPr>
      </w:pPr>
      <w:bookmarkStart w:id="13" w:name="_Toc486246608"/>
      <w:r w:rsidRPr="00570D50">
        <w:rPr>
          <w:rFonts w:asciiTheme="minorHAnsi" w:hAnsiTheme="minorHAnsi" w:cstheme="minorHAnsi"/>
          <w:sz w:val="24"/>
          <w:szCs w:val="24"/>
        </w:rPr>
        <w:t>§4 Onderzoeksmethoden</w:t>
      </w:r>
      <w:bookmarkEnd w:id="13"/>
    </w:p>
    <w:p w:rsidR="00AB3B7D" w:rsidRPr="00A60794" w:rsidRDefault="00AB3B7D"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Hieronder zal ik per deelvraag toelichten op welke manier ik het antwoord op de betreffende deelvraag wil verkrijgen. Ik zal dit toelichten door middel van onderzoeksmethoden. De onderzoeksmethoden zijn ofwel theoretisch-juridisch, zoals een literatuuronderzoek, ofwel praktijkgericht, zoals een dossieronderzoek of interviews. Op basis van het antwoord op de deelvragen kan ik een antwoord op de centrale vraag geven.</w:t>
      </w:r>
    </w:p>
    <w:p w:rsidR="00AB3B7D" w:rsidRPr="00A60794" w:rsidRDefault="00AB3B7D" w:rsidP="00426C98">
      <w:pPr>
        <w:jc w:val="left"/>
        <w:rPr>
          <w:rFonts w:asciiTheme="minorHAnsi" w:hAnsiTheme="minorHAnsi" w:cstheme="minorHAnsi"/>
          <w:b w:val="0"/>
          <w:color w:val="FF0000"/>
          <w:sz w:val="22"/>
          <w:szCs w:val="22"/>
        </w:rPr>
      </w:pPr>
    </w:p>
    <w:p w:rsidR="00AB3B7D" w:rsidRPr="00A60794" w:rsidRDefault="00AB3B7D"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u w:val="single"/>
        </w:rPr>
        <w:t xml:space="preserve">Onderzoeksmethode op deelvraag 1: </w:t>
      </w:r>
      <w:r w:rsidR="00CD5827" w:rsidRPr="00A60794">
        <w:rPr>
          <w:rFonts w:asciiTheme="minorHAnsi" w:hAnsiTheme="minorHAnsi" w:cstheme="minorHAnsi"/>
          <w:b w:val="0"/>
          <w:sz w:val="22"/>
          <w:szCs w:val="22"/>
          <w:u w:val="single"/>
        </w:rPr>
        <w:t>Wat houdt verpanden van vorderingen in en hoe is dit wettelijk geregeld?</w:t>
      </w:r>
    </w:p>
    <w:p w:rsidR="00AB3B7D" w:rsidRPr="00A60794" w:rsidRDefault="00AB3B7D" w:rsidP="00426C98">
      <w:pPr>
        <w:jc w:val="left"/>
        <w:rPr>
          <w:rFonts w:asciiTheme="minorHAnsi" w:hAnsiTheme="minorHAnsi" w:cstheme="minorHAnsi"/>
          <w:b w:val="0"/>
          <w:color w:val="FF0000"/>
          <w:sz w:val="22"/>
          <w:szCs w:val="22"/>
        </w:rPr>
      </w:pPr>
      <w:r w:rsidRPr="00A60794">
        <w:rPr>
          <w:rFonts w:asciiTheme="minorHAnsi" w:hAnsiTheme="minorHAnsi" w:cstheme="minorHAnsi"/>
          <w:b w:val="0"/>
          <w:sz w:val="22"/>
          <w:szCs w:val="22"/>
        </w:rPr>
        <w:t>Ik zal deelvraag 1 beantwoorden door middel van een Wetsanalyse</w:t>
      </w:r>
      <w:r w:rsidR="008C41B8" w:rsidRPr="00A60794">
        <w:rPr>
          <w:rFonts w:asciiTheme="minorHAnsi" w:hAnsiTheme="minorHAnsi" w:cstheme="minorHAnsi"/>
          <w:b w:val="0"/>
          <w:sz w:val="22"/>
          <w:szCs w:val="22"/>
        </w:rPr>
        <w:t xml:space="preserve"> en een Literatuuronderzoek</w:t>
      </w:r>
      <w:r w:rsidRPr="00A60794">
        <w:rPr>
          <w:rFonts w:asciiTheme="minorHAnsi" w:hAnsiTheme="minorHAnsi" w:cstheme="minorHAnsi"/>
          <w:b w:val="0"/>
          <w:sz w:val="22"/>
          <w:szCs w:val="22"/>
        </w:rPr>
        <w:t>. Ik zal in de wet- en regelgeving opzoeken wat de juridische grondslag is voor het</w:t>
      </w:r>
      <w:r w:rsidR="008C41B8" w:rsidRPr="00A60794">
        <w:rPr>
          <w:rFonts w:asciiTheme="minorHAnsi" w:hAnsiTheme="minorHAnsi" w:cstheme="minorHAnsi"/>
          <w:b w:val="0"/>
          <w:sz w:val="22"/>
          <w:szCs w:val="22"/>
        </w:rPr>
        <w:t xml:space="preserve"> pandrecht in zijn algemeenheid en specifiek voor het</w:t>
      </w:r>
      <w:r w:rsidRPr="00A60794">
        <w:rPr>
          <w:rFonts w:asciiTheme="minorHAnsi" w:hAnsiTheme="minorHAnsi" w:cstheme="minorHAnsi"/>
          <w:b w:val="0"/>
          <w:sz w:val="22"/>
          <w:szCs w:val="22"/>
        </w:rPr>
        <w:t xml:space="preserve"> </w:t>
      </w:r>
      <w:r w:rsidR="008C41B8" w:rsidRPr="00A60794">
        <w:rPr>
          <w:rFonts w:asciiTheme="minorHAnsi" w:hAnsiTheme="minorHAnsi" w:cstheme="minorHAnsi"/>
          <w:b w:val="0"/>
          <w:sz w:val="22"/>
          <w:szCs w:val="22"/>
        </w:rPr>
        <w:t>verpanden van vorderingen</w:t>
      </w:r>
      <w:r w:rsidRPr="00A60794">
        <w:rPr>
          <w:rFonts w:asciiTheme="minorHAnsi" w:hAnsiTheme="minorHAnsi" w:cstheme="minorHAnsi"/>
          <w:b w:val="0"/>
          <w:sz w:val="22"/>
          <w:szCs w:val="22"/>
        </w:rPr>
        <w:t xml:space="preserve">. Ik zal in ieder geval kijken in </w:t>
      </w:r>
      <w:r w:rsidR="008C41B8" w:rsidRPr="00A60794">
        <w:rPr>
          <w:rFonts w:asciiTheme="minorHAnsi" w:hAnsiTheme="minorHAnsi" w:cstheme="minorHAnsi"/>
          <w:b w:val="0"/>
          <w:sz w:val="22"/>
          <w:szCs w:val="22"/>
        </w:rPr>
        <w:t>boek 3 titel 9 van het Burgerlijk Wetboek omtrent pandrecht en de artikelen van titel 4 afdeling 2 omtrent de vestiging van het pandrecht</w:t>
      </w:r>
      <w:r w:rsidRPr="00A60794">
        <w:rPr>
          <w:rFonts w:asciiTheme="minorHAnsi" w:hAnsiTheme="minorHAnsi" w:cstheme="minorHAnsi"/>
          <w:b w:val="0"/>
          <w:sz w:val="22"/>
          <w:szCs w:val="22"/>
        </w:rPr>
        <w:t xml:space="preserve">. Ik zal dieper op </w:t>
      </w:r>
      <w:r w:rsidR="008C41B8" w:rsidRPr="00A60794">
        <w:rPr>
          <w:rFonts w:asciiTheme="minorHAnsi" w:hAnsiTheme="minorHAnsi" w:cstheme="minorHAnsi"/>
          <w:b w:val="0"/>
          <w:sz w:val="22"/>
          <w:szCs w:val="22"/>
        </w:rPr>
        <w:t>de</w:t>
      </w:r>
      <w:r w:rsidRPr="00A60794">
        <w:rPr>
          <w:rFonts w:asciiTheme="minorHAnsi" w:hAnsiTheme="minorHAnsi" w:cstheme="minorHAnsi"/>
          <w:b w:val="0"/>
          <w:sz w:val="22"/>
          <w:szCs w:val="22"/>
        </w:rPr>
        <w:t xml:space="preserve"> voorgenoemde artikel</w:t>
      </w:r>
      <w:r w:rsidR="008C41B8" w:rsidRPr="00A60794">
        <w:rPr>
          <w:rFonts w:asciiTheme="minorHAnsi" w:hAnsiTheme="minorHAnsi" w:cstheme="minorHAnsi"/>
          <w:b w:val="0"/>
          <w:sz w:val="22"/>
          <w:szCs w:val="22"/>
        </w:rPr>
        <w:t>en</w:t>
      </w:r>
      <w:r w:rsidRPr="00A60794">
        <w:rPr>
          <w:rFonts w:asciiTheme="minorHAnsi" w:hAnsiTheme="minorHAnsi" w:cstheme="minorHAnsi"/>
          <w:b w:val="0"/>
          <w:sz w:val="22"/>
          <w:szCs w:val="22"/>
        </w:rPr>
        <w:t xml:space="preserve"> ingaan door middel van </w:t>
      </w:r>
      <w:r w:rsidRPr="00A60794">
        <w:rPr>
          <w:rFonts w:asciiTheme="minorHAnsi" w:hAnsiTheme="minorHAnsi" w:cstheme="minorHAnsi"/>
          <w:b w:val="0"/>
          <w:sz w:val="22"/>
          <w:szCs w:val="22"/>
        </w:rPr>
        <w:lastRenderedPageBreak/>
        <w:t>Tekst en Commentaar. Verder zal</w:t>
      </w:r>
      <w:r w:rsidR="00F85161" w:rsidRPr="00A60794">
        <w:rPr>
          <w:rFonts w:asciiTheme="minorHAnsi" w:hAnsiTheme="minorHAnsi" w:cstheme="minorHAnsi"/>
          <w:b w:val="0"/>
          <w:sz w:val="22"/>
          <w:szCs w:val="22"/>
        </w:rPr>
        <w:t xml:space="preserve"> ik het boek Goederenrecht, vijfde druk, van H. Snijders en E.B. Rank-Berenschot gaan gebruiken ter onderbouwing van de regels omtrent het pandrecht</w:t>
      </w:r>
      <w:r w:rsidRPr="00A60794">
        <w:rPr>
          <w:rFonts w:asciiTheme="minorHAnsi" w:hAnsiTheme="minorHAnsi" w:cstheme="minorHAnsi"/>
          <w:b w:val="0"/>
          <w:sz w:val="22"/>
          <w:szCs w:val="22"/>
        </w:rPr>
        <w:t xml:space="preserve">. Tot slot zal ik mij verdiepen in de </w:t>
      </w:r>
      <w:r w:rsidR="00926635" w:rsidRPr="00A60794">
        <w:rPr>
          <w:rFonts w:asciiTheme="minorHAnsi" w:hAnsiTheme="minorHAnsi" w:cstheme="minorHAnsi"/>
          <w:b w:val="0"/>
          <w:sz w:val="22"/>
          <w:szCs w:val="22"/>
        </w:rPr>
        <w:t>Groene Serie omtrent het vermogensrecht.</w:t>
      </w:r>
      <w:r w:rsidRPr="00A60794">
        <w:rPr>
          <w:rFonts w:asciiTheme="minorHAnsi" w:hAnsiTheme="minorHAnsi" w:cstheme="minorHAnsi"/>
          <w:b w:val="0"/>
          <w:sz w:val="22"/>
          <w:szCs w:val="22"/>
        </w:rPr>
        <w:t xml:space="preserve"> </w:t>
      </w:r>
      <w:r w:rsidR="00C871A2" w:rsidRPr="00A60794">
        <w:rPr>
          <w:rFonts w:asciiTheme="minorHAnsi" w:hAnsiTheme="minorHAnsi" w:cstheme="minorHAnsi"/>
          <w:b w:val="0"/>
          <w:sz w:val="22"/>
          <w:szCs w:val="22"/>
        </w:rPr>
        <w:t xml:space="preserve">Door de verscheidenheid aan bronnen zal de kwaliteit van het onderzoek worden gewaarborgd. </w:t>
      </w:r>
      <w:r w:rsidRPr="00A60794">
        <w:rPr>
          <w:rFonts w:asciiTheme="minorHAnsi" w:hAnsiTheme="minorHAnsi" w:cstheme="minorHAnsi"/>
          <w:b w:val="0"/>
          <w:sz w:val="22"/>
          <w:szCs w:val="22"/>
        </w:rPr>
        <w:t xml:space="preserve">Als ik kennis heb genomen van </w:t>
      </w:r>
      <w:r w:rsidR="00926635" w:rsidRPr="00A60794">
        <w:rPr>
          <w:rFonts w:asciiTheme="minorHAnsi" w:hAnsiTheme="minorHAnsi" w:cstheme="minorHAnsi"/>
          <w:b w:val="0"/>
          <w:sz w:val="22"/>
          <w:szCs w:val="22"/>
        </w:rPr>
        <w:t xml:space="preserve">in ieder geval </w:t>
      </w:r>
      <w:r w:rsidRPr="00A60794">
        <w:rPr>
          <w:rFonts w:asciiTheme="minorHAnsi" w:hAnsiTheme="minorHAnsi" w:cstheme="minorHAnsi"/>
          <w:b w:val="0"/>
          <w:sz w:val="22"/>
          <w:szCs w:val="22"/>
        </w:rPr>
        <w:t>de hiervoor genoemde bronnen kan ik antwoord geven op deelvraag 1.</w:t>
      </w:r>
    </w:p>
    <w:p w:rsidR="00AB3B7D" w:rsidRPr="00A60794" w:rsidRDefault="00AB3B7D" w:rsidP="00426C98">
      <w:pPr>
        <w:jc w:val="left"/>
        <w:rPr>
          <w:rFonts w:asciiTheme="minorHAnsi" w:hAnsiTheme="minorHAnsi" w:cstheme="minorHAnsi"/>
          <w:b w:val="0"/>
          <w:sz w:val="22"/>
          <w:szCs w:val="22"/>
          <w:u w:val="single"/>
        </w:rPr>
      </w:pPr>
    </w:p>
    <w:p w:rsidR="00AB3B7D" w:rsidRPr="00A60794" w:rsidRDefault="00AB3B7D"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u w:val="single"/>
        </w:rPr>
        <w:t xml:space="preserve">Onderzoeksmethode op deelvraag 2: </w:t>
      </w:r>
      <w:r w:rsidR="00305A98" w:rsidRPr="00A60794">
        <w:rPr>
          <w:rFonts w:asciiTheme="minorHAnsi" w:hAnsiTheme="minorHAnsi" w:cstheme="minorHAnsi"/>
          <w:b w:val="0"/>
          <w:sz w:val="22"/>
          <w:szCs w:val="22"/>
          <w:u w:val="single"/>
        </w:rPr>
        <w:t>Hoe verhouden pinbetalingen zich tot verpanding?</w:t>
      </w:r>
    </w:p>
    <w:p w:rsidR="00991C4C" w:rsidRPr="00A60794" w:rsidRDefault="00AB3B7D"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Ik zal deelvraag 2 beantwoorden door middel van </w:t>
      </w:r>
      <w:r w:rsidR="005719DF" w:rsidRPr="00A60794">
        <w:rPr>
          <w:rFonts w:asciiTheme="minorHAnsi" w:hAnsiTheme="minorHAnsi" w:cstheme="minorHAnsi"/>
          <w:b w:val="0"/>
          <w:sz w:val="22"/>
          <w:szCs w:val="22"/>
        </w:rPr>
        <w:t xml:space="preserve">een Wetsanalyse en een Literatuuronderzoek. Ik zal in de wet- en regelgeving opzoeken wat er juridisch geregeld is omtrent pinbetalingen. Daarnaast zal ik in literatuur opzoeken of- en hoe pinbetalingen verpand kunnen worden. </w:t>
      </w:r>
      <w:r w:rsidR="00252EF1" w:rsidRPr="00A60794">
        <w:rPr>
          <w:rFonts w:asciiTheme="minorHAnsi" w:hAnsiTheme="minorHAnsi" w:cstheme="minorHAnsi"/>
          <w:b w:val="0"/>
          <w:sz w:val="22"/>
          <w:szCs w:val="22"/>
        </w:rPr>
        <w:t>Ik zal in ieder geval in boek 6 van het Burgerlijk Wetboek kijken omtrent verbintenissen. Specifiek zal ik kijken artikel 6:114 BW, het voldoen van een verbintenis door middel van een girale betaling.</w:t>
      </w:r>
      <w:r w:rsidR="005719DF" w:rsidRPr="00A60794">
        <w:rPr>
          <w:rFonts w:asciiTheme="minorHAnsi" w:hAnsiTheme="minorHAnsi" w:cstheme="minorHAnsi"/>
          <w:b w:val="0"/>
          <w:sz w:val="22"/>
          <w:szCs w:val="22"/>
        </w:rPr>
        <w:t xml:space="preserve"> </w:t>
      </w:r>
      <w:r w:rsidR="001C0254" w:rsidRPr="00A60794">
        <w:rPr>
          <w:rFonts w:asciiTheme="minorHAnsi" w:hAnsiTheme="minorHAnsi" w:cstheme="minorHAnsi"/>
          <w:b w:val="0"/>
          <w:sz w:val="22"/>
          <w:szCs w:val="22"/>
        </w:rPr>
        <w:t xml:space="preserve">Verder zal ik literatuur en jurisprudentie bekijken om het verpanden van pinbetalingen te verhelderen. Ik zal in ieder geval het boek Verrekening van N.E.D. Faber uit 2005 gebruiken. </w:t>
      </w:r>
      <w:r w:rsidR="00C1182F" w:rsidRPr="00A60794">
        <w:rPr>
          <w:rFonts w:asciiTheme="minorHAnsi" w:hAnsiTheme="minorHAnsi" w:cstheme="minorHAnsi"/>
          <w:b w:val="0"/>
          <w:sz w:val="22"/>
          <w:szCs w:val="22"/>
        </w:rPr>
        <w:t>Verder zal ik de Groene Serie omtrent het verbintenissenrecht en het arrest Mulder q.q./CLBN gebruiken.</w:t>
      </w:r>
      <w:r w:rsidR="00024240" w:rsidRPr="00A60794">
        <w:rPr>
          <w:rFonts w:asciiTheme="minorHAnsi" w:hAnsiTheme="minorHAnsi" w:cstheme="minorHAnsi"/>
          <w:b w:val="0"/>
          <w:sz w:val="22"/>
          <w:szCs w:val="22"/>
        </w:rPr>
        <w:t xml:space="preserve"> </w:t>
      </w:r>
      <w:r w:rsidR="00B7645C" w:rsidRPr="00A60794">
        <w:rPr>
          <w:rFonts w:asciiTheme="minorHAnsi" w:hAnsiTheme="minorHAnsi" w:cstheme="minorHAnsi"/>
          <w:b w:val="0"/>
          <w:sz w:val="22"/>
          <w:szCs w:val="22"/>
        </w:rPr>
        <w:t xml:space="preserve">Door de verscheidenheid aan bronnen zal de kwaliteit van het onderzoek worden gewaarborgd. </w:t>
      </w:r>
      <w:r w:rsidR="00024240" w:rsidRPr="00A60794">
        <w:rPr>
          <w:rFonts w:asciiTheme="minorHAnsi" w:hAnsiTheme="minorHAnsi" w:cstheme="minorHAnsi"/>
          <w:b w:val="0"/>
          <w:sz w:val="22"/>
          <w:szCs w:val="22"/>
        </w:rPr>
        <w:t>Als ik kennis heb genomen van in ieder geval de hiervoor genoemde bronnen kan ik antwoord geven op deelvraag 2.</w:t>
      </w:r>
    </w:p>
    <w:p w:rsidR="001B1AF2" w:rsidRPr="00A60794" w:rsidRDefault="001B1AF2" w:rsidP="00426C98">
      <w:pPr>
        <w:jc w:val="left"/>
        <w:rPr>
          <w:rFonts w:asciiTheme="minorHAnsi" w:hAnsiTheme="minorHAnsi" w:cstheme="minorHAnsi"/>
          <w:b w:val="0"/>
          <w:sz w:val="22"/>
          <w:szCs w:val="22"/>
        </w:rPr>
      </w:pPr>
    </w:p>
    <w:p w:rsidR="00432360" w:rsidRPr="00A60794" w:rsidRDefault="00737D81" w:rsidP="00432360">
      <w:pPr>
        <w:jc w:val="left"/>
        <w:rPr>
          <w:rFonts w:asciiTheme="minorHAnsi" w:hAnsiTheme="minorHAnsi" w:cstheme="minorHAnsi"/>
          <w:b w:val="0"/>
          <w:sz w:val="22"/>
          <w:szCs w:val="22"/>
        </w:rPr>
      </w:pPr>
      <w:r w:rsidRPr="00A60794">
        <w:rPr>
          <w:rFonts w:asciiTheme="minorHAnsi" w:hAnsiTheme="minorHAnsi" w:cstheme="minorHAnsi"/>
          <w:b w:val="0"/>
          <w:sz w:val="22"/>
          <w:szCs w:val="22"/>
          <w:u w:val="single"/>
        </w:rPr>
        <w:t>Onderzoeksmethode op deelvraag 3</w:t>
      </w:r>
      <w:r w:rsidR="00432360" w:rsidRPr="00A60794">
        <w:rPr>
          <w:rFonts w:asciiTheme="minorHAnsi" w:hAnsiTheme="minorHAnsi" w:cstheme="minorHAnsi"/>
          <w:b w:val="0"/>
          <w:sz w:val="22"/>
          <w:szCs w:val="22"/>
          <w:u w:val="single"/>
        </w:rPr>
        <w:t>: Wat houdt verrekenen in en hoe is dit wettelijk geregeld?</w:t>
      </w:r>
    </w:p>
    <w:p w:rsidR="00432360" w:rsidRPr="00A60794" w:rsidRDefault="00293E5F"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Ik zal deelvraag 3 beantwoorden door middel van een Wetsanalyse en een Literatuuronderzoek. Ik zal in de wet- en regelgeving opzoeken wat </w:t>
      </w:r>
      <w:r w:rsidR="00A35154" w:rsidRPr="00A60794">
        <w:rPr>
          <w:rFonts w:asciiTheme="minorHAnsi" w:hAnsiTheme="minorHAnsi" w:cstheme="minorHAnsi"/>
          <w:b w:val="0"/>
          <w:sz w:val="22"/>
          <w:szCs w:val="22"/>
        </w:rPr>
        <w:t>de juridische grondslag is voor</w:t>
      </w:r>
      <w:r w:rsidRPr="00A60794">
        <w:rPr>
          <w:rFonts w:asciiTheme="minorHAnsi" w:hAnsiTheme="minorHAnsi" w:cstheme="minorHAnsi"/>
          <w:b w:val="0"/>
          <w:sz w:val="22"/>
          <w:szCs w:val="22"/>
        </w:rPr>
        <w:t xml:space="preserve"> </w:t>
      </w:r>
      <w:r w:rsidR="00263B86" w:rsidRPr="00A60794">
        <w:rPr>
          <w:rFonts w:asciiTheme="minorHAnsi" w:hAnsiTheme="minorHAnsi" w:cstheme="minorHAnsi"/>
          <w:b w:val="0"/>
          <w:sz w:val="22"/>
          <w:szCs w:val="22"/>
        </w:rPr>
        <w:t>verrekening</w:t>
      </w:r>
      <w:r w:rsidRPr="00A60794">
        <w:rPr>
          <w:rFonts w:asciiTheme="minorHAnsi" w:hAnsiTheme="minorHAnsi" w:cstheme="minorHAnsi"/>
          <w:b w:val="0"/>
          <w:sz w:val="22"/>
          <w:szCs w:val="22"/>
        </w:rPr>
        <w:t>.</w:t>
      </w:r>
      <w:r w:rsidR="00263B86" w:rsidRPr="00A60794">
        <w:rPr>
          <w:rFonts w:asciiTheme="minorHAnsi" w:hAnsiTheme="minorHAnsi" w:cstheme="minorHAnsi"/>
          <w:b w:val="0"/>
          <w:sz w:val="22"/>
          <w:szCs w:val="22"/>
        </w:rPr>
        <w:t xml:space="preserve"> </w:t>
      </w:r>
      <w:r w:rsidR="00B77024" w:rsidRPr="00A60794">
        <w:rPr>
          <w:rFonts w:asciiTheme="minorHAnsi" w:hAnsiTheme="minorHAnsi" w:cstheme="minorHAnsi"/>
          <w:b w:val="0"/>
          <w:sz w:val="22"/>
          <w:szCs w:val="22"/>
        </w:rPr>
        <w:t xml:space="preserve">Ik zal in ieder geval boek 6 titel 1 afdeling 12 Burgerlijk Wetboek bekijken omtrent verrekening. </w:t>
      </w:r>
      <w:r w:rsidR="00995EE2" w:rsidRPr="00A60794">
        <w:rPr>
          <w:rFonts w:asciiTheme="minorHAnsi" w:hAnsiTheme="minorHAnsi" w:cstheme="minorHAnsi"/>
          <w:b w:val="0"/>
          <w:sz w:val="22"/>
          <w:szCs w:val="22"/>
        </w:rPr>
        <w:t xml:space="preserve">Ik zal specifiek ingaan op artikel 6:127 lid 2 BW en hier ook Tekst en Commentaar bij </w:t>
      </w:r>
      <w:r w:rsidR="00723937" w:rsidRPr="00A60794">
        <w:rPr>
          <w:rFonts w:asciiTheme="minorHAnsi" w:hAnsiTheme="minorHAnsi" w:cstheme="minorHAnsi"/>
          <w:b w:val="0"/>
          <w:sz w:val="22"/>
          <w:szCs w:val="22"/>
        </w:rPr>
        <w:t>nemen</w:t>
      </w:r>
      <w:r w:rsidR="00995EE2" w:rsidRPr="00A60794">
        <w:rPr>
          <w:rFonts w:asciiTheme="minorHAnsi" w:hAnsiTheme="minorHAnsi" w:cstheme="minorHAnsi"/>
          <w:b w:val="0"/>
          <w:sz w:val="22"/>
          <w:szCs w:val="22"/>
        </w:rPr>
        <w:t xml:space="preserve">. </w:t>
      </w:r>
      <w:r w:rsidR="00926C29" w:rsidRPr="00A60794">
        <w:rPr>
          <w:rFonts w:asciiTheme="minorHAnsi" w:hAnsiTheme="minorHAnsi" w:cstheme="minorHAnsi"/>
          <w:b w:val="0"/>
          <w:sz w:val="22"/>
          <w:szCs w:val="22"/>
        </w:rPr>
        <w:t xml:space="preserve">Verder zal ik de Asser-serie omtrent verrekening gebruiken. </w:t>
      </w:r>
      <w:r w:rsidR="00581231" w:rsidRPr="00A60794">
        <w:rPr>
          <w:rFonts w:asciiTheme="minorHAnsi" w:hAnsiTheme="minorHAnsi" w:cstheme="minorHAnsi"/>
          <w:b w:val="0"/>
          <w:sz w:val="22"/>
          <w:szCs w:val="22"/>
        </w:rPr>
        <w:t xml:space="preserve">Door de verscheidenheid aan bronnen zal de kwaliteit van het onderzoek worden gewaarborgd. </w:t>
      </w:r>
      <w:r w:rsidR="00F061B6" w:rsidRPr="00A60794">
        <w:rPr>
          <w:rFonts w:asciiTheme="minorHAnsi" w:hAnsiTheme="minorHAnsi" w:cstheme="minorHAnsi"/>
          <w:b w:val="0"/>
          <w:sz w:val="22"/>
          <w:szCs w:val="22"/>
        </w:rPr>
        <w:t>Als ik kennis heb genomen van in ieder geval de hiervoor genoemde bronnen kan ik antwoord geven op deelvraag 3.</w:t>
      </w:r>
    </w:p>
    <w:p w:rsidR="00581231" w:rsidRPr="00A60794" w:rsidRDefault="00581231" w:rsidP="005E34D2">
      <w:pPr>
        <w:jc w:val="left"/>
        <w:rPr>
          <w:rFonts w:asciiTheme="minorHAnsi" w:hAnsiTheme="minorHAnsi" w:cstheme="minorHAnsi"/>
          <w:b w:val="0"/>
          <w:sz w:val="22"/>
          <w:szCs w:val="22"/>
          <w:u w:val="single"/>
        </w:rPr>
      </w:pPr>
    </w:p>
    <w:p w:rsidR="005E34D2" w:rsidRPr="00A60794" w:rsidRDefault="005E34D2" w:rsidP="005E34D2">
      <w:pPr>
        <w:jc w:val="left"/>
        <w:rPr>
          <w:rFonts w:asciiTheme="minorHAnsi" w:hAnsiTheme="minorHAnsi" w:cstheme="minorHAnsi"/>
          <w:b w:val="0"/>
          <w:sz w:val="22"/>
          <w:szCs w:val="22"/>
        </w:rPr>
      </w:pPr>
      <w:r w:rsidRPr="00A60794">
        <w:rPr>
          <w:rFonts w:asciiTheme="minorHAnsi" w:hAnsiTheme="minorHAnsi" w:cstheme="minorHAnsi"/>
          <w:b w:val="0"/>
          <w:sz w:val="22"/>
          <w:szCs w:val="22"/>
          <w:u w:val="single"/>
        </w:rPr>
        <w:t xml:space="preserve">Onderzoeksmethode op deelvraag 4: </w:t>
      </w:r>
      <w:r w:rsidR="006F2AAB" w:rsidRPr="00A60794">
        <w:rPr>
          <w:rFonts w:asciiTheme="minorHAnsi" w:hAnsiTheme="minorHAnsi" w:cstheme="minorHAnsi"/>
          <w:b w:val="0"/>
          <w:sz w:val="22"/>
          <w:szCs w:val="22"/>
          <w:u w:val="single"/>
        </w:rPr>
        <w:t xml:space="preserve">Wat is er </w:t>
      </w:r>
      <w:r w:rsidR="000C0A37" w:rsidRPr="00A60794">
        <w:rPr>
          <w:rFonts w:asciiTheme="minorHAnsi" w:hAnsiTheme="minorHAnsi" w:cstheme="minorHAnsi"/>
          <w:b w:val="0"/>
          <w:sz w:val="22"/>
          <w:szCs w:val="22"/>
          <w:u w:val="single"/>
        </w:rPr>
        <w:t xml:space="preserve">wettelijk </w:t>
      </w:r>
      <w:r w:rsidR="006F2AAB" w:rsidRPr="00A60794">
        <w:rPr>
          <w:rFonts w:asciiTheme="minorHAnsi" w:hAnsiTheme="minorHAnsi" w:cstheme="minorHAnsi"/>
          <w:b w:val="0"/>
          <w:sz w:val="22"/>
          <w:szCs w:val="22"/>
          <w:u w:val="single"/>
        </w:rPr>
        <w:t>geregeld omtrent verrekenen in het zicht van een faillissement?</w:t>
      </w:r>
    </w:p>
    <w:p w:rsidR="006116C9" w:rsidRPr="00A60794" w:rsidRDefault="00704BFB" w:rsidP="006116C9">
      <w:pPr>
        <w:pStyle w:val="Voetnoottekst"/>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Ik zal deelvraag 4 beantwoorden door middel van een Wetsanalyse en een Literatuuronderzoek. Ik zal in de wet- en regelgeving opzoeken wat de juridische grondslag is voor het verrekenen in zijn algemeenheid en specifiek voor het verrekenen in het zicht van een faillissement. </w:t>
      </w:r>
      <w:r w:rsidR="006116C9" w:rsidRPr="00A60794">
        <w:rPr>
          <w:rFonts w:asciiTheme="minorHAnsi" w:hAnsiTheme="minorHAnsi" w:cstheme="minorHAnsi"/>
          <w:b w:val="0"/>
          <w:sz w:val="22"/>
          <w:szCs w:val="22"/>
        </w:rPr>
        <w:t>Ik zal hiervoor kijken in boek 6 van het Burgerlijk Wetboek en in de Faillissementswet. Specifiek zal ik in de artike</w:t>
      </w:r>
      <w:r w:rsidR="004A5C2F" w:rsidRPr="00A60794">
        <w:rPr>
          <w:rFonts w:asciiTheme="minorHAnsi" w:hAnsiTheme="minorHAnsi" w:cstheme="minorHAnsi"/>
          <w:b w:val="0"/>
          <w:sz w:val="22"/>
          <w:szCs w:val="22"/>
        </w:rPr>
        <w:t xml:space="preserve">len 42, 47, 53 en 54 </w:t>
      </w:r>
      <w:proofErr w:type="spellStart"/>
      <w:r w:rsidR="004A5C2F" w:rsidRPr="00A60794">
        <w:rPr>
          <w:rFonts w:asciiTheme="minorHAnsi" w:hAnsiTheme="minorHAnsi" w:cstheme="minorHAnsi"/>
          <w:b w:val="0"/>
          <w:sz w:val="22"/>
          <w:szCs w:val="22"/>
        </w:rPr>
        <w:t>Fw</w:t>
      </w:r>
      <w:proofErr w:type="spellEnd"/>
      <w:r w:rsidR="004A5C2F" w:rsidRPr="00A60794">
        <w:rPr>
          <w:rFonts w:asciiTheme="minorHAnsi" w:hAnsiTheme="minorHAnsi" w:cstheme="minorHAnsi"/>
          <w:b w:val="0"/>
          <w:sz w:val="22"/>
          <w:szCs w:val="22"/>
        </w:rPr>
        <w:t xml:space="preserve"> kijken en hier Tekst en Commentaar bij gebruiken. </w:t>
      </w:r>
      <w:r w:rsidR="00947F79" w:rsidRPr="00A60794">
        <w:rPr>
          <w:rFonts w:asciiTheme="minorHAnsi" w:hAnsiTheme="minorHAnsi" w:cstheme="minorHAnsi"/>
          <w:b w:val="0"/>
          <w:sz w:val="22"/>
          <w:szCs w:val="22"/>
        </w:rPr>
        <w:t>Verder zal ik het Tijdschrift voor Insolventierecht gebruiken</w:t>
      </w:r>
      <w:r w:rsidR="00637C7A" w:rsidRPr="00A60794">
        <w:rPr>
          <w:rFonts w:asciiTheme="minorHAnsi" w:hAnsiTheme="minorHAnsi" w:cstheme="minorHAnsi"/>
          <w:b w:val="0"/>
          <w:sz w:val="22"/>
          <w:szCs w:val="22"/>
        </w:rPr>
        <w:t>, de Nederlandse Jurisprudentie serie</w:t>
      </w:r>
      <w:r w:rsidR="00947F79" w:rsidRPr="00A60794">
        <w:rPr>
          <w:rFonts w:asciiTheme="minorHAnsi" w:hAnsiTheme="minorHAnsi" w:cstheme="minorHAnsi"/>
          <w:b w:val="0"/>
          <w:sz w:val="22"/>
          <w:szCs w:val="22"/>
        </w:rPr>
        <w:t xml:space="preserve"> </w:t>
      </w:r>
      <w:r w:rsidR="00637C7A" w:rsidRPr="00A60794">
        <w:rPr>
          <w:rFonts w:asciiTheme="minorHAnsi" w:hAnsiTheme="minorHAnsi" w:cstheme="minorHAnsi"/>
          <w:b w:val="0"/>
          <w:sz w:val="22"/>
          <w:szCs w:val="22"/>
        </w:rPr>
        <w:t xml:space="preserve">bekijken </w:t>
      </w:r>
      <w:r w:rsidR="00947F79" w:rsidRPr="00A60794">
        <w:rPr>
          <w:rFonts w:asciiTheme="minorHAnsi" w:hAnsiTheme="minorHAnsi" w:cstheme="minorHAnsi"/>
          <w:b w:val="0"/>
          <w:sz w:val="22"/>
          <w:szCs w:val="22"/>
        </w:rPr>
        <w:t xml:space="preserve">en zal ik de Groene Serie omtrent de Faillissementswet erop naslaan. </w:t>
      </w:r>
      <w:r w:rsidR="0007747E" w:rsidRPr="00A60794">
        <w:rPr>
          <w:rFonts w:asciiTheme="minorHAnsi" w:hAnsiTheme="minorHAnsi" w:cstheme="minorHAnsi"/>
          <w:b w:val="0"/>
          <w:sz w:val="22"/>
          <w:szCs w:val="22"/>
        </w:rPr>
        <w:t>Tot slot zal ik het boek Verrekening van N.E.D. Faber uit 2005 gebruiken.</w:t>
      </w:r>
      <w:r w:rsidR="000A2610" w:rsidRPr="00A60794">
        <w:rPr>
          <w:rFonts w:asciiTheme="minorHAnsi" w:hAnsiTheme="minorHAnsi" w:cstheme="minorHAnsi"/>
          <w:b w:val="0"/>
          <w:sz w:val="22"/>
          <w:szCs w:val="22"/>
        </w:rPr>
        <w:t xml:space="preserve"> Door de verscheidenheid aan bronnen zal de kwaliteit van het onderzoek worden gewaarborgd. </w:t>
      </w:r>
      <w:r w:rsidR="0023457F" w:rsidRPr="00A60794">
        <w:rPr>
          <w:rFonts w:asciiTheme="minorHAnsi" w:hAnsiTheme="minorHAnsi" w:cstheme="minorHAnsi"/>
          <w:b w:val="0"/>
          <w:sz w:val="22"/>
          <w:szCs w:val="22"/>
        </w:rPr>
        <w:t xml:space="preserve">Als ik kennis heb genomen van in ieder geval de hiervoor genoemde bronnen kan ik antwoord geven op deelvraag </w:t>
      </w:r>
      <w:r w:rsidR="00B044A4" w:rsidRPr="00A60794">
        <w:rPr>
          <w:rFonts w:asciiTheme="minorHAnsi" w:hAnsiTheme="minorHAnsi" w:cstheme="minorHAnsi"/>
          <w:b w:val="0"/>
          <w:sz w:val="22"/>
          <w:szCs w:val="22"/>
        </w:rPr>
        <w:t>4</w:t>
      </w:r>
      <w:r w:rsidR="0023457F" w:rsidRPr="00A60794">
        <w:rPr>
          <w:rFonts w:asciiTheme="minorHAnsi" w:hAnsiTheme="minorHAnsi" w:cstheme="minorHAnsi"/>
          <w:b w:val="0"/>
          <w:sz w:val="22"/>
          <w:szCs w:val="22"/>
        </w:rPr>
        <w:t>.</w:t>
      </w:r>
    </w:p>
    <w:p w:rsidR="00432360" w:rsidRPr="00A60794" w:rsidRDefault="00432360" w:rsidP="00426C98">
      <w:pPr>
        <w:jc w:val="left"/>
        <w:rPr>
          <w:rFonts w:asciiTheme="minorHAnsi" w:hAnsiTheme="minorHAnsi" w:cstheme="minorHAnsi"/>
          <w:b w:val="0"/>
          <w:sz w:val="22"/>
          <w:szCs w:val="22"/>
        </w:rPr>
      </w:pPr>
    </w:p>
    <w:p w:rsidR="004E45DD" w:rsidRPr="00A60794" w:rsidRDefault="004E45DD" w:rsidP="004E45DD">
      <w:pPr>
        <w:jc w:val="left"/>
        <w:rPr>
          <w:rFonts w:asciiTheme="minorHAnsi" w:hAnsiTheme="minorHAnsi" w:cstheme="minorHAnsi"/>
          <w:b w:val="0"/>
          <w:sz w:val="22"/>
          <w:szCs w:val="22"/>
        </w:rPr>
      </w:pPr>
      <w:r w:rsidRPr="00A60794">
        <w:rPr>
          <w:rFonts w:asciiTheme="minorHAnsi" w:hAnsiTheme="minorHAnsi" w:cstheme="minorHAnsi"/>
          <w:b w:val="0"/>
          <w:sz w:val="22"/>
          <w:szCs w:val="22"/>
          <w:u w:val="single"/>
        </w:rPr>
        <w:t xml:space="preserve">Onderzoeksmethode op deelvraag 5: </w:t>
      </w:r>
      <w:r w:rsidR="007C50B3" w:rsidRPr="00A60794">
        <w:rPr>
          <w:rFonts w:asciiTheme="minorHAnsi" w:hAnsiTheme="minorHAnsi" w:cstheme="minorHAnsi"/>
          <w:b w:val="0"/>
          <w:sz w:val="22"/>
          <w:szCs w:val="22"/>
          <w:u w:val="single"/>
        </w:rPr>
        <w:t xml:space="preserve">Wat zijn </w:t>
      </w:r>
      <w:r w:rsidR="007B3710" w:rsidRPr="00A60794">
        <w:rPr>
          <w:rFonts w:asciiTheme="minorHAnsi" w:hAnsiTheme="minorHAnsi" w:cstheme="minorHAnsi"/>
          <w:b w:val="0"/>
          <w:sz w:val="22"/>
          <w:szCs w:val="22"/>
          <w:u w:val="single"/>
        </w:rPr>
        <w:t>volgens jurisprudentie de omstandigheden om te mogen verrekenen in het zicht van het faillissement?</w:t>
      </w:r>
    </w:p>
    <w:p w:rsidR="00BF2604" w:rsidRPr="00A60794" w:rsidRDefault="00BF2604"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Omtrent de omstandigheden om te mogen verrekenen in het zicht van een faillissement </w:t>
      </w:r>
      <w:r w:rsidR="00FD4087" w:rsidRPr="00A60794">
        <w:rPr>
          <w:rFonts w:asciiTheme="minorHAnsi" w:hAnsiTheme="minorHAnsi" w:cstheme="minorHAnsi"/>
          <w:b w:val="0"/>
          <w:sz w:val="22"/>
          <w:szCs w:val="22"/>
        </w:rPr>
        <w:t xml:space="preserve">zal ik een </w:t>
      </w:r>
      <w:r w:rsidR="00FF3A5A" w:rsidRPr="00A60794">
        <w:rPr>
          <w:rFonts w:asciiTheme="minorHAnsi" w:hAnsiTheme="minorHAnsi" w:cstheme="minorHAnsi"/>
          <w:b w:val="0"/>
          <w:sz w:val="22"/>
          <w:szCs w:val="22"/>
        </w:rPr>
        <w:t>J</w:t>
      </w:r>
      <w:r w:rsidR="00FD4087" w:rsidRPr="00A60794">
        <w:rPr>
          <w:rFonts w:asciiTheme="minorHAnsi" w:hAnsiTheme="minorHAnsi" w:cstheme="minorHAnsi"/>
          <w:b w:val="0"/>
          <w:sz w:val="22"/>
          <w:szCs w:val="22"/>
        </w:rPr>
        <w:t xml:space="preserve">urisprudentieonderzoek doen. </w:t>
      </w:r>
      <w:r w:rsidRPr="00A60794">
        <w:rPr>
          <w:rFonts w:asciiTheme="minorHAnsi" w:hAnsiTheme="minorHAnsi" w:cstheme="minorHAnsi"/>
          <w:b w:val="0"/>
          <w:sz w:val="22"/>
          <w:szCs w:val="22"/>
        </w:rPr>
        <w:t>Het</w:t>
      </w:r>
      <w:r w:rsidR="00FD4087" w:rsidRPr="00A60794">
        <w:rPr>
          <w:rFonts w:asciiTheme="minorHAnsi" w:hAnsiTheme="minorHAnsi" w:cstheme="minorHAnsi"/>
          <w:b w:val="0"/>
          <w:sz w:val="22"/>
          <w:szCs w:val="22"/>
        </w:rPr>
        <w:t xml:space="preserve"> arrest</w:t>
      </w:r>
      <w:r w:rsidRPr="00A60794">
        <w:rPr>
          <w:rFonts w:asciiTheme="minorHAnsi" w:hAnsiTheme="minorHAnsi" w:cstheme="minorHAnsi"/>
          <w:b w:val="0"/>
          <w:sz w:val="22"/>
          <w:szCs w:val="22"/>
        </w:rPr>
        <w:t xml:space="preserve"> </w:t>
      </w:r>
      <w:r w:rsidR="00827DBD" w:rsidRPr="00A60794">
        <w:rPr>
          <w:rFonts w:asciiTheme="minorHAnsi" w:hAnsiTheme="minorHAnsi" w:cstheme="minorHAnsi"/>
          <w:b w:val="0"/>
          <w:sz w:val="22"/>
          <w:szCs w:val="22"/>
        </w:rPr>
        <w:t xml:space="preserve">Mulder q.q./CLBN </w:t>
      </w:r>
      <w:r w:rsidR="00FD4087" w:rsidRPr="00A60794">
        <w:rPr>
          <w:rFonts w:asciiTheme="minorHAnsi" w:hAnsiTheme="minorHAnsi" w:cstheme="minorHAnsi"/>
          <w:b w:val="0"/>
          <w:sz w:val="22"/>
          <w:szCs w:val="22"/>
        </w:rPr>
        <w:t xml:space="preserve">staat centraal in mijn onderzoek. </w:t>
      </w:r>
      <w:r w:rsidR="007479E6" w:rsidRPr="00A60794">
        <w:rPr>
          <w:rFonts w:asciiTheme="minorHAnsi" w:hAnsiTheme="minorHAnsi" w:cstheme="minorHAnsi"/>
          <w:b w:val="0"/>
          <w:sz w:val="22"/>
          <w:szCs w:val="22"/>
        </w:rPr>
        <w:t>Echter, h</w:t>
      </w:r>
      <w:r w:rsidR="00FD4087" w:rsidRPr="00A60794">
        <w:rPr>
          <w:rFonts w:asciiTheme="minorHAnsi" w:hAnsiTheme="minorHAnsi" w:cstheme="minorHAnsi"/>
          <w:b w:val="0"/>
          <w:sz w:val="22"/>
          <w:szCs w:val="22"/>
        </w:rPr>
        <w:t xml:space="preserve">et arrest geeft niet duidelijk aan wat precies de omstandigheden en afwegingen zijn waarop een rechter het verrekenen </w:t>
      </w:r>
      <w:r w:rsidRPr="00A60794">
        <w:rPr>
          <w:rFonts w:asciiTheme="minorHAnsi" w:hAnsiTheme="minorHAnsi" w:cstheme="minorHAnsi"/>
          <w:b w:val="0"/>
          <w:sz w:val="22"/>
          <w:szCs w:val="22"/>
        </w:rPr>
        <w:t>in het zicht van</w:t>
      </w:r>
      <w:r w:rsidR="00FD4087" w:rsidRPr="00A60794">
        <w:rPr>
          <w:rFonts w:asciiTheme="minorHAnsi" w:hAnsiTheme="minorHAnsi" w:cstheme="minorHAnsi"/>
          <w:b w:val="0"/>
          <w:sz w:val="22"/>
          <w:szCs w:val="22"/>
        </w:rPr>
        <w:t xml:space="preserve"> een faillissement goed-/afkeurt. Er wordt alleen geschetst dat de</w:t>
      </w:r>
      <w:r w:rsidR="007479E6" w:rsidRPr="00A60794">
        <w:rPr>
          <w:rFonts w:asciiTheme="minorHAnsi" w:hAnsiTheme="minorHAnsi" w:cstheme="minorHAnsi"/>
          <w:b w:val="0"/>
          <w:sz w:val="22"/>
          <w:szCs w:val="22"/>
        </w:rPr>
        <w:t>gene die een pandrecht heeft</w:t>
      </w:r>
      <w:r w:rsidR="00FD4087" w:rsidRPr="00A60794">
        <w:rPr>
          <w:rFonts w:asciiTheme="minorHAnsi" w:hAnsiTheme="minorHAnsi" w:cstheme="minorHAnsi"/>
          <w:b w:val="0"/>
          <w:sz w:val="22"/>
          <w:szCs w:val="22"/>
        </w:rPr>
        <w:t xml:space="preserve"> mag verrekenen </w:t>
      </w:r>
      <w:r w:rsidR="007479E6" w:rsidRPr="00A60794">
        <w:rPr>
          <w:rFonts w:asciiTheme="minorHAnsi" w:hAnsiTheme="minorHAnsi" w:cstheme="minorHAnsi"/>
          <w:b w:val="0"/>
          <w:sz w:val="22"/>
          <w:szCs w:val="22"/>
        </w:rPr>
        <w:t xml:space="preserve">in het zicht van een faillissement </w:t>
      </w:r>
      <w:r w:rsidR="00FD4087" w:rsidRPr="00A60794">
        <w:rPr>
          <w:rFonts w:asciiTheme="minorHAnsi" w:hAnsiTheme="minorHAnsi" w:cstheme="minorHAnsi"/>
          <w:b w:val="0"/>
          <w:sz w:val="22"/>
          <w:szCs w:val="22"/>
        </w:rPr>
        <w:t>en dat het zonder pandrecht niet mag. Daarom wil ik rechtszaken onderzoek</w:t>
      </w:r>
      <w:r w:rsidR="00470139" w:rsidRPr="00A60794">
        <w:rPr>
          <w:rFonts w:asciiTheme="minorHAnsi" w:hAnsiTheme="minorHAnsi" w:cstheme="minorHAnsi"/>
          <w:b w:val="0"/>
          <w:sz w:val="22"/>
          <w:szCs w:val="22"/>
        </w:rPr>
        <w:t>en</w:t>
      </w:r>
      <w:r w:rsidR="00FD4087" w:rsidRPr="00A60794">
        <w:rPr>
          <w:rFonts w:asciiTheme="minorHAnsi" w:hAnsiTheme="minorHAnsi" w:cstheme="minorHAnsi"/>
          <w:b w:val="0"/>
          <w:sz w:val="22"/>
          <w:szCs w:val="22"/>
        </w:rPr>
        <w:t xml:space="preserve"> en met elkaar vergelijken. Ik heb 38 uitspraken over het arrest Mulder gevonden tussen 1995 (het </w:t>
      </w:r>
      <w:r w:rsidR="005768C3" w:rsidRPr="00A60794">
        <w:rPr>
          <w:rFonts w:asciiTheme="minorHAnsi" w:hAnsiTheme="minorHAnsi" w:cstheme="minorHAnsi"/>
          <w:b w:val="0"/>
          <w:sz w:val="22"/>
          <w:szCs w:val="22"/>
        </w:rPr>
        <w:t>originele arrest</w:t>
      </w:r>
      <w:r w:rsidR="00FD4087" w:rsidRPr="00A60794">
        <w:rPr>
          <w:rFonts w:asciiTheme="minorHAnsi" w:hAnsiTheme="minorHAnsi" w:cstheme="minorHAnsi"/>
          <w:b w:val="0"/>
          <w:sz w:val="22"/>
          <w:szCs w:val="22"/>
        </w:rPr>
        <w:t>) en 2016, waarvan de meesten erg groot en uitgebreid zijn. Ik wil daarvan de 30 meest inhoudelijke</w:t>
      </w:r>
      <w:r w:rsidRPr="00A60794">
        <w:rPr>
          <w:rFonts w:asciiTheme="minorHAnsi" w:hAnsiTheme="minorHAnsi" w:cstheme="minorHAnsi"/>
          <w:b w:val="0"/>
          <w:sz w:val="22"/>
          <w:szCs w:val="22"/>
        </w:rPr>
        <w:t xml:space="preserve"> uitspraken</w:t>
      </w:r>
      <w:r w:rsidR="00FD4087" w:rsidRPr="00A60794">
        <w:rPr>
          <w:rFonts w:asciiTheme="minorHAnsi" w:hAnsiTheme="minorHAnsi" w:cstheme="minorHAnsi"/>
          <w:b w:val="0"/>
          <w:sz w:val="22"/>
          <w:szCs w:val="22"/>
        </w:rPr>
        <w:t xml:space="preserve"> onderzoeken. Het is een oud arrest, dus ik zal voornamelijk naar de meest recente </w:t>
      </w:r>
      <w:r w:rsidRPr="00A60794">
        <w:rPr>
          <w:rFonts w:asciiTheme="minorHAnsi" w:hAnsiTheme="minorHAnsi" w:cstheme="minorHAnsi"/>
          <w:b w:val="0"/>
          <w:sz w:val="22"/>
          <w:szCs w:val="22"/>
        </w:rPr>
        <w:t>uitspraken</w:t>
      </w:r>
      <w:r w:rsidR="00FD4087" w:rsidRPr="00A60794">
        <w:rPr>
          <w:rFonts w:asciiTheme="minorHAnsi" w:hAnsiTheme="minorHAnsi" w:cstheme="minorHAnsi"/>
          <w:b w:val="0"/>
          <w:sz w:val="22"/>
          <w:szCs w:val="22"/>
        </w:rPr>
        <w:t xml:space="preserve"> kijken. Echter, indien ik zie dat een ouder arrest meer waarde en inhoud </w:t>
      </w:r>
      <w:r w:rsidRPr="00A60794">
        <w:rPr>
          <w:rFonts w:asciiTheme="minorHAnsi" w:hAnsiTheme="minorHAnsi" w:cstheme="minorHAnsi"/>
          <w:b w:val="0"/>
          <w:sz w:val="22"/>
          <w:szCs w:val="22"/>
        </w:rPr>
        <w:t>biedt</w:t>
      </w:r>
      <w:r w:rsidR="00FD4087" w:rsidRPr="00A60794">
        <w:rPr>
          <w:rFonts w:asciiTheme="minorHAnsi" w:hAnsiTheme="minorHAnsi" w:cstheme="minorHAnsi"/>
          <w:b w:val="0"/>
          <w:sz w:val="22"/>
          <w:szCs w:val="22"/>
        </w:rPr>
        <w:t xml:space="preserve"> voor mijn onderzoek, dan zal </w:t>
      </w:r>
      <w:r w:rsidR="00FD4087" w:rsidRPr="00A60794">
        <w:rPr>
          <w:rFonts w:asciiTheme="minorHAnsi" w:hAnsiTheme="minorHAnsi" w:cstheme="minorHAnsi"/>
          <w:b w:val="0"/>
          <w:sz w:val="22"/>
          <w:szCs w:val="22"/>
        </w:rPr>
        <w:lastRenderedPageBreak/>
        <w:t xml:space="preserve">ik die </w:t>
      </w:r>
      <w:r w:rsidRPr="00A60794">
        <w:rPr>
          <w:rFonts w:asciiTheme="minorHAnsi" w:hAnsiTheme="minorHAnsi" w:cstheme="minorHAnsi"/>
          <w:b w:val="0"/>
          <w:sz w:val="22"/>
          <w:szCs w:val="22"/>
        </w:rPr>
        <w:t xml:space="preserve">zaak </w:t>
      </w:r>
      <w:r w:rsidR="00FD4087" w:rsidRPr="00A60794">
        <w:rPr>
          <w:rFonts w:asciiTheme="minorHAnsi" w:hAnsiTheme="minorHAnsi" w:cstheme="minorHAnsi"/>
          <w:b w:val="0"/>
          <w:sz w:val="22"/>
          <w:szCs w:val="22"/>
        </w:rPr>
        <w:t>ve</w:t>
      </w:r>
      <w:r w:rsidRPr="00A60794">
        <w:rPr>
          <w:rFonts w:asciiTheme="minorHAnsi" w:hAnsiTheme="minorHAnsi" w:cstheme="minorHAnsi"/>
          <w:b w:val="0"/>
          <w:sz w:val="22"/>
          <w:szCs w:val="22"/>
        </w:rPr>
        <w:t>rkiezen boven een zaak uit 2016. Om een antwoord te vinden op deze deelvraag en onderzoeksgegevens te kunnen verzamelen heb ik de volgende topics gekozen waar ik in de verscheidene uitspraken op zal letten:</w:t>
      </w:r>
    </w:p>
    <w:p w:rsidR="00BF2604" w:rsidRPr="00A60794" w:rsidRDefault="00BF2604" w:rsidP="00BF2604">
      <w:pPr>
        <w:pStyle w:val="Lijstalinea"/>
        <w:numPr>
          <w:ilvl w:val="0"/>
          <w:numId w:val="25"/>
        </w:numPr>
        <w:jc w:val="left"/>
        <w:rPr>
          <w:rFonts w:asciiTheme="minorHAnsi" w:hAnsiTheme="minorHAnsi" w:cstheme="minorHAnsi"/>
          <w:b w:val="0"/>
          <w:sz w:val="22"/>
          <w:szCs w:val="22"/>
        </w:rPr>
      </w:pPr>
      <w:r w:rsidRPr="00A60794">
        <w:rPr>
          <w:rFonts w:asciiTheme="minorHAnsi" w:hAnsiTheme="minorHAnsi" w:cstheme="minorHAnsi"/>
          <w:b w:val="0"/>
          <w:sz w:val="22"/>
          <w:szCs w:val="22"/>
        </w:rPr>
        <w:t>Pandrecht op roerende zaak</w:t>
      </w:r>
    </w:p>
    <w:p w:rsidR="00BF2604" w:rsidRPr="00A60794" w:rsidRDefault="00BF2604" w:rsidP="00BF2604">
      <w:pPr>
        <w:pStyle w:val="Lijstalinea"/>
        <w:numPr>
          <w:ilvl w:val="0"/>
          <w:numId w:val="25"/>
        </w:numPr>
        <w:jc w:val="left"/>
        <w:rPr>
          <w:rFonts w:asciiTheme="minorHAnsi" w:hAnsiTheme="minorHAnsi" w:cstheme="minorHAnsi"/>
          <w:b w:val="0"/>
          <w:sz w:val="22"/>
          <w:szCs w:val="22"/>
        </w:rPr>
      </w:pPr>
      <w:r w:rsidRPr="00A60794">
        <w:rPr>
          <w:rFonts w:asciiTheme="minorHAnsi" w:hAnsiTheme="minorHAnsi" w:cstheme="minorHAnsi"/>
          <w:b w:val="0"/>
          <w:sz w:val="22"/>
          <w:szCs w:val="22"/>
        </w:rPr>
        <w:t>Pandrecht op vordering</w:t>
      </w:r>
    </w:p>
    <w:p w:rsidR="00BF2604" w:rsidRPr="00A60794" w:rsidRDefault="00BF2604" w:rsidP="00BF2604">
      <w:pPr>
        <w:pStyle w:val="Lijstalinea"/>
        <w:numPr>
          <w:ilvl w:val="0"/>
          <w:numId w:val="25"/>
        </w:numPr>
        <w:jc w:val="left"/>
        <w:rPr>
          <w:rFonts w:asciiTheme="minorHAnsi" w:hAnsiTheme="minorHAnsi" w:cstheme="minorHAnsi"/>
          <w:b w:val="0"/>
          <w:sz w:val="22"/>
          <w:szCs w:val="22"/>
        </w:rPr>
      </w:pPr>
      <w:r w:rsidRPr="00A60794">
        <w:rPr>
          <w:rFonts w:asciiTheme="minorHAnsi" w:hAnsiTheme="minorHAnsi" w:cstheme="minorHAnsi"/>
          <w:b w:val="0"/>
          <w:sz w:val="22"/>
          <w:szCs w:val="22"/>
        </w:rPr>
        <w:t>Pandrecht teniet gegaan</w:t>
      </w:r>
    </w:p>
    <w:p w:rsidR="00BF2604" w:rsidRPr="00A60794" w:rsidRDefault="00BF2604" w:rsidP="00BF2604">
      <w:pPr>
        <w:pStyle w:val="Lijstalinea"/>
        <w:numPr>
          <w:ilvl w:val="0"/>
          <w:numId w:val="25"/>
        </w:numPr>
        <w:jc w:val="left"/>
        <w:rPr>
          <w:rFonts w:asciiTheme="minorHAnsi" w:hAnsiTheme="minorHAnsi" w:cstheme="minorHAnsi"/>
          <w:b w:val="0"/>
          <w:sz w:val="22"/>
          <w:szCs w:val="22"/>
        </w:rPr>
      </w:pPr>
      <w:r w:rsidRPr="00A60794">
        <w:rPr>
          <w:rFonts w:asciiTheme="minorHAnsi" w:hAnsiTheme="minorHAnsi" w:cstheme="minorHAnsi"/>
          <w:b w:val="0"/>
          <w:sz w:val="22"/>
          <w:szCs w:val="22"/>
        </w:rPr>
        <w:t>Pandrecht openbaar gemaakt</w:t>
      </w:r>
    </w:p>
    <w:p w:rsidR="00BF2604" w:rsidRPr="00A60794" w:rsidRDefault="00BF2604" w:rsidP="00BF2604">
      <w:pPr>
        <w:pStyle w:val="Lijstalinea"/>
        <w:numPr>
          <w:ilvl w:val="0"/>
          <w:numId w:val="25"/>
        </w:numPr>
        <w:jc w:val="left"/>
        <w:rPr>
          <w:rFonts w:asciiTheme="minorHAnsi" w:hAnsiTheme="minorHAnsi" w:cstheme="minorHAnsi"/>
          <w:b w:val="0"/>
          <w:sz w:val="22"/>
          <w:szCs w:val="22"/>
        </w:rPr>
      </w:pPr>
      <w:r w:rsidRPr="00A60794">
        <w:rPr>
          <w:rFonts w:asciiTheme="minorHAnsi" w:hAnsiTheme="minorHAnsi" w:cstheme="minorHAnsi"/>
          <w:b w:val="0"/>
          <w:sz w:val="22"/>
          <w:szCs w:val="22"/>
        </w:rPr>
        <w:t>Stil Pandrecht</w:t>
      </w:r>
    </w:p>
    <w:p w:rsidR="00BF2604" w:rsidRPr="00A60794" w:rsidRDefault="00BF2604" w:rsidP="00BF2604">
      <w:pPr>
        <w:pStyle w:val="Lijstalinea"/>
        <w:numPr>
          <w:ilvl w:val="0"/>
          <w:numId w:val="25"/>
        </w:numPr>
        <w:jc w:val="left"/>
        <w:rPr>
          <w:rFonts w:asciiTheme="minorHAnsi" w:hAnsiTheme="minorHAnsi" w:cstheme="minorHAnsi"/>
          <w:b w:val="0"/>
          <w:sz w:val="22"/>
          <w:szCs w:val="22"/>
        </w:rPr>
      </w:pPr>
      <w:r w:rsidRPr="00A60794">
        <w:rPr>
          <w:rFonts w:asciiTheme="minorHAnsi" w:hAnsiTheme="minorHAnsi" w:cstheme="minorHAnsi"/>
          <w:b w:val="0"/>
          <w:sz w:val="22"/>
          <w:szCs w:val="22"/>
        </w:rPr>
        <w:t>Verzamelpandakte</w:t>
      </w:r>
    </w:p>
    <w:p w:rsidR="00BF2604" w:rsidRPr="00A60794" w:rsidRDefault="00BF2604" w:rsidP="00BF2604">
      <w:pPr>
        <w:pStyle w:val="Lijstalinea"/>
        <w:numPr>
          <w:ilvl w:val="0"/>
          <w:numId w:val="25"/>
        </w:numPr>
        <w:jc w:val="left"/>
        <w:rPr>
          <w:rFonts w:asciiTheme="minorHAnsi" w:hAnsiTheme="minorHAnsi" w:cstheme="minorHAnsi"/>
          <w:b w:val="0"/>
          <w:sz w:val="22"/>
          <w:szCs w:val="22"/>
        </w:rPr>
      </w:pPr>
      <w:r w:rsidRPr="00A60794">
        <w:rPr>
          <w:rFonts w:asciiTheme="minorHAnsi" w:hAnsiTheme="minorHAnsi" w:cstheme="minorHAnsi"/>
          <w:b w:val="0"/>
          <w:sz w:val="22"/>
          <w:szCs w:val="22"/>
        </w:rPr>
        <w:t>Recht van parate executie uitgeoefend</w:t>
      </w:r>
    </w:p>
    <w:p w:rsidR="00BF2604" w:rsidRPr="00A60794" w:rsidRDefault="00BF2604" w:rsidP="00BF2604">
      <w:pPr>
        <w:pStyle w:val="Lijstalinea"/>
        <w:numPr>
          <w:ilvl w:val="0"/>
          <w:numId w:val="25"/>
        </w:numPr>
        <w:jc w:val="left"/>
        <w:rPr>
          <w:rFonts w:asciiTheme="minorHAnsi" w:hAnsiTheme="minorHAnsi" w:cstheme="minorHAnsi"/>
          <w:b w:val="0"/>
          <w:sz w:val="22"/>
          <w:szCs w:val="22"/>
        </w:rPr>
      </w:pPr>
      <w:r w:rsidRPr="00A60794">
        <w:rPr>
          <w:rFonts w:asciiTheme="minorHAnsi" w:hAnsiTheme="minorHAnsi" w:cstheme="minorHAnsi"/>
          <w:b w:val="0"/>
          <w:sz w:val="22"/>
          <w:szCs w:val="22"/>
        </w:rPr>
        <w:t>Sprake van verrekening</w:t>
      </w:r>
    </w:p>
    <w:p w:rsidR="00BF2604" w:rsidRPr="00A60794" w:rsidRDefault="00BF2604" w:rsidP="00BF2604">
      <w:pPr>
        <w:pStyle w:val="Lijstalinea"/>
        <w:numPr>
          <w:ilvl w:val="0"/>
          <w:numId w:val="25"/>
        </w:numPr>
        <w:jc w:val="left"/>
        <w:rPr>
          <w:rFonts w:asciiTheme="minorHAnsi" w:hAnsiTheme="minorHAnsi" w:cstheme="minorHAnsi"/>
          <w:b w:val="0"/>
          <w:sz w:val="22"/>
          <w:szCs w:val="22"/>
        </w:rPr>
      </w:pPr>
      <w:r w:rsidRPr="00A60794">
        <w:rPr>
          <w:rFonts w:asciiTheme="minorHAnsi" w:hAnsiTheme="minorHAnsi" w:cstheme="minorHAnsi"/>
          <w:b w:val="0"/>
          <w:sz w:val="22"/>
          <w:szCs w:val="22"/>
        </w:rPr>
        <w:t>Zicht van faillissement</w:t>
      </w:r>
    </w:p>
    <w:p w:rsidR="00BF2604" w:rsidRPr="00A60794" w:rsidRDefault="00BF2604" w:rsidP="00BF2604">
      <w:pPr>
        <w:pStyle w:val="Lijstalinea"/>
        <w:numPr>
          <w:ilvl w:val="0"/>
          <w:numId w:val="25"/>
        </w:numPr>
        <w:jc w:val="left"/>
        <w:rPr>
          <w:rFonts w:asciiTheme="minorHAnsi" w:hAnsiTheme="minorHAnsi" w:cstheme="minorHAnsi"/>
          <w:b w:val="0"/>
          <w:sz w:val="22"/>
          <w:szCs w:val="22"/>
        </w:rPr>
      </w:pPr>
      <w:r w:rsidRPr="00A60794">
        <w:rPr>
          <w:rFonts w:asciiTheme="minorHAnsi" w:hAnsiTheme="minorHAnsi" w:cstheme="minorHAnsi"/>
          <w:b w:val="0"/>
          <w:sz w:val="22"/>
          <w:szCs w:val="22"/>
        </w:rPr>
        <w:t>Bestaand pandrecht of nieuw pandrecht</w:t>
      </w:r>
    </w:p>
    <w:p w:rsidR="005E1B5C" w:rsidRPr="00A60794" w:rsidRDefault="005E1B5C" w:rsidP="00426C98">
      <w:pPr>
        <w:jc w:val="left"/>
        <w:rPr>
          <w:rFonts w:asciiTheme="minorHAnsi" w:hAnsiTheme="minorHAnsi" w:cstheme="minorHAnsi"/>
          <w:b w:val="0"/>
          <w:sz w:val="22"/>
          <w:szCs w:val="22"/>
        </w:rPr>
      </w:pPr>
    </w:p>
    <w:p w:rsidR="00BF2604" w:rsidRPr="00A60794" w:rsidRDefault="00BF2604"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 xml:space="preserve">Ik heb voor deze topics gekozen, omdat uit jurisprudentie en literatuur blijkt dat deze onderwerpen juist wel/niet doorslaggevend zijn om te mogen verrekenen in het zicht van een faillissement. Zo geeft het arrest Mulder aan dat er een bestaand pandrecht moet zijn (topic 10) om te mogen verrekenen in het zicht van een faillissement. </w:t>
      </w:r>
    </w:p>
    <w:p w:rsidR="00BF2604" w:rsidRPr="00A60794" w:rsidRDefault="00BF2604" w:rsidP="00426C98">
      <w:pPr>
        <w:jc w:val="left"/>
        <w:rPr>
          <w:rFonts w:asciiTheme="minorHAnsi" w:hAnsiTheme="minorHAnsi" w:cstheme="minorHAnsi"/>
          <w:b w:val="0"/>
          <w:sz w:val="22"/>
          <w:szCs w:val="22"/>
        </w:rPr>
      </w:pPr>
    </w:p>
    <w:p w:rsidR="00FD4087" w:rsidRDefault="00BF2604" w:rsidP="00426C98">
      <w:pPr>
        <w:jc w:val="left"/>
        <w:rPr>
          <w:rFonts w:asciiTheme="minorHAnsi" w:hAnsiTheme="minorHAnsi" w:cstheme="minorHAnsi"/>
          <w:b w:val="0"/>
          <w:sz w:val="22"/>
          <w:szCs w:val="22"/>
        </w:rPr>
      </w:pPr>
      <w:r w:rsidRPr="00A60794">
        <w:rPr>
          <w:rFonts w:asciiTheme="minorHAnsi" w:hAnsiTheme="minorHAnsi" w:cstheme="minorHAnsi"/>
          <w:b w:val="0"/>
          <w:sz w:val="22"/>
          <w:szCs w:val="22"/>
        </w:rPr>
        <w:t>Ik wil door middel van dit jurisprudentieonderzoek niet alleen aantonen of de Rabobank in mijn casus wel/niet mag verrekenen, maar ook in welke gevallen het verrekenen in het zicht van een faillissement in ieder geval wel mag.</w:t>
      </w:r>
      <w:r w:rsidR="00643D89" w:rsidRPr="00A60794">
        <w:rPr>
          <w:rFonts w:asciiTheme="minorHAnsi" w:hAnsiTheme="minorHAnsi" w:cstheme="minorHAnsi"/>
          <w:b w:val="0"/>
          <w:sz w:val="22"/>
          <w:szCs w:val="22"/>
        </w:rPr>
        <w:t xml:space="preserve"> </w:t>
      </w:r>
      <w:r w:rsidR="009A7F8A" w:rsidRPr="00A60794">
        <w:rPr>
          <w:rFonts w:asciiTheme="minorHAnsi" w:hAnsiTheme="minorHAnsi" w:cstheme="minorHAnsi"/>
          <w:b w:val="0"/>
          <w:sz w:val="22"/>
          <w:szCs w:val="22"/>
        </w:rPr>
        <w:t xml:space="preserve">Door de verscheidenheid aan bronnen zal de kwaliteit van het onderzoek worden gewaarborgd. </w:t>
      </w:r>
      <w:r w:rsidR="005A727D" w:rsidRPr="00A60794">
        <w:rPr>
          <w:rFonts w:asciiTheme="minorHAnsi" w:hAnsiTheme="minorHAnsi" w:cstheme="minorHAnsi"/>
          <w:b w:val="0"/>
          <w:sz w:val="22"/>
          <w:szCs w:val="22"/>
        </w:rPr>
        <w:t xml:space="preserve">Als ik kennis heb genomen van in ieder geval de hiervoor genoemde bronnen kan </w:t>
      </w:r>
      <w:r w:rsidR="00261D01" w:rsidRPr="00A60794">
        <w:rPr>
          <w:rFonts w:asciiTheme="minorHAnsi" w:hAnsiTheme="minorHAnsi" w:cstheme="minorHAnsi"/>
          <w:b w:val="0"/>
          <w:sz w:val="22"/>
          <w:szCs w:val="22"/>
        </w:rPr>
        <w:t>ik antwoord geven op deelvraag 5</w:t>
      </w:r>
      <w:r w:rsidR="005A727D" w:rsidRPr="00A60794">
        <w:rPr>
          <w:rFonts w:asciiTheme="minorHAnsi" w:hAnsiTheme="minorHAnsi" w:cstheme="minorHAnsi"/>
          <w:b w:val="0"/>
          <w:sz w:val="22"/>
          <w:szCs w:val="22"/>
        </w:rPr>
        <w:t>.</w:t>
      </w:r>
    </w:p>
    <w:p w:rsidR="007C428C" w:rsidRDefault="007C428C" w:rsidP="00426C98">
      <w:pPr>
        <w:jc w:val="left"/>
        <w:rPr>
          <w:rFonts w:asciiTheme="minorHAnsi" w:hAnsiTheme="minorHAnsi" w:cstheme="minorHAnsi"/>
          <w:b w:val="0"/>
          <w:sz w:val="22"/>
          <w:szCs w:val="22"/>
        </w:rPr>
      </w:pPr>
    </w:p>
    <w:p w:rsidR="007C428C" w:rsidRPr="00570D50" w:rsidRDefault="007C428C" w:rsidP="00570D50">
      <w:pPr>
        <w:pStyle w:val="Kop2"/>
        <w:spacing w:before="0" w:beforeAutospacing="0" w:after="0" w:afterAutospacing="0"/>
        <w:rPr>
          <w:rFonts w:asciiTheme="minorHAnsi" w:hAnsiTheme="minorHAnsi" w:cstheme="minorHAnsi"/>
          <w:sz w:val="24"/>
          <w:szCs w:val="24"/>
        </w:rPr>
      </w:pPr>
      <w:bookmarkStart w:id="14" w:name="_Toc486246609"/>
      <w:r w:rsidRPr="00570D50">
        <w:rPr>
          <w:rFonts w:asciiTheme="minorHAnsi" w:hAnsiTheme="minorHAnsi" w:cstheme="minorHAnsi"/>
          <w:sz w:val="24"/>
          <w:szCs w:val="24"/>
        </w:rPr>
        <w:t>§5 Leeswijzer</w:t>
      </w:r>
      <w:bookmarkEnd w:id="14"/>
    </w:p>
    <w:p w:rsidR="007C428C" w:rsidRDefault="007B6C12" w:rsidP="00426C98">
      <w:pPr>
        <w:jc w:val="left"/>
        <w:rPr>
          <w:rFonts w:asciiTheme="minorHAnsi" w:hAnsiTheme="minorHAnsi" w:cstheme="minorHAnsi"/>
          <w:b w:val="0"/>
          <w:sz w:val="22"/>
          <w:szCs w:val="22"/>
        </w:rPr>
      </w:pPr>
      <w:r>
        <w:rPr>
          <w:rFonts w:asciiTheme="minorHAnsi" w:hAnsiTheme="minorHAnsi" w:cstheme="minorHAnsi"/>
          <w:b w:val="0"/>
          <w:sz w:val="22"/>
          <w:szCs w:val="22"/>
        </w:rPr>
        <w:t>In dit onderzoek komen</w:t>
      </w:r>
      <w:r w:rsidR="00794209">
        <w:rPr>
          <w:rFonts w:asciiTheme="minorHAnsi" w:hAnsiTheme="minorHAnsi" w:cstheme="minorHAnsi"/>
          <w:b w:val="0"/>
          <w:sz w:val="22"/>
          <w:szCs w:val="22"/>
        </w:rPr>
        <w:t xml:space="preserve"> </w:t>
      </w:r>
      <w:r>
        <w:rPr>
          <w:rFonts w:asciiTheme="minorHAnsi" w:hAnsiTheme="minorHAnsi" w:cstheme="minorHAnsi"/>
          <w:b w:val="0"/>
          <w:sz w:val="22"/>
          <w:szCs w:val="22"/>
        </w:rPr>
        <w:t>de volgen</w:t>
      </w:r>
      <w:r w:rsidR="00794209">
        <w:rPr>
          <w:rFonts w:asciiTheme="minorHAnsi" w:hAnsiTheme="minorHAnsi" w:cstheme="minorHAnsi"/>
          <w:b w:val="0"/>
          <w:sz w:val="22"/>
          <w:szCs w:val="22"/>
        </w:rPr>
        <w:t>de</w:t>
      </w:r>
      <w:r>
        <w:rPr>
          <w:rFonts w:asciiTheme="minorHAnsi" w:hAnsiTheme="minorHAnsi" w:cstheme="minorHAnsi"/>
          <w:b w:val="0"/>
          <w:sz w:val="22"/>
          <w:szCs w:val="22"/>
        </w:rPr>
        <w:t xml:space="preserve"> hoofdstukken aan bod. In hoofdstuk 2 wordt uitgelegd wat het pandrecht is. Dit begint met een algemene uitleg omtrent het pandrecht, h</w:t>
      </w:r>
      <w:r w:rsidR="001D6B32" w:rsidRPr="00A60794">
        <w:rPr>
          <w:rFonts w:asciiTheme="minorHAnsi" w:hAnsiTheme="minorHAnsi" w:cstheme="minorHAnsi"/>
          <w:b w:val="0"/>
          <w:sz w:val="22"/>
          <w:szCs w:val="22"/>
        </w:rPr>
        <w:t xml:space="preserve">oe zit het pandrecht in elkaar en hoe kun je het vestigen. Vervolgens zal </w:t>
      </w:r>
      <w:r>
        <w:rPr>
          <w:rFonts w:asciiTheme="minorHAnsi" w:hAnsiTheme="minorHAnsi" w:cstheme="minorHAnsi"/>
          <w:b w:val="0"/>
          <w:sz w:val="22"/>
          <w:szCs w:val="22"/>
        </w:rPr>
        <w:t>dieper</w:t>
      </w:r>
      <w:r w:rsidR="001D6B32" w:rsidRPr="00A60794">
        <w:rPr>
          <w:rFonts w:asciiTheme="minorHAnsi" w:hAnsiTheme="minorHAnsi" w:cstheme="minorHAnsi"/>
          <w:b w:val="0"/>
          <w:sz w:val="22"/>
          <w:szCs w:val="22"/>
        </w:rPr>
        <w:t xml:space="preserve"> in</w:t>
      </w:r>
      <w:r>
        <w:rPr>
          <w:rFonts w:asciiTheme="minorHAnsi" w:hAnsiTheme="minorHAnsi" w:cstheme="minorHAnsi"/>
          <w:b w:val="0"/>
          <w:sz w:val="22"/>
          <w:szCs w:val="22"/>
        </w:rPr>
        <w:t xml:space="preserve"> worden ge</w:t>
      </w:r>
      <w:r w:rsidR="001D6B32" w:rsidRPr="00A60794">
        <w:rPr>
          <w:rFonts w:asciiTheme="minorHAnsi" w:hAnsiTheme="minorHAnsi" w:cstheme="minorHAnsi"/>
          <w:b w:val="0"/>
          <w:sz w:val="22"/>
          <w:szCs w:val="22"/>
        </w:rPr>
        <w:t xml:space="preserve">gaan op specifiek het stille pandrecht, deze vorm van pandrecht is immers door de bank in de casus toegepast. </w:t>
      </w:r>
      <w:r w:rsidR="004C2772">
        <w:rPr>
          <w:rFonts w:asciiTheme="minorHAnsi" w:hAnsiTheme="minorHAnsi" w:cstheme="minorHAnsi"/>
          <w:b w:val="0"/>
          <w:sz w:val="22"/>
          <w:szCs w:val="22"/>
        </w:rPr>
        <w:t>Tot slot</w:t>
      </w:r>
      <w:r w:rsidR="001D6B32" w:rsidRPr="00A60794">
        <w:rPr>
          <w:rFonts w:asciiTheme="minorHAnsi" w:hAnsiTheme="minorHAnsi" w:cstheme="minorHAnsi"/>
          <w:b w:val="0"/>
          <w:sz w:val="22"/>
          <w:szCs w:val="22"/>
        </w:rPr>
        <w:t xml:space="preserve"> </w:t>
      </w:r>
      <w:r>
        <w:rPr>
          <w:rFonts w:asciiTheme="minorHAnsi" w:hAnsiTheme="minorHAnsi" w:cstheme="minorHAnsi"/>
          <w:b w:val="0"/>
          <w:sz w:val="22"/>
          <w:szCs w:val="22"/>
        </w:rPr>
        <w:t xml:space="preserve">zal bekeken worden </w:t>
      </w:r>
      <w:r w:rsidR="001D6B32" w:rsidRPr="00A60794">
        <w:rPr>
          <w:rFonts w:asciiTheme="minorHAnsi" w:hAnsiTheme="minorHAnsi" w:cstheme="minorHAnsi"/>
          <w:b w:val="0"/>
          <w:sz w:val="22"/>
          <w:szCs w:val="22"/>
        </w:rPr>
        <w:t>hoe een pandrecht op toekomstige vorderingen kan worden gevestigd</w:t>
      </w:r>
      <w:r w:rsidR="004C2772">
        <w:rPr>
          <w:rFonts w:asciiTheme="minorHAnsi" w:hAnsiTheme="minorHAnsi" w:cstheme="minorHAnsi"/>
          <w:b w:val="0"/>
          <w:sz w:val="22"/>
          <w:szCs w:val="22"/>
        </w:rPr>
        <w:t xml:space="preserve">. In hoofdstuk 3 zal specifiek in worden gegaan op het verpanden van </w:t>
      </w:r>
      <w:r w:rsidR="001D6B32" w:rsidRPr="00A60794">
        <w:rPr>
          <w:rFonts w:asciiTheme="minorHAnsi" w:hAnsiTheme="minorHAnsi" w:cstheme="minorHAnsi"/>
          <w:b w:val="0"/>
          <w:sz w:val="22"/>
          <w:szCs w:val="22"/>
        </w:rPr>
        <w:t xml:space="preserve">vorderingen die worden voldaan door pinbetalingen. </w:t>
      </w:r>
      <w:r w:rsidR="00306B2F">
        <w:rPr>
          <w:rFonts w:asciiTheme="minorHAnsi" w:hAnsiTheme="minorHAnsi" w:cstheme="minorHAnsi"/>
          <w:b w:val="0"/>
          <w:sz w:val="22"/>
          <w:szCs w:val="22"/>
        </w:rPr>
        <w:t xml:space="preserve">Vervolgens zal in hoofdstuk 4 worden besproken </w:t>
      </w:r>
      <w:r w:rsidR="001D6B32" w:rsidRPr="00A60794">
        <w:rPr>
          <w:rFonts w:asciiTheme="minorHAnsi" w:hAnsiTheme="minorHAnsi" w:cstheme="minorHAnsi"/>
          <w:b w:val="0"/>
          <w:sz w:val="22"/>
          <w:szCs w:val="22"/>
        </w:rPr>
        <w:t xml:space="preserve">wat verrekening is. </w:t>
      </w:r>
      <w:r w:rsidR="00266ECB">
        <w:rPr>
          <w:rFonts w:asciiTheme="minorHAnsi" w:hAnsiTheme="minorHAnsi" w:cstheme="minorHAnsi"/>
          <w:b w:val="0"/>
          <w:sz w:val="22"/>
          <w:szCs w:val="22"/>
        </w:rPr>
        <w:t>Waarna in hoofdstuk 5 naar voren komt wat een</w:t>
      </w:r>
      <w:r w:rsidR="001D6B32" w:rsidRPr="00A60794">
        <w:rPr>
          <w:rFonts w:asciiTheme="minorHAnsi" w:hAnsiTheme="minorHAnsi" w:cstheme="minorHAnsi"/>
          <w:b w:val="0"/>
          <w:sz w:val="22"/>
          <w:szCs w:val="22"/>
        </w:rPr>
        <w:t xml:space="preserve"> faillissement </w:t>
      </w:r>
      <w:r w:rsidR="00266ECB">
        <w:rPr>
          <w:rFonts w:asciiTheme="minorHAnsi" w:hAnsiTheme="minorHAnsi" w:cstheme="minorHAnsi"/>
          <w:b w:val="0"/>
          <w:sz w:val="22"/>
          <w:szCs w:val="22"/>
        </w:rPr>
        <w:t>is en wat er</w:t>
      </w:r>
      <w:r w:rsidR="001D6B32" w:rsidRPr="00A60794">
        <w:rPr>
          <w:rFonts w:asciiTheme="minorHAnsi" w:hAnsiTheme="minorHAnsi" w:cstheme="minorHAnsi"/>
          <w:b w:val="0"/>
          <w:sz w:val="22"/>
          <w:szCs w:val="22"/>
        </w:rPr>
        <w:t xml:space="preserve"> gebeurt als men failliet gaat. </w:t>
      </w:r>
      <w:r w:rsidR="00266ECB">
        <w:rPr>
          <w:rFonts w:asciiTheme="minorHAnsi" w:hAnsiTheme="minorHAnsi" w:cstheme="minorHAnsi"/>
          <w:b w:val="0"/>
          <w:sz w:val="22"/>
          <w:szCs w:val="22"/>
        </w:rPr>
        <w:t xml:space="preserve">Tevens zal worden ingegaan op het </w:t>
      </w:r>
      <w:r w:rsidR="001D6B32" w:rsidRPr="00A60794">
        <w:rPr>
          <w:rFonts w:asciiTheme="minorHAnsi" w:hAnsiTheme="minorHAnsi" w:cstheme="minorHAnsi"/>
          <w:b w:val="0"/>
          <w:sz w:val="22"/>
          <w:szCs w:val="22"/>
        </w:rPr>
        <w:t xml:space="preserve">verrekenen in het zicht van het faillissement, hiervoor gelden immers andere regels dan voor verrekenen buiten een faillissement. Het verrekenen in het zicht van een faillissement sluit aan bij </w:t>
      </w:r>
      <w:r w:rsidR="00266ECB">
        <w:rPr>
          <w:rFonts w:asciiTheme="minorHAnsi" w:hAnsiTheme="minorHAnsi" w:cstheme="minorHAnsi"/>
          <w:b w:val="0"/>
          <w:sz w:val="22"/>
          <w:szCs w:val="22"/>
        </w:rPr>
        <w:t>het</w:t>
      </w:r>
      <w:r w:rsidR="001D6B32" w:rsidRPr="00A60794">
        <w:rPr>
          <w:rFonts w:asciiTheme="minorHAnsi" w:hAnsiTheme="minorHAnsi" w:cstheme="minorHAnsi"/>
          <w:b w:val="0"/>
          <w:sz w:val="22"/>
          <w:szCs w:val="22"/>
        </w:rPr>
        <w:t xml:space="preserve"> laatste onderwerp, namelijk het arrest Mulder q.q./CLBN. Om te zien hoe het arrest Mulder zich in de praktijk ontvouwt, </w:t>
      </w:r>
      <w:r w:rsidR="00266ECB">
        <w:rPr>
          <w:rFonts w:asciiTheme="minorHAnsi" w:hAnsiTheme="minorHAnsi" w:cstheme="minorHAnsi"/>
          <w:b w:val="0"/>
          <w:sz w:val="22"/>
          <w:szCs w:val="22"/>
        </w:rPr>
        <w:t>bevindt zich hoofdstuk 6 een</w:t>
      </w:r>
      <w:r w:rsidR="001D6B32" w:rsidRPr="00A60794">
        <w:rPr>
          <w:rFonts w:asciiTheme="minorHAnsi" w:hAnsiTheme="minorHAnsi" w:cstheme="minorHAnsi"/>
          <w:b w:val="0"/>
          <w:sz w:val="22"/>
          <w:szCs w:val="22"/>
        </w:rPr>
        <w:t xml:space="preserve"> jurisprudentieonderzoek </w:t>
      </w:r>
      <w:r w:rsidR="00266ECB">
        <w:rPr>
          <w:rFonts w:asciiTheme="minorHAnsi" w:hAnsiTheme="minorHAnsi" w:cstheme="minorHAnsi"/>
          <w:b w:val="0"/>
          <w:sz w:val="22"/>
          <w:szCs w:val="22"/>
        </w:rPr>
        <w:t xml:space="preserve">omtrent welke </w:t>
      </w:r>
      <w:r w:rsidR="001D6B32" w:rsidRPr="00A60794">
        <w:rPr>
          <w:rFonts w:asciiTheme="minorHAnsi" w:hAnsiTheme="minorHAnsi" w:cstheme="minorHAnsi"/>
          <w:b w:val="0"/>
          <w:sz w:val="22"/>
          <w:szCs w:val="22"/>
        </w:rPr>
        <w:t>omstandigheden een rol spelen bij verrekenen in het zicht van een faillissement.</w:t>
      </w:r>
    </w:p>
    <w:p w:rsidR="001D6B32" w:rsidRDefault="001D6B32">
      <w:pPr>
        <w:rPr>
          <w:rFonts w:asciiTheme="majorHAnsi" w:eastAsiaTheme="majorEastAsia" w:hAnsiTheme="majorHAnsi" w:cstheme="majorBidi"/>
          <w:b w:val="0"/>
          <w:bCs w:val="0"/>
          <w:color w:val="365F91" w:themeColor="accent1" w:themeShade="BF"/>
          <w:sz w:val="36"/>
          <w:szCs w:val="28"/>
        </w:rPr>
      </w:pPr>
      <w:r>
        <w:rPr>
          <w:sz w:val="36"/>
        </w:rPr>
        <w:br w:type="page"/>
      </w:r>
    </w:p>
    <w:p w:rsidR="00DD731F" w:rsidRPr="00914D82" w:rsidRDefault="00202B3C" w:rsidP="00796C58">
      <w:pPr>
        <w:pStyle w:val="Kop1"/>
        <w:rPr>
          <w:sz w:val="36"/>
        </w:rPr>
      </w:pPr>
      <w:bookmarkStart w:id="15" w:name="_Toc486246610"/>
      <w:r w:rsidRPr="00914D82">
        <w:rPr>
          <w:sz w:val="36"/>
        </w:rPr>
        <w:lastRenderedPageBreak/>
        <w:t>Hoofdstuk 2</w:t>
      </w:r>
      <w:bookmarkEnd w:id="15"/>
    </w:p>
    <w:p w:rsidR="00164E92" w:rsidRPr="00914D82" w:rsidRDefault="00164E92" w:rsidP="00796C58">
      <w:pPr>
        <w:pStyle w:val="Kop4"/>
        <w:rPr>
          <w:b/>
          <w:sz w:val="26"/>
          <w:szCs w:val="26"/>
        </w:rPr>
      </w:pPr>
      <w:r w:rsidRPr="00914D82">
        <w:rPr>
          <w:sz w:val="26"/>
          <w:szCs w:val="26"/>
        </w:rPr>
        <w:t xml:space="preserve">- </w:t>
      </w:r>
      <w:r w:rsidR="00060088" w:rsidRPr="00914D82">
        <w:rPr>
          <w:sz w:val="26"/>
          <w:szCs w:val="26"/>
        </w:rPr>
        <w:t>De wettelijke regels omtrent het verpanden van vorderingen</w:t>
      </w:r>
      <w:r w:rsidR="00DD731F" w:rsidRPr="00914D82">
        <w:rPr>
          <w:sz w:val="26"/>
          <w:szCs w:val="26"/>
        </w:rPr>
        <w:t xml:space="preserve"> -</w:t>
      </w:r>
    </w:p>
    <w:p w:rsidR="00DD731F" w:rsidRDefault="00DD731F" w:rsidP="00164E92">
      <w:pPr>
        <w:jc w:val="left"/>
        <w:rPr>
          <w:rFonts w:asciiTheme="minorHAnsi" w:hAnsiTheme="minorHAnsi" w:cstheme="minorHAnsi"/>
          <w:sz w:val="20"/>
        </w:rPr>
      </w:pPr>
    </w:p>
    <w:p w:rsidR="006575F0" w:rsidRPr="00C25D52" w:rsidRDefault="006575F0" w:rsidP="00164E92">
      <w:pPr>
        <w:jc w:val="left"/>
        <w:rPr>
          <w:rFonts w:asciiTheme="minorHAnsi" w:hAnsiTheme="minorHAnsi" w:cstheme="minorHAnsi"/>
          <w:b w:val="0"/>
          <w:sz w:val="22"/>
          <w:szCs w:val="22"/>
        </w:rPr>
      </w:pPr>
      <w:r w:rsidRPr="00C25D52">
        <w:rPr>
          <w:rFonts w:asciiTheme="minorHAnsi" w:hAnsiTheme="minorHAnsi" w:cstheme="minorHAnsi"/>
          <w:b w:val="0"/>
          <w:sz w:val="22"/>
          <w:szCs w:val="22"/>
        </w:rPr>
        <w:t>De eerste vraag waar antwoord op gegeven dient te worden alvorens kan worden gekeken naar</w:t>
      </w:r>
      <w:r w:rsidR="000D4BE5" w:rsidRPr="00C25D52">
        <w:rPr>
          <w:rFonts w:asciiTheme="minorHAnsi" w:hAnsiTheme="minorHAnsi" w:cstheme="minorHAnsi"/>
          <w:b w:val="0"/>
          <w:sz w:val="22"/>
          <w:szCs w:val="22"/>
        </w:rPr>
        <w:t xml:space="preserve"> </w:t>
      </w:r>
      <w:r w:rsidR="00CB6DCE" w:rsidRPr="00C25D52">
        <w:rPr>
          <w:rFonts w:asciiTheme="minorHAnsi" w:hAnsiTheme="minorHAnsi" w:cstheme="minorHAnsi"/>
          <w:b w:val="0"/>
          <w:sz w:val="22"/>
          <w:szCs w:val="22"/>
        </w:rPr>
        <w:t>het verrekenen in het zicht van een faillissement</w:t>
      </w:r>
      <w:r w:rsidR="000D4BE5" w:rsidRPr="00C25D52">
        <w:rPr>
          <w:rFonts w:asciiTheme="minorHAnsi" w:hAnsiTheme="minorHAnsi" w:cstheme="minorHAnsi"/>
          <w:b w:val="0"/>
          <w:sz w:val="22"/>
          <w:szCs w:val="22"/>
        </w:rPr>
        <w:t xml:space="preserve"> is, hoe het vestigen van pandrechten in elkaar steekt. Allereerst zal het pandrecht </w:t>
      </w:r>
      <w:r w:rsidR="0098478D" w:rsidRPr="00C25D52">
        <w:rPr>
          <w:rFonts w:asciiTheme="minorHAnsi" w:hAnsiTheme="minorHAnsi" w:cstheme="minorHAnsi"/>
          <w:b w:val="0"/>
          <w:sz w:val="22"/>
          <w:szCs w:val="22"/>
        </w:rPr>
        <w:t xml:space="preserve">in zijn algemeenheid </w:t>
      </w:r>
      <w:r w:rsidR="000D4BE5" w:rsidRPr="00C25D52">
        <w:rPr>
          <w:rFonts w:asciiTheme="minorHAnsi" w:hAnsiTheme="minorHAnsi" w:cstheme="minorHAnsi"/>
          <w:b w:val="0"/>
          <w:sz w:val="22"/>
          <w:szCs w:val="22"/>
        </w:rPr>
        <w:t xml:space="preserve">worden behandeld. Vervolgens zal er worden ingegaan op </w:t>
      </w:r>
      <w:r w:rsidR="0098478D" w:rsidRPr="00C25D52">
        <w:rPr>
          <w:rFonts w:asciiTheme="minorHAnsi" w:hAnsiTheme="minorHAnsi" w:cstheme="minorHAnsi"/>
          <w:b w:val="0"/>
          <w:sz w:val="22"/>
          <w:szCs w:val="22"/>
        </w:rPr>
        <w:t>het</w:t>
      </w:r>
      <w:r w:rsidR="000D4BE5" w:rsidRPr="00C25D52">
        <w:rPr>
          <w:rFonts w:asciiTheme="minorHAnsi" w:hAnsiTheme="minorHAnsi" w:cstheme="minorHAnsi"/>
          <w:b w:val="0"/>
          <w:sz w:val="22"/>
          <w:szCs w:val="22"/>
        </w:rPr>
        <w:t xml:space="preserve"> stil pandrecht en tot slot zal het pandrecht op toekomst</w:t>
      </w:r>
      <w:r w:rsidR="00333EF7" w:rsidRPr="00C25D52">
        <w:rPr>
          <w:rFonts w:asciiTheme="minorHAnsi" w:hAnsiTheme="minorHAnsi" w:cstheme="minorHAnsi"/>
          <w:b w:val="0"/>
          <w:sz w:val="22"/>
          <w:szCs w:val="22"/>
        </w:rPr>
        <w:t>ige vorderingen worden bekeken.</w:t>
      </w:r>
      <w:r w:rsidR="00AF727B" w:rsidRPr="00C25D52">
        <w:rPr>
          <w:rFonts w:asciiTheme="minorHAnsi" w:hAnsiTheme="minorHAnsi" w:cstheme="minorHAnsi"/>
          <w:b w:val="0"/>
          <w:sz w:val="22"/>
          <w:szCs w:val="22"/>
        </w:rPr>
        <w:t xml:space="preserve"> Deze vormen van pandrecht komen immers in de casus van de Rabobank naar voren.</w:t>
      </w:r>
      <w:r w:rsidR="001F11D9" w:rsidRPr="00C25D52">
        <w:rPr>
          <w:rFonts w:asciiTheme="minorHAnsi" w:hAnsiTheme="minorHAnsi" w:cstheme="minorHAnsi"/>
          <w:b w:val="0"/>
          <w:sz w:val="22"/>
          <w:szCs w:val="22"/>
        </w:rPr>
        <w:t xml:space="preserve"> </w:t>
      </w:r>
    </w:p>
    <w:p w:rsidR="006575F0" w:rsidRPr="00C25D52" w:rsidRDefault="006575F0" w:rsidP="00164E92">
      <w:pPr>
        <w:jc w:val="left"/>
        <w:rPr>
          <w:rFonts w:asciiTheme="minorHAnsi" w:hAnsiTheme="minorHAnsi" w:cstheme="minorHAnsi"/>
          <w:sz w:val="22"/>
          <w:szCs w:val="22"/>
        </w:rPr>
      </w:pPr>
    </w:p>
    <w:p w:rsidR="00164E92" w:rsidRPr="00570D50" w:rsidRDefault="000D4BE5" w:rsidP="00570D50">
      <w:pPr>
        <w:pStyle w:val="Kop2"/>
        <w:spacing w:before="0" w:beforeAutospacing="0" w:after="0" w:afterAutospacing="0"/>
        <w:rPr>
          <w:rFonts w:asciiTheme="minorHAnsi" w:hAnsiTheme="minorHAnsi" w:cstheme="minorHAnsi"/>
          <w:sz w:val="24"/>
          <w:szCs w:val="24"/>
        </w:rPr>
      </w:pPr>
      <w:bookmarkStart w:id="16" w:name="_Toc486246611"/>
      <w:r w:rsidRPr="00570D50">
        <w:rPr>
          <w:rFonts w:asciiTheme="minorHAnsi" w:hAnsiTheme="minorHAnsi" w:cstheme="minorHAnsi"/>
          <w:sz w:val="24"/>
          <w:szCs w:val="24"/>
        </w:rPr>
        <w:t>§1 Het p</w:t>
      </w:r>
      <w:r w:rsidR="00DD731F" w:rsidRPr="00570D50">
        <w:rPr>
          <w:rFonts w:asciiTheme="minorHAnsi" w:hAnsiTheme="minorHAnsi" w:cstheme="minorHAnsi"/>
          <w:sz w:val="24"/>
          <w:szCs w:val="24"/>
        </w:rPr>
        <w:t>andrecht</w:t>
      </w:r>
      <w:bookmarkEnd w:id="16"/>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Als een winkel geld nodig heeft, kan de winkel dat lenen. Degene die de winkel geld leent, vaak een bank, wil wel zekerheid dat hij het geld terug gaat krijgen. De bank zal daarom een zekerheidsrecht op de winkel vestigen. Het </w:t>
      </w:r>
      <w:r w:rsidR="00556674" w:rsidRPr="00C25D52">
        <w:rPr>
          <w:rFonts w:asciiTheme="minorHAnsi" w:hAnsiTheme="minorHAnsi" w:cstheme="minorHAnsi"/>
          <w:b w:val="0"/>
          <w:sz w:val="22"/>
          <w:szCs w:val="22"/>
        </w:rPr>
        <w:t>bekendste zekerheidsrecht is het recht van hypotheek</w:t>
      </w:r>
      <w:r w:rsidRPr="00C25D52">
        <w:rPr>
          <w:rFonts w:asciiTheme="minorHAnsi" w:hAnsiTheme="minorHAnsi" w:cstheme="minorHAnsi"/>
          <w:b w:val="0"/>
          <w:sz w:val="22"/>
          <w:szCs w:val="22"/>
        </w:rPr>
        <w:t>. Echter, er is ook een ander zekerheidsrecht, het recht van pand.</w:t>
      </w:r>
      <w:r w:rsidRPr="00C25D52">
        <w:rPr>
          <w:rStyle w:val="Voetnootmarkering"/>
          <w:rFonts w:asciiTheme="minorHAnsi" w:hAnsiTheme="minorHAnsi" w:cstheme="minorHAnsi"/>
          <w:b w:val="0"/>
          <w:sz w:val="22"/>
          <w:szCs w:val="22"/>
        </w:rPr>
        <w:footnoteReference w:id="8"/>
      </w:r>
    </w:p>
    <w:p w:rsidR="00DD731F" w:rsidRPr="00C25D52" w:rsidRDefault="00DD731F" w:rsidP="00DD731F">
      <w:pPr>
        <w:jc w:val="left"/>
        <w:rPr>
          <w:rFonts w:asciiTheme="minorHAnsi" w:hAnsiTheme="minorHAnsi" w:cstheme="minorHAnsi"/>
          <w:color w:val="40494B"/>
          <w:sz w:val="22"/>
          <w:szCs w:val="22"/>
          <w:shd w:val="clear" w:color="auto" w:fill="FFFFFF"/>
        </w:rPr>
      </w:pPr>
    </w:p>
    <w:p w:rsidR="00C5387A" w:rsidRPr="00C25D52" w:rsidRDefault="00DD731F" w:rsidP="00DD731F">
      <w:pPr>
        <w:jc w:val="left"/>
        <w:rPr>
          <w:rFonts w:asciiTheme="minorHAnsi" w:hAnsiTheme="minorHAnsi" w:cstheme="minorHAnsi"/>
          <w:sz w:val="22"/>
          <w:szCs w:val="22"/>
        </w:rPr>
      </w:pPr>
      <w:r w:rsidRPr="00C25D52">
        <w:rPr>
          <w:rFonts w:asciiTheme="minorHAnsi" w:hAnsiTheme="minorHAnsi" w:cstheme="minorHAnsi"/>
          <w:b w:val="0"/>
          <w:sz w:val="22"/>
          <w:szCs w:val="22"/>
        </w:rPr>
        <w:t xml:space="preserve">Het pandrecht </w:t>
      </w:r>
      <w:r w:rsidR="004A6D56" w:rsidRPr="00C25D52">
        <w:rPr>
          <w:rFonts w:asciiTheme="minorHAnsi" w:hAnsiTheme="minorHAnsi" w:cstheme="minorHAnsi"/>
          <w:b w:val="0"/>
          <w:sz w:val="22"/>
          <w:szCs w:val="22"/>
        </w:rPr>
        <w:t>en het</w:t>
      </w:r>
      <w:r w:rsidRPr="00C25D52">
        <w:rPr>
          <w:rFonts w:asciiTheme="minorHAnsi" w:hAnsiTheme="minorHAnsi" w:cstheme="minorHAnsi"/>
          <w:b w:val="0"/>
          <w:sz w:val="22"/>
          <w:szCs w:val="22"/>
        </w:rPr>
        <w:t xml:space="preserve"> recht van hypotheek</w:t>
      </w:r>
      <w:r w:rsidR="004A6D56" w:rsidRPr="00C25D52">
        <w:rPr>
          <w:rFonts w:asciiTheme="minorHAnsi" w:hAnsiTheme="minorHAnsi" w:cstheme="minorHAnsi"/>
          <w:b w:val="0"/>
          <w:sz w:val="22"/>
          <w:szCs w:val="22"/>
        </w:rPr>
        <w:t xml:space="preserve"> zijn vergelijkbaar</w:t>
      </w:r>
      <w:r w:rsidRPr="00C25D52">
        <w:rPr>
          <w:rFonts w:asciiTheme="minorHAnsi" w:hAnsiTheme="minorHAnsi" w:cstheme="minorHAnsi"/>
          <w:b w:val="0"/>
          <w:sz w:val="22"/>
          <w:szCs w:val="22"/>
        </w:rPr>
        <w:t xml:space="preserve">, het verschil is dat een pandrecht op een niet-registergoed wordt gevestigd. </w:t>
      </w:r>
      <w:r w:rsidR="00C5387A" w:rsidRPr="00C25D52">
        <w:rPr>
          <w:rFonts w:asciiTheme="minorHAnsi" w:hAnsiTheme="minorHAnsi" w:cstheme="minorHAnsi"/>
          <w:b w:val="0"/>
          <w:sz w:val="22"/>
          <w:szCs w:val="22"/>
        </w:rPr>
        <w:t>Voor verpanding zijn i</w:t>
      </w:r>
      <w:r w:rsidRPr="00C25D52">
        <w:rPr>
          <w:rFonts w:asciiTheme="minorHAnsi" w:hAnsiTheme="minorHAnsi" w:cstheme="minorHAnsi"/>
          <w:b w:val="0"/>
          <w:sz w:val="22"/>
          <w:szCs w:val="22"/>
        </w:rPr>
        <w:t>n beginsel alle niet-registergoederen, vorderingen, aandelen in een NV of BV en rechten op voortbrengselen van de geest</w:t>
      </w:r>
      <w:r w:rsidR="00C5387A" w:rsidRPr="00C25D52">
        <w:rPr>
          <w:rFonts w:asciiTheme="minorHAnsi" w:hAnsiTheme="minorHAnsi" w:cstheme="minorHAnsi"/>
          <w:b w:val="0"/>
          <w:sz w:val="22"/>
          <w:szCs w:val="22"/>
        </w:rPr>
        <w:t xml:space="preserve"> vatbaar</w:t>
      </w:r>
      <w:r w:rsidRPr="00C25D52">
        <w:rPr>
          <w:rFonts w:asciiTheme="minorHAnsi" w:hAnsiTheme="minorHAnsi" w:cstheme="minorHAnsi"/>
          <w:b w:val="0"/>
          <w:sz w:val="22"/>
          <w:szCs w:val="22"/>
        </w:rPr>
        <w:t>. De voorwaarde om een pandrecht te mogen vestigen is volgens artikel 3:228 Burgerlijk Wetboek (hierna: BW) dat het goed overdraagbaar</w:t>
      </w:r>
      <w:r w:rsidR="00852C1C" w:rsidRPr="00C25D52">
        <w:rPr>
          <w:rFonts w:asciiTheme="minorHAnsi" w:hAnsiTheme="minorHAnsi" w:cstheme="minorHAnsi"/>
          <w:b w:val="0"/>
          <w:sz w:val="22"/>
          <w:szCs w:val="22"/>
        </w:rPr>
        <w:t xml:space="preserve"> moet zijn</w:t>
      </w:r>
      <w:r w:rsidR="00295AD0" w:rsidRPr="00C25D52">
        <w:rPr>
          <w:rFonts w:asciiTheme="minorHAnsi" w:hAnsiTheme="minorHAnsi" w:cstheme="minorHAnsi"/>
          <w:b w:val="0"/>
          <w:sz w:val="22"/>
          <w:szCs w:val="22"/>
        </w:rPr>
        <w:t>. De bedoeling van deze bepaling is dat het verpande goed bij een eventuele executieverkoop overgedragen moet kunnen worden.</w:t>
      </w:r>
    </w:p>
    <w:p w:rsidR="00295AD0" w:rsidRPr="00C25D52" w:rsidRDefault="00295AD0"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Er zijn twee soorten pandrecht, het vuistpand en het stil pand. Het verschil tussen de twee soorten is dat het verpande goed bij een vuistpand overgaat op de pandhouder en het verpande goed bij een stil pand bij de pandgever blijft. In de casus is sprake van een stil pandrecht, ik zal daarom alleen op die vorm ingaan</w:t>
      </w:r>
      <w:r w:rsidR="005359F2" w:rsidRPr="00C25D52">
        <w:rPr>
          <w:rFonts w:asciiTheme="minorHAnsi" w:hAnsiTheme="minorHAnsi" w:cstheme="minorHAnsi"/>
          <w:b w:val="0"/>
          <w:sz w:val="22"/>
          <w:szCs w:val="22"/>
        </w:rPr>
        <w:t xml:space="preserve"> en deze vorm</w:t>
      </w:r>
      <w:r w:rsidR="00411BDF" w:rsidRPr="00C25D52">
        <w:rPr>
          <w:rFonts w:asciiTheme="minorHAnsi" w:hAnsiTheme="minorHAnsi" w:cstheme="minorHAnsi"/>
          <w:b w:val="0"/>
          <w:sz w:val="22"/>
          <w:szCs w:val="22"/>
        </w:rPr>
        <w:t xml:space="preserve"> van pandrecht</w:t>
      </w:r>
      <w:r w:rsidR="005359F2" w:rsidRPr="00C25D52">
        <w:rPr>
          <w:rFonts w:asciiTheme="minorHAnsi" w:hAnsiTheme="minorHAnsi" w:cstheme="minorHAnsi"/>
          <w:b w:val="0"/>
          <w:sz w:val="22"/>
          <w:szCs w:val="22"/>
        </w:rPr>
        <w:t xml:space="preserve"> </w:t>
      </w:r>
      <w:r w:rsidR="00411BDF" w:rsidRPr="00C25D52">
        <w:rPr>
          <w:rFonts w:asciiTheme="minorHAnsi" w:hAnsiTheme="minorHAnsi" w:cstheme="minorHAnsi"/>
          <w:b w:val="0"/>
          <w:sz w:val="22"/>
          <w:szCs w:val="22"/>
        </w:rPr>
        <w:t>verdiepen</w:t>
      </w:r>
      <w:r w:rsidRPr="00C25D52">
        <w:rPr>
          <w:rFonts w:asciiTheme="minorHAnsi" w:hAnsiTheme="minorHAnsi" w:cstheme="minorHAnsi"/>
          <w:b w:val="0"/>
          <w:sz w:val="22"/>
          <w:szCs w:val="22"/>
        </w:rPr>
        <w:t xml:space="preserve"> in paragraaf 2.</w:t>
      </w:r>
      <w:r w:rsidRPr="00C25D52">
        <w:rPr>
          <w:rStyle w:val="Voetnootmarkering"/>
          <w:rFonts w:asciiTheme="minorHAnsi" w:hAnsiTheme="minorHAnsi" w:cstheme="minorHAnsi"/>
          <w:b w:val="0"/>
          <w:sz w:val="22"/>
          <w:szCs w:val="22"/>
        </w:rPr>
        <w:footnoteReference w:id="9"/>
      </w:r>
      <w:r w:rsidRPr="00C25D52">
        <w:rPr>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10"/>
      </w:r>
    </w:p>
    <w:p w:rsidR="00DD731F" w:rsidRPr="00C25D52" w:rsidRDefault="00DD731F" w:rsidP="00DD731F">
      <w:pPr>
        <w:jc w:val="left"/>
        <w:rPr>
          <w:rFonts w:asciiTheme="minorHAnsi" w:hAnsiTheme="minorHAnsi" w:cstheme="minorHAnsi"/>
          <w:b w:val="0"/>
          <w:sz w:val="22"/>
          <w:szCs w:val="22"/>
        </w:rPr>
      </w:pPr>
    </w:p>
    <w:p w:rsidR="00471A11"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Degene die een pandrecht heeft is separatist en komt boven andere schuldeisers te staan ingeval van een faillissement, zodoende kan de pandhouder als eerste voldoening van zijn geldsom krijgen, aldus artikel 3:227 BW. De </w:t>
      </w:r>
      <w:r w:rsidR="00411BDF" w:rsidRPr="00C25D52">
        <w:rPr>
          <w:rFonts w:asciiTheme="minorHAnsi" w:hAnsiTheme="minorHAnsi" w:cstheme="minorHAnsi"/>
          <w:b w:val="0"/>
          <w:sz w:val="22"/>
          <w:szCs w:val="22"/>
        </w:rPr>
        <w:t>Rabo</w:t>
      </w:r>
      <w:r w:rsidRPr="00C25D52">
        <w:rPr>
          <w:rFonts w:asciiTheme="minorHAnsi" w:hAnsiTheme="minorHAnsi" w:cstheme="minorHAnsi"/>
          <w:b w:val="0"/>
          <w:sz w:val="22"/>
          <w:szCs w:val="22"/>
        </w:rPr>
        <w:t>bank in de casus heeft</w:t>
      </w:r>
      <w:r w:rsidR="00471A11" w:rsidRPr="00C25D52">
        <w:rPr>
          <w:rFonts w:asciiTheme="minorHAnsi" w:hAnsiTheme="minorHAnsi" w:cstheme="minorHAnsi"/>
          <w:b w:val="0"/>
          <w:sz w:val="22"/>
          <w:szCs w:val="22"/>
        </w:rPr>
        <w:t xml:space="preserve">, zoals eerder aangehaald een pandrecht gevestigd om zekerheid te creëren, zodoende kan zij door middel van dit pandrecht haar geldsom boven </w:t>
      </w:r>
      <w:r w:rsidRPr="00C25D52">
        <w:rPr>
          <w:rFonts w:asciiTheme="minorHAnsi" w:hAnsiTheme="minorHAnsi" w:cstheme="minorHAnsi"/>
          <w:b w:val="0"/>
          <w:sz w:val="22"/>
          <w:szCs w:val="22"/>
        </w:rPr>
        <w:t xml:space="preserve">andere schuldeisers </w:t>
      </w:r>
      <w:r w:rsidR="00471A11" w:rsidRPr="00C25D52">
        <w:rPr>
          <w:rFonts w:asciiTheme="minorHAnsi" w:hAnsiTheme="minorHAnsi" w:cstheme="minorHAnsi"/>
          <w:b w:val="0"/>
          <w:sz w:val="22"/>
          <w:szCs w:val="22"/>
        </w:rPr>
        <w:t xml:space="preserve">verhalen </w:t>
      </w:r>
      <w:r w:rsidRPr="00C25D52">
        <w:rPr>
          <w:rFonts w:asciiTheme="minorHAnsi" w:hAnsiTheme="minorHAnsi" w:cstheme="minorHAnsi"/>
          <w:b w:val="0"/>
          <w:sz w:val="22"/>
          <w:szCs w:val="22"/>
        </w:rPr>
        <w:t xml:space="preserve">ingeval van een faillissement van de winkel. </w:t>
      </w:r>
    </w:p>
    <w:p w:rsidR="00471A11" w:rsidRPr="00C25D52" w:rsidRDefault="00471A11"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Het pandrecht is een beperkt recht. Zo een beperkt recht heeft als gevolg dat de eigenaar van de zaak waarop het beperkte recht rust, de zaak mag overdragen maar dit niet afdoet aan de werking van het beperkt recht. Het beperkte recht, in dit geval het pandrecht, kan zodoende tegenover de nieuwe eigenaar worden ingeroepen. Op die manier kan de pandhouder altijd zijn vorderingsrecht uitwinnen.</w:t>
      </w:r>
      <w:r w:rsidRPr="00C25D52">
        <w:rPr>
          <w:rStyle w:val="Voetnootmarkering"/>
          <w:rFonts w:asciiTheme="minorHAnsi" w:hAnsiTheme="minorHAnsi" w:cstheme="minorHAnsi"/>
          <w:b w:val="0"/>
          <w:color w:val="333333"/>
          <w:sz w:val="22"/>
          <w:szCs w:val="22"/>
          <w:shd w:val="clear" w:color="auto" w:fill="FFFFFF"/>
        </w:rPr>
        <w:footnoteReference w:id="11"/>
      </w:r>
    </w:p>
    <w:p w:rsidR="00DD731F" w:rsidRPr="00C25D52" w:rsidRDefault="00DD731F"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u w:val="single"/>
        </w:rPr>
        <w:t>§1.1 Pandrecht vestigen</w:t>
      </w: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Een pandrecht kan gevestigd worden op alle zaken en vermogensrechten die vatbaar zijn voor overdracht en die geen registergoed zijn als in artikel 3:10 BW. </w:t>
      </w:r>
      <w:r w:rsidR="00411BDF" w:rsidRPr="00C25D52">
        <w:rPr>
          <w:rFonts w:asciiTheme="minorHAnsi" w:hAnsiTheme="minorHAnsi" w:cstheme="minorHAnsi"/>
          <w:b w:val="0"/>
          <w:sz w:val="22"/>
          <w:szCs w:val="22"/>
        </w:rPr>
        <w:t>Het vestigen van een pandrecht kent drie vereisten. Ten eerste dient er</w:t>
      </w:r>
      <w:r w:rsidRPr="00C25D52">
        <w:rPr>
          <w:rFonts w:asciiTheme="minorHAnsi" w:hAnsiTheme="minorHAnsi" w:cstheme="minorHAnsi"/>
          <w:b w:val="0"/>
          <w:sz w:val="22"/>
          <w:szCs w:val="22"/>
        </w:rPr>
        <w:t xml:space="preserve"> vestiging </w:t>
      </w:r>
      <w:r w:rsidR="00411BDF" w:rsidRPr="00C25D52">
        <w:rPr>
          <w:rFonts w:asciiTheme="minorHAnsi" w:hAnsiTheme="minorHAnsi" w:cstheme="minorHAnsi"/>
          <w:b w:val="0"/>
          <w:sz w:val="22"/>
          <w:szCs w:val="22"/>
        </w:rPr>
        <w:t xml:space="preserve">van het pandrecht plaats te vinden. Deze vestiging dient te worden gedaan </w:t>
      </w:r>
      <w:r w:rsidRPr="00C25D52">
        <w:rPr>
          <w:rFonts w:asciiTheme="minorHAnsi" w:hAnsiTheme="minorHAnsi" w:cstheme="minorHAnsi"/>
          <w:b w:val="0"/>
          <w:sz w:val="22"/>
          <w:szCs w:val="22"/>
        </w:rPr>
        <w:t>door een beschikkingsbevoegde</w:t>
      </w:r>
      <w:r w:rsidR="00411BDF" w:rsidRPr="00C25D52">
        <w:rPr>
          <w:rFonts w:asciiTheme="minorHAnsi" w:hAnsiTheme="minorHAnsi" w:cstheme="minorHAnsi"/>
          <w:b w:val="0"/>
          <w:sz w:val="22"/>
          <w:szCs w:val="22"/>
        </w:rPr>
        <w:t xml:space="preserve"> en</w:t>
      </w:r>
      <w:r w:rsidRPr="00C25D52">
        <w:rPr>
          <w:rFonts w:asciiTheme="minorHAnsi" w:hAnsiTheme="minorHAnsi" w:cstheme="minorHAnsi"/>
          <w:b w:val="0"/>
          <w:sz w:val="22"/>
          <w:szCs w:val="22"/>
        </w:rPr>
        <w:t xml:space="preserve"> op grond van een geldige titel, aldus artikelen 3:98 jo. 3:84 BW. De</w:t>
      </w:r>
      <w:r w:rsidR="00411BDF" w:rsidRPr="00C25D52">
        <w:rPr>
          <w:rFonts w:asciiTheme="minorHAnsi" w:hAnsiTheme="minorHAnsi" w:cstheme="minorHAnsi"/>
          <w:b w:val="0"/>
          <w:sz w:val="22"/>
          <w:szCs w:val="22"/>
        </w:rPr>
        <w:t xml:space="preserve"> geldige</w:t>
      </w:r>
      <w:r w:rsidRPr="00C25D52">
        <w:rPr>
          <w:rFonts w:asciiTheme="minorHAnsi" w:hAnsiTheme="minorHAnsi" w:cstheme="minorHAnsi"/>
          <w:b w:val="0"/>
          <w:sz w:val="22"/>
          <w:szCs w:val="22"/>
        </w:rPr>
        <w:t xml:space="preserve"> titel zal in </w:t>
      </w:r>
      <w:r w:rsidR="00411BDF" w:rsidRPr="00C25D52">
        <w:rPr>
          <w:rFonts w:asciiTheme="minorHAnsi" w:hAnsiTheme="minorHAnsi" w:cstheme="minorHAnsi"/>
          <w:b w:val="0"/>
          <w:sz w:val="22"/>
          <w:szCs w:val="22"/>
        </w:rPr>
        <w:t>het geval van een pandrecht</w:t>
      </w:r>
      <w:r w:rsidRPr="00C25D52">
        <w:rPr>
          <w:rFonts w:asciiTheme="minorHAnsi" w:hAnsiTheme="minorHAnsi" w:cstheme="minorHAnsi"/>
          <w:b w:val="0"/>
          <w:sz w:val="22"/>
          <w:szCs w:val="22"/>
        </w:rPr>
        <w:t xml:space="preserve"> de overeenkomst tot verpanding </w:t>
      </w:r>
      <w:r w:rsidRPr="00C25D52">
        <w:rPr>
          <w:rFonts w:asciiTheme="minorHAnsi" w:hAnsiTheme="minorHAnsi" w:cstheme="minorHAnsi"/>
          <w:b w:val="0"/>
          <w:sz w:val="22"/>
          <w:szCs w:val="22"/>
        </w:rPr>
        <w:lastRenderedPageBreak/>
        <w:t xml:space="preserve">zijn. </w:t>
      </w:r>
      <w:r w:rsidR="00411BDF" w:rsidRPr="00C25D52">
        <w:rPr>
          <w:rFonts w:asciiTheme="minorHAnsi" w:hAnsiTheme="minorHAnsi" w:cstheme="minorHAnsi"/>
          <w:b w:val="0"/>
          <w:sz w:val="22"/>
          <w:szCs w:val="22"/>
        </w:rPr>
        <w:t xml:space="preserve">Daarnaast dient de Rabobank dus </w:t>
      </w:r>
      <w:r w:rsidRPr="00C25D52">
        <w:rPr>
          <w:rFonts w:asciiTheme="minorHAnsi" w:hAnsiTheme="minorHAnsi" w:cstheme="minorHAnsi"/>
          <w:b w:val="0"/>
          <w:sz w:val="22"/>
          <w:szCs w:val="22"/>
        </w:rPr>
        <w:t xml:space="preserve">beschikkingsbevoegd te zijn. Beschikkingsbevoegd zijn is de bevoegdheid om een goed te mogen vervreemden of te belasten met een beperkt recht, zoals een pandrecht. Het heeft altijd betrekking op de goederenrechtelijke verhouding tussen een persoon en een goed. De rechthebbende van het goed is niet langer beschikkingsbevoegd als hij failliet verklaard wordt, hij verliest dan de beschikking over zijn vermogen, artikel 23 </w:t>
      </w:r>
      <w:proofErr w:type="spellStart"/>
      <w:r w:rsidRPr="00C25D52">
        <w:rPr>
          <w:rFonts w:asciiTheme="minorHAnsi" w:hAnsiTheme="minorHAnsi" w:cstheme="minorHAnsi"/>
          <w:b w:val="0"/>
          <w:sz w:val="22"/>
          <w:szCs w:val="22"/>
        </w:rPr>
        <w:t>Fw</w:t>
      </w:r>
      <w:proofErr w:type="spellEnd"/>
      <w:r w:rsidRPr="00C25D52">
        <w:rPr>
          <w:rFonts w:asciiTheme="minorHAnsi" w:hAnsiTheme="minorHAnsi" w:cstheme="minorHAnsi"/>
          <w:b w:val="0"/>
          <w:sz w:val="22"/>
          <w:szCs w:val="22"/>
        </w:rPr>
        <w:t>.</w:t>
      </w:r>
      <w:r w:rsidRPr="00C25D52">
        <w:rPr>
          <w:rStyle w:val="Voetnootmarkering"/>
          <w:rFonts w:asciiTheme="minorHAnsi" w:hAnsiTheme="minorHAnsi" w:cstheme="minorHAnsi"/>
          <w:b w:val="0"/>
          <w:sz w:val="22"/>
          <w:szCs w:val="22"/>
        </w:rPr>
        <w:footnoteReference w:id="12"/>
      </w:r>
      <w:r w:rsidRPr="00C25D52">
        <w:rPr>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13"/>
      </w:r>
      <w:r w:rsidRPr="00C25D52">
        <w:rPr>
          <w:rFonts w:asciiTheme="minorHAnsi" w:hAnsiTheme="minorHAnsi" w:cstheme="minorHAnsi"/>
          <w:b w:val="0"/>
          <w:sz w:val="22"/>
          <w:szCs w:val="22"/>
        </w:rPr>
        <w:t xml:space="preserve"> Tot slot dient het pandrecht door middel van een vestigingshandeling te worden gevestigd. De vestigingshandeling is </w:t>
      </w:r>
      <w:r w:rsidR="00CE24FB" w:rsidRPr="00C25D52">
        <w:rPr>
          <w:rFonts w:asciiTheme="minorHAnsi" w:hAnsiTheme="minorHAnsi" w:cstheme="minorHAnsi"/>
          <w:b w:val="0"/>
          <w:sz w:val="22"/>
          <w:szCs w:val="22"/>
        </w:rPr>
        <w:t xml:space="preserve">in het geval van een pandrecht </w:t>
      </w:r>
      <w:r w:rsidRPr="00C25D52">
        <w:rPr>
          <w:rFonts w:asciiTheme="minorHAnsi" w:hAnsiTheme="minorHAnsi" w:cstheme="minorHAnsi"/>
          <w:b w:val="0"/>
          <w:sz w:val="22"/>
          <w:szCs w:val="22"/>
        </w:rPr>
        <w:t xml:space="preserve">het opstellen van een </w:t>
      </w:r>
      <w:proofErr w:type="spellStart"/>
      <w:r w:rsidRPr="00C25D52">
        <w:rPr>
          <w:rFonts w:asciiTheme="minorHAnsi" w:hAnsiTheme="minorHAnsi" w:cstheme="minorHAnsi"/>
          <w:b w:val="0"/>
          <w:sz w:val="22"/>
          <w:szCs w:val="22"/>
        </w:rPr>
        <w:t>pandakte</w:t>
      </w:r>
      <w:proofErr w:type="spellEnd"/>
      <w:r w:rsidRPr="00C25D52">
        <w:rPr>
          <w:rFonts w:asciiTheme="minorHAnsi" w:hAnsiTheme="minorHAnsi" w:cstheme="minorHAnsi"/>
          <w:b w:val="0"/>
          <w:sz w:val="22"/>
          <w:szCs w:val="22"/>
        </w:rPr>
        <w:t>.</w:t>
      </w:r>
      <w:r w:rsidRPr="00C25D52">
        <w:rPr>
          <w:rStyle w:val="Voetnootmarkering"/>
          <w:rFonts w:asciiTheme="minorHAnsi" w:hAnsiTheme="minorHAnsi" w:cstheme="minorHAnsi"/>
          <w:b w:val="0"/>
          <w:sz w:val="22"/>
          <w:szCs w:val="22"/>
        </w:rPr>
        <w:footnoteReference w:id="14"/>
      </w:r>
      <w:r w:rsidRPr="00C25D52">
        <w:rPr>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15"/>
      </w:r>
    </w:p>
    <w:p w:rsidR="00DD731F" w:rsidRPr="00C25D52" w:rsidRDefault="00DD731F"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u w:val="single"/>
        </w:rPr>
      </w:pPr>
      <w:r w:rsidRPr="00C25D52">
        <w:rPr>
          <w:rFonts w:asciiTheme="minorHAnsi" w:hAnsiTheme="minorHAnsi" w:cstheme="minorHAnsi"/>
          <w:b w:val="0"/>
          <w:sz w:val="22"/>
          <w:szCs w:val="22"/>
        </w:rPr>
        <w:t>Artikel 3:237 BW bepaalt dat een pandrecht tevens kan worden gevestigd zonder dat de zaak waarop het pandrecht berust in de macht van de pandhouder moet worden gebracht</w:t>
      </w:r>
      <w:r w:rsidR="009A00A9" w:rsidRPr="00C25D52">
        <w:rPr>
          <w:rFonts w:asciiTheme="minorHAnsi" w:hAnsiTheme="minorHAnsi" w:cstheme="minorHAnsi"/>
          <w:b w:val="0"/>
          <w:sz w:val="22"/>
          <w:szCs w:val="22"/>
        </w:rPr>
        <w:t>. Dit is het hiervoor benoemde stil pandrecht. Voor het vestigen van een pandrecht is een akte vereist, dit kan zijn</w:t>
      </w:r>
      <w:r w:rsidRPr="00C25D52">
        <w:rPr>
          <w:rFonts w:asciiTheme="minorHAnsi" w:hAnsiTheme="minorHAnsi" w:cstheme="minorHAnsi"/>
          <w:b w:val="0"/>
          <w:sz w:val="22"/>
          <w:szCs w:val="22"/>
        </w:rPr>
        <w:t xml:space="preserve"> een notariële of onderhandse akte. De onderhandse akte is </w:t>
      </w:r>
      <w:proofErr w:type="spellStart"/>
      <w:r w:rsidRPr="00C25D52">
        <w:rPr>
          <w:rFonts w:asciiTheme="minorHAnsi" w:hAnsiTheme="minorHAnsi" w:cstheme="minorHAnsi"/>
          <w:b w:val="0"/>
          <w:sz w:val="22"/>
          <w:szCs w:val="22"/>
        </w:rPr>
        <w:t>vormvrij</w:t>
      </w:r>
      <w:proofErr w:type="spellEnd"/>
      <w:r w:rsidRPr="00C25D52">
        <w:rPr>
          <w:rFonts w:asciiTheme="minorHAnsi" w:hAnsiTheme="minorHAnsi" w:cstheme="minorHAnsi"/>
          <w:b w:val="0"/>
          <w:sz w:val="22"/>
          <w:szCs w:val="22"/>
        </w:rPr>
        <w:t xml:space="preserve">, aldus de Hoge Raad, maar in ieder geval moet duidelijk zijn dat de belanghebbende wederpartij, meestal de pandgever, “redelijkerwijze uit de akte heeft mogen begrijpen dat zij tot (…) vestiging van pandrecht was bedoeld.” Daarnaast is vereist dat de onderhandse akte wordt geregistreerd bij de </w:t>
      </w:r>
      <w:r w:rsidR="00DA7E31" w:rsidRPr="00C25D52">
        <w:rPr>
          <w:rFonts w:asciiTheme="minorHAnsi" w:hAnsiTheme="minorHAnsi" w:cstheme="minorHAnsi"/>
          <w:b w:val="0"/>
          <w:sz w:val="22"/>
          <w:szCs w:val="22"/>
        </w:rPr>
        <w:t>B</w:t>
      </w:r>
      <w:r w:rsidRPr="00C25D52">
        <w:rPr>
          <w:rFonts w:asciiTheme="minorHAnsi" w:hAnsiTheme="minorHAnsi" w:cstheme="minorHAnsi"/>
          <w:b w:val="0"/>
          <w:sz w:val="22"/>
          <w:szCs w:val="22"/>
        </w:rPr>
        <w:t>elastingdienst, als zijnde een objectief bewijs van het pa</w:t>
      </w:r>
      <w:r w:rsidR="00D73D06" w:rsidRPr="00C25D52">
        <w:rPr>
          <w:rFonts w:asciiTheme="minorHAnsi" w:hAnsiTheme="minorHAnsi" w:cstheme="minorHAnsi"/>
          <w:b w:val="0"/>
          <w:sz w:val="22"/>
          <w:szCs w:val="22"/>
        </w:rPr>
        <w:t>ndrecht. Het pandrecht komt pas</w:t>
      </w:r>
      <w:r w:rsidRPr="00C25D52">
        <w:rPr>
          <w:rFonts w:asciiTheme="minorHAnsi" w:hAnsiTheme="minorHAnsi" w:cstheme="minorHAnsi"/>
          <w:b w:val="0"/>
          <w:sz w:val="22"/>
          <w:szCs w:val="22"/>
        </w:rPr>
        <w:t xml:space="preserve"> tot stand op </w:t>
      </w:r>
      <w:r w:rsidR="00DA7E31" w:rsidRPr="00C25D52">
        <w:rPr>
          <w:rFonts w:asciiTheme="minorHAnsi" w:hAnsiTheme="minorHAnsi" w:cstheme="minorHAnsi"/>
          <w:b w:val="0"/>
          <w:sz w:val="22"/>
          <w:szCs w:val="22"/>
        </w:rPr>
        <w:t>moment van registratie door de B</w:t>
      </w:r>
      <w:r w:rsidRPr="00C25D52">
        <w:rPr>
          <w:rFonts w:asciiTheme="minorHAnsi" w:hAnsiTheme="minorHAnsi" w:cstheme="minorHAnsi"/>
          <w:b w:val="0"/>
          <w:sz w:val="22"/>
          <w:szCs w:val="22"/>
        </w:rPr>
        <w:t>elastingdienst. Een voorbeeld van een onderhandse akte is de verzamelpandakte.</w:t>
      </w:r>
      <w:r w:rsidR="006A4A71" w:rsidRPr="00C25D52">
        <w:rPr>
          <w:rFonts w:asciiTheme="minorHAnsi" w:hAnsiTheme="minorHAnsi" w:cstheme="minorHAnsi"/>
          <w:b w:val="0"/>
          <w:sz w:val="22"/>
          <w:szCs w:val="22"/>
        </w:rPr>
        <w:t xml:space="preserve"> De verzamelpandakte wordt door de Rabobank in de casus gebruikt.</w:t>
      </w:r>
      <w:r w:rsidRPr="00C25D52">
        <w:rPr>
          <w:rStyle w:val="Voetnootmarkering"/>
          <w:rFonts w:asciiTheme="minorHAnsi" w:hAnsiTheme="minorHAnsi" w:cstheme="minorHAnsi"/>
          <w:b w:val="0"/>
          <w:sz w:val="22"/>
          <w:szCs w:val="22"/>
        </w:rPr>
        <w:footnoteReference w:id="16"/>
      </w:r>
      <w:r w:rsidRPr="00C25D52">
        <w:rPr>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17"/>
      </w:r>
      <w:r w:rsidRPr="00C25D52">
        <w:rPr>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18"/>
      </w:r>
      <w:r w:rsidRPr="00C25D52">
        <w:rPr>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19"/>
      </w:r>
      <w:r w:rsidRPr="00C25D52">
        <w:rPr>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20"/>
      </w:r>
      <w:r w:rsidRPr="00C25D52">
        <w:rPr>
          <w:rFonts w:asciiTheme="minorHAnsi" w:hAnsiTheme="minorHAnsi" w:cstheme="minorHAnsi"/>
          <w:b w:val="0"/>
          <w:sz w:val="22"/>
          <w:szCs w:val="22"/>
        </w:rPr>
        <w:t xml:space="preserve"> </w:t>
      </w:r>
    </w:p>
    <w:p w:rsidR="00DD731F" w:rsidRPr="00C25D52" w:rsidRDefault="00DD731F" w:rsidP="00DD731F">
      <w:pPr>
        <w:jc w:val="left"/>
        <w:rPr>
          <w:rFonts w:asciiTheme="minorHAnsi" w:hAnsiTheme="minorHAnsi" w:cstheme="minorHAnsi"/>
          <w:b w:val="0"/>
          <w:sz w:val="22"/>
          <w:szCs w:val="22"/>
          <w:u w:val="single"/>
        </w:rPr>
      </w:pPr>
    </w:p>
    <w:p w:rsidR="00DD731F" w:rsidRPr="00C25D52" w:rsidRDefault="00DD731F" w:rsidP="00DD731F">
      <w:pPr>
        <w:jc w:val="left"/>
        <w:rPr>
          <w:rFonts w:asciiTheme="minorHAnsi" w:hAnsiTheme="minorHAnsi" w:cstheme="minorHAnsi"/>
          <w:b w:val="0"/>
          <w:sz w:val="22"/>
          <w:szCs w:val="22"/>
          <w:u w:val="single"/>
        </w:rPr>
      </w:pPr>
      <w:r w:rsidRPr="00C25D52">
        <w:rPr>
          <w:rFonts w:asciiTheme="minorHAnsi" w:hAnsiTheme="minorHAnsi" w:cstheme="minorHAnsi"/>
          <w:b w:val="0"/>
          <w:sz w:val="22"/>
          <w:szCs w:val="22"/>
          <w:u w:val="single"/>
        </w:rPr>
        <w:t>§1.2 Verzamelpandakte</w:t>
      </w:r>
    </w:p>
    <w:p w:rsidR="00136316" w:rsidRPr="00C25D52" w:rsidRDefault="00BF3523"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De verzamelpandakte is een onderhandse akte, vereist voor het vestigen van een pandrecht. Deze akte wordt gebruikt om </w:t>
      </w:r>
      <w:r w:rsidR="00DD731F" w:rsidRPr="00C25D52">
        <w:rPr>
          <w:rFonts w:asciiTheme="minorHAnsi" w:hAnsiTheme="minorHAnsi" w:cstheme="minorHAnsi"/>
          <w:b w:val="0"/>
          <w:sz w:val="22"/>
          <w:szCs w:val="22"/>
        </w:rPr>
        <w:t xml:space="preserve">zoveel mogelijk vorderingen onder het pandrecht </w:t>
      </w:r>
      <w:r w:rsidR="00670F7E" w:rsidRPr="00C25D52">
        <w:rPr>
          <w:rFonts w:asciiTheme="minorHAnsi" w:hAnsiTheme="minorHAnsi" w:cstheme="minorHAnsi"/>
          <w:b w:val="0"/>
          <w:sz w:val="22"/>
          <w:szCs w:val="22"/>
        </w:rPr>
        <w:t xml:space="preserve">te </w:t>
      </w:r>
      <w:r w:rsidR="00DD731F" w:rsidRPr="00C25D52">
        <w:rPr>
          <w:rFonts w:asciiTheme="minorHAnsi" w:hAnsiTheme="minorHAnsi" w:cstheme="minorHAnsi"/>
          <w:b w:val="0"/>
          <w:sz w:val="22"/>
          <w:szCs w:val="22"/>
        </w:rPr>
        <w:t xml:space="preserve">laten vallen. Om die reden wordt meestal een verzamelpandakte/stampandakte gevestigd. Door middel van een verzamelpandakte kan een bank een pandrecht vestigen op niet nader gespecificeerde vorderingen, </w:t>
      </w:r>
      <w:r w:rsidR="00810884" w:rsidRPr="00C25D52">
        <w:rPr>
          <w:rFonts w:asciiTheme="minorHAnsi" w:hAnsiTheme="minorHAnsi" w:cstheme="minorHAnsi"/>
          <w:b w:val="0"/>
          <w:sz w:val="22"/>
          <w:szCs w:val="22"/>
        </w:rPr>
        <w:t xml:space="preserve">dit wordt </w:t>
      </w:r>
      <w:r w:rsidR="00DD731F" w:rsidRPr="00C25D52">
        <w:rPr>
          <w:rFonts w:asciiTheme="minorHAnsi" w:hAnsiTheme="minorHAnsi" w:cstheme="minorHAnsi"/>
          <w:b w:val="0"/>
          <w:sz w:val="22"/>
          <w:szCs w:val="22"/>
        </w:rPr>
        <w:t xml:space="preserve">ook wel een vangnet- of </w:t>
      </w:r>
      <w:r w:rsidR="00DD731F" w:rsidRPr="00C25D52">
        <w:rPr>
          <w:rFonts w:asciiTheme="minorHAnsi" w:hAnsiTheme="minorHAnsi" w:cstheme="minorHAnsi"/>
          <w:b w:val="0"/>
          <w:i/>
          <w:sz w:val="22"/>
          <w:szCs w:val="22"/>
        </w:rPr>
        <w:t>catch-</w:t>
      </w:r>
      <w:proofErr w:type="spellStart"/>
      <w:r w:rsidR="00DD731F" w:rsidRPr="00C25D52">
        <w:rPr>
          <w:rFonts w:asciiTheme="minorHAnsi" w:hAnsiTheme="minorHAnsi" w:cstheme="minorHAnsi"/>
          <w:b w:val="0"/>
          <w:i/>
          <w:sz w:val="22"/>
          <w:szCs w:val="22"/>
        </w:rPr>
        <w:t>all</w:t>
      </w:r>
      <w:proofErr w:type="spellEnd"/>
      <w:r w:rsidR="00DD731F" w:rsidRPr="00C25D52">
        <w:rPr>
          <w:rFonts w:asciiTheme="minorHAnsi" w:hAnsiTheme="minorHAnsi" w:cstheme="minorHAnsi"/>
          <w:b w:val="0"/>
          <w:i/>
          <w:sz w:val="22"/>
          <w:szCs w:val="22"/>
        </w:rPr>
        <w:t>-</w:t>
      </w:r>
      <w:r w:rsidR="00DD731F" w:rsidRPr="00C25D52">
        <w:rPr>
          <w:rFonts w:asciiTheme="minorHAnsi" w:hAnsiTheme="minorHAnsi" w:cstheme="minorHAnsi"/>
          <w:b w:val="0"/>
          <w:sz w:val="22"/>
          <w:szCs w:val="22"/>
        </w:rPr>
        <w:t>clausule genoemd. Hierbij moet worden opgemerkt dat, als een verzamelpandakte niet gespecificeerd is, het nodig is dat de datum is vastgesteld waarop de volmacht en de titel (overeenkomst van pand) zijn verleend.</w:t>
      </w:r>
      <w:r w:rsidR="00136316" w:rsidRPr="00C25D52">
        <w:rPr>
          <w:rFonts w:asciiTheme="minorHAnsi" w:hAnsiTheme="minorHAnsi" w:cstheme="minorHAnsi"/>
          <w:b w:val="0"/>
          <w:sz w:val="22"/>
          <w:szCs w:val="22"/>
        </w:rPr>
        <w:t xml:space="preserve"> Dit zijn immers vereisten voor</w:t>
      </w:r>
      <w:r w:rsidR="00813050" w:rsidRPr="00C25D52">
        <w:rPr>
          <w:rFonts w:asciiTheme="minorHAnsi" w:hAnsiTheme="minorHAnsi" w:cstheme="minorHAnsi"/>
          <w:b w:val="0"/>
          <w:sz w:val="22"/>
          <w:szCs w:val="22"/>
        </w:rPr>
        <w:t xml:space="preserve"> een</w:t>
      </w:r>
      <w:r w:rsidR="00136316" w:rsidRPr="00C25D52">
        <w:rPr>
          <w:rFonts w:asciiTheme="minorHAnsi" w:hAnsiTheme="minorHAnsi" w:cstheme="minorHAnsi"/>
          <w:b w:val="0"/>
          <w:sz w:val="22"/>
          <w:szCs w:val="22"/>
        </w:rPr>
        <w:t xml:space="preserve"> rechtsgeldige verzamelpandakte</w:t>
      </w:r>
      <w:r w:rsidR="00C47F48" w:rsidRPr="00C25D52">
        <w:rPr>
          <w:rFonts w:asciiTheme="minorHAnsi" w:hAnsiTheme="minorHAnsi" w:cstheme="minorHAnsi"/>
          <w:b w:val="0"/>
          <w:sz w:val="22"/>
          <w:szCs w:val="22"/>
        </w:rPr>
        <w:t>.</w:t>
      </w:r>
      <w:r w:rsidR="00DD731F" w:rsidRPr="00C25D52">
        <w:rPr>
          <w:rStyle w:val="Voetnootmarkering"/>
          <w:rFonts w:asciiTheme="minorHAnsi" w:hAnsiTheme="minorHAnsi" w:cstheme="minorHAnsi"/>
          <w:b w:val="0"/>
          <w:sz w:val="22"/>
          <w:szCs w:val="22"/>
        </w:rPr>
        <w:footnoteReference w:id="21"/>
      </w:r>
      <w:r w:rsidR="00DD731F" w:rsidRPr="00C25D52">
        <w:rPr>
          <w:rFonts w:asciiTheme="minorHAnsi" w:hAnsiTheme="minorHAnsi" w:cstheme="minorHAnsi"/>
          <w:b w:val="0"/>
          <w:sz w:val="22"/>
          <w:szCs w:val="22"/>
        </w:rPr>
        <w:t xml:space="preserve"> </w:t>
      </w:r>
      <w:r w:rsidR="00DD731F" w:rsidRPr="00C25D52">
        <w:rPr>
          <w:rStyle w:val="Voetnootmarkering"/>
          <w:rFonts w:asciiTheme="minorHAnsi" w:hAnsiTheme="minorHAnsi" w:cstheme="minorHAnsi"/>
          <w:b w:val="0"/>
          <w:sz w:val="22"/>
          <w:szCs w:val="22"/>
        </w:rPr>
        <w:footnoteReference w:id="22"/>
      </w:r>
      <w:r w:rsidR="00DD731F" w:rsidRPr="00C25D52">
        <w:rPr>
          <w:rFonts w:asciiTheme="minorHAnsi" w:hAnsiTheme="minorHAnsi" w:cstheme="minorHAnsi"/>
          <w:b w:val="0"/>
          <w:sz w:val="22"/>
          <w:szCs w:val="22"/>
        </w:rPr>
        <w:t xml:space="preserve"> </w:t>
      </w:r>
    </w:p>
    <w:p w:rsidR="00136316" w:rsidRPr="00C25D52" w:rsidRDefault="00136316" w:rsidP="00DD731F">
      <w:pPr>
        <w:jc w:val="left"/>
        <w:rPr>
          <w:rFonts w:asciiTheme="minorHAnsi" w:hAnsiTheme="minorHAnsi" w:cstheme="minorHAnsi"/>
          <w:b w:val="0"/>
          <w:sz w:val="22"/>
          <w:szCs w:val="22"/>
        </w:rPr>
      </w:pPr>
    </w:p>
    <w:p w:rsidR="0029470B"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Als er geen verzamelpandakte zou worden gevestigd, zal de </w:t>
      </w:r>
      <w:r w:rsidR="00996151">
        <w:rPr>
          <w:rFonts w:asciiTheme="minorHAnsi" w:hAnsiTheme="minorHAnsi" w:cstheme="minorHAnsi"/>
          <w:b w:val="0"/>
          <w:sz w:val="22"/>
          <w:szCs w:val="22"/>
        </w:rPr>
        <w:t>pandhouder</w:t>
      </w:r>
      <w:r w:rsidR="009330AE">
        <w:rPr>
          <w:rFonts w:asciiTheme="minorHAnsi" w:hAnsiTheme="minorHAnsi" w:cstheme="minorHAnsi"/>
          <w:b w:val="0"/>
          <w:sz w:val="22"/>
          <w:szCs w:val="22"/>
        </w:rPr>
        <w:t>/bank</w:t>
      </w:r>
      <w:r w:rsidRPr="00C25D52">
        <w:rPr>
          <w:rFonts w:asciiTheme="minorHAnsi" w:hAnsiTheme="minorHAnsi" w:cstheme="minorHAnsi"/>
          <w:b w:val="0"/>
          <w:sz w:val="22"/>
          <w:szCs w:val="22"/>
        </w:rPr>
        <w:t xml:space="preserve"> iedere nieuwe vordering van de </w:t>
      </w:r>
      <w:r w:rsidR="00996151">
        <w:rPr>
          <w:rFonts w:asciiTheme="minorHAnsi" w:hAnsiTheme="minorHAnsi" w:cstheme="minorHAnsi"/>
          <w:b w:val="0"/>
          <w:sz w:val="22"/>
          <w:szCs w:val="22"/>
        </w:rPr>
        <w:t>pandgever</w:t>
      </w:r>
      <w:r w:rsidRPr="00C25D52">
        <w:rPr>
          <w:rFonts w:asciiTheme="minorHAnsi" w:hAnsiTheme="minorHAnsi" w:cstheme="minorHAnsi"/>
          <w:b w:val="0"/>
          <w:sz w:val="22"/>
          <w:szCs w:val="22"/>
        </w:rPr>
        <w:t xml:space="preserve"> op een </w:t>
      </w:r>
      <w:r w:rsidR="00996151">
        <w:rPr>
          <w:rFonts w:asciiTheme="minorHAnsi" w:hAnsiTheme="minorHAnsi" w:cstheme="minorHAnsi"/>
          <w:b w:val="0"/>
          <w:sz w:val="22"/>
          <w:szCs w:val="22"/>
        </w:rPr>
        <w:t>debiteur</w:t>
      </w:r>
      <w:r w:rsidRPr="00C25D52">
        <w:rPr>
          <w:rFonts w:asciiTheme="minorHAnsi" w:hAnsiTheme="minorHAnsi" w:cstheme="minorHAnsi"/>
          <w:b w:val="0"/>
          <w:sz w:val="22"/>
          <w:szCs w:val="22"/>
        </w:rPr>
        <w:t xml:space="preserve"> opnieuw moeten verpanden. Er zal dan </w:t>
      </w:r>
      <w:r w:rsidR="00136316" w:rsidRPr="00C25D52">
        <w:rPr>
          <w:rFonts w:asciiTheme="minorHAnsi" w:hAnsiTheme="minorHAnsi" w:cstheme="minorHAnsi"/>
          <w:b w:val="0"/>
          <w:sz w:val="22"/>
          <w:szCs w:val="22"/>
        </w:rPr>
        <w:t xml:space="preserve">voor iedere vordering een </w:t>
      </w:r>
      <w:proofErr w:type="spellStart"/>
      <w:r w:rsidR="00136316" w:rsidRPr="00C25D52">
        <w:rPr>
          <w:rFonts w:asciiTheme="minorHAnsi" w:hAnsiTheme="minorHAnsi" w:cstheme="minorHAnsi"/>
          <w:b w:val="0"/>
          <w:sz w:val="22"/>
          <w:szCs w:val="22"/>
        </w:rPr>
        <w:t>pandakte</w:t>
      </w:r>
      <w:proofErr w:type="spellEnd"/>
      <w:r w:rsidR="00136316" w:rsidRPr="00C25D52">
        <w:rPr>
          <w:rFonts w:asciiTheme="minorHAnsi" w:hAnsiTheme="minorHAnsi" w:cstheme="minorHAnsi"/>
          <w:b w:val="0"/>
          <w:sz w:val="22"/>
          <w:szCs w:val="22"/>
        </w:rPr>
        <w:t xml:space="preserve"> opgesteld moeten worden</w:t>
      </w:r>
      <w:r w:rsidRPr="00C25D52">
        <w:rPr>
          <w:rFonts w:asciiTheme="minorHAnsi" w:hAnsiTheme="minorHAnsi" w:cstheme="minorHAnsi"/>
          <w:b w:val="0"/>
          <w:sz w:val="22"/>
          <w:szCs w:val="22"/>
        </w:rPr>
        <w:t xml:space="preserve">. </w:t>
      </w:r>
      <w:r w:rsidR="0029470B" w:rsidRPr="00C25D52">
        <w:rPr>
          <w:rFonts w:asciiTheme="minorHAnsi" w:hAnsiTheme="minorHAnsi" w:cstheme="minorHAnsi"/>
          <w:b w:val="0"/>
          <w:sz w:val="22"/>
          <w:szCs w:val="22"/>
        </w:rPr>
        <w:t xml:space="preserve">Een verzamelpandakte dient slechts eenmaal per dag naar de Belastingdienst te worden verstuurd ter registratie. Hierover </w:t>
      </w:r>
      <w:r w:rsidR="00686AE3" w:rsidRPr="00C25D52">
        <w:rPr>
          <w:rFonts w:asciiTheme="minorHAnsi" w:hAnsiTheme="minorHAnsi" w:cstheme="minorHAnsi"/>
          <w:b w:val="0"/>
          <w:sz w:val="22"/>
          <w:szCs w:val="22"/>
        </w:rPr>
        <w:t xml:space="preserve">meer in </w:t>
      </w:r>
      <w:r w:rsidR="00B311CC" w:rsidRPr="00C25D52">
        <w:rPr>
          <w:rFonts w:asciiTheme="minorHAnsi" w:hAnsiTheme="minorHAnsi" w:cstheme="minorHAnsi"/>
          <w:b w:val="0"/>
          <w:sz w:val="22"/>
          <w:szCs w:val="22"/>
        </w:rPr>
        <w:t>h</w:t>
      </w:r>
      <w:r w:rsidR="00202B3C" w:rsidRPr="00C25D52">
        <w:rPr>
          <w:rFonts w:asciiTheme="minorHAnsi" w:hAnsiTheme="minorHAnsi" w:cstheme="minorHAnsi"/>
          <w:b w:val="0"/>
          <w:sz w:val="22"/>
          <w:szCs w:val="22"/>
        </w:rPr>
        <w:t>oofdstuk 3</w:t>
      </w:r>
      <w:r w:rsidR="00686AE3" w:rsidRPr="00C25D52">
        <w:rPr>
          <w:rFonts w:asciiTheme="minorHAnsi" w:hAnsiTheme="minorHAnsi" w:cstheme="minorHAnsi"/>
          <w:b w:val="0"/>
          <w:sz w:val="22"/>
          <w:szCs w:val="22"/>
        </w:rPr>
        <w:t>.</w:t>
      </w:r>
    </w:p>
    <w:p w:rsidR="0029470B" w:rsidRPr="00C25D52" w:rsidRDefault="0029470B"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De bank vestigt een verzamelpandakte door een volmacht op te nemen van de </w:t>
      </w:r>
      <w:r w:rsidR="00DC3130">
        <w:rPr>
          <w:rFonts w:asciiTheme="minorHAnsi" w:hAnsiTheme="minorHAnsi" w:cstheme="minorHAnsi"/>
          <w:b w:val="0"/>
          <w:sz w:val="22"/>
          <w:szCs w:val="22"/>
        </w:rPr>
        <w:t>pandgever</w:t>
      </w:r>
      <w:r w:rsidRPr="00C25D52">
        <w:rPr>
          <w:rFonts w:asciiTheme="minorHAnsi" w:hAnsiTheme="minorHAnsi" w:cstheme="minorHAnsi"/>
          <w:b w:val="0"/>
          <w:sz w:val="22"/>
          <w:szCs w:val="22"/>
        </w:rPr>
        <w:t xml:space="preserve">, zodat zij alle bestaande vorderingen op basis van die volmacht mag verpanden. De volmacht houdt in dat de bank de vorderingen mag verpanden zonder steeds een handtekening of goedkeuring van de </w:t>
      </w:r>
      <w:r w:rsidR="00DA7952">
        <w:rPr>
          <w:rFonts w:asciiTheme="minorHAnsi" w:hAnsiTheme="minorHAnsi" w:cstheme="minorHAnsi"/>
          <w:b w:val="0"/>
          <w:sz w:val="22"/>
          <w:szCs w:val="22"/>
        </w:rPr>
        <w:t>pandgever</w:t>
      </w:r>
      <w:r w:rsidRPr="00C25D52">
        <w:rPr>
          <w:rFonts w:asciiTheme="minorHAnsi" w:hAnsiTheme="minorHAnsi" w:cstheme="minorHAnsi"/>
          <w:b w:val="0"/>
          <w:sz w:val="22"/>
          <w:szCs w:val="22"/>
        </w:rPr>
        <w:t xml:space="preserve"> te krijgen.</w:t>
      </w:r>
      <w:r w:rsidRPr="00C25D52">
        <w:rPr>
          <w:rStyle w:val="Voetnootmarkering"/>
          <w:rFonts w:asciiTheme="minorHAnsi" w:hAnsiTheme="minorHAnsi" w:cstheme="minorHAnsi"/>
          <w:b w:val="0"/>
          <w:sz w:val="22"/>
          <w:szCs w:val="22"/>
        </w:rPr>
        <w:footnoteReference w:id="23"/>
      </w:r>
      <w:r w:rsidRPr="00C25D52">
        <w:rPr>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24"/>
      </w:r>
      <w:r w:rsidRPr="00C25D52">
        <w:rPr>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25"/>
      </w:r>
      <w:r w:rsidRPr="00C25D52">
        <w:rPr>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26"/>
      </w:r>
    </w:p>
    <w:p w:rsidR="00DD731F" w:rsidRPr="00C25D52" w:rsidRDefault="00DD731F" w:rsidP="00DD731F">
      <w:pPr>
        <w:jc w:val="left"/>
        <w:rPr>
          <w:rFonts w:asciiTheme="minorHAnsi" w:hAnsiTheme="minorHAnsi" w:cstheme="minorHAnsi"/>
          <w:b w:val="0"/>
          <w:sz w:val="22"/>
          <w:szCs w:val="22"/>
          <w:u w:val="single"/>
        </w:rPr>
      </w:pPr>
    </w:p>
    <w:p w:rsidR="00DD731F" w:rsidRPr="00C25D52" w:rsidRDefault="00DD731F" w:rsidP="00DD731F">
      <w:pPr>
        <w:jc w:val="left"/>
        <w:rPr>
          <w:rFonts w:asciiTheme="minorHAnsi" w:hAnsiTheme="minorHAnsi" w:cstheme="minorHAnsi"/>
          <w:b w:val="0"/>
          <w:sz w:val="22"/>
          <w:szCs w:val="22"/>
          <w:u w:val="single"/>
        </w:rPr>
      </w:pPr>
      <w:r w:rsidRPr="00C25D52">
        <w:rPr>
          <w:rFonts w:asciiTheme="minorHAnsi" w:hAnsiTheme="minorHAnsi" w:cstheme="minorHAnsi"/>
          <w:b w:val="0"/>
          <w:sz w:val="22"/>
          <w:szCs w:val="22"/>
          <w:u w:val="single"/>
        </w:rPr>
        <w:t>§1.3 Tenietgaan pandrecht</w:t>
      </w: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In artikel 3:81 lid 2 BW wordt een opsomming gegeven van wijzen waarop het pandrecht tenietgaat. De belangrijkste vorm van tenietgaan van het pandrecht voor onze casus is het tenietgaan van het pandrecht ten gevolge van het tenietgaan van de vordering</w:t>
      </w:r>
      <w:r w:rsidR="00630E4D" w:rsidRPr="00C25D52">
        <w:rPr>
          <w:rFonts w:asciiTheme="minorHAnsi" w:hAnsiTheme="minorHAnsi" w:cstheme="minorHAnsi"/>
          <w:b w:val="0"/>
          <w:sz w:val="22"/>
          <w:szCs w:val="22"/>
        </w:rPr>
        <w:t xml:space="preserve"> waarop het pandrecht rust</w:t>
      </w:r>
      <w:r w:rsidRPr="00C25D52">
        <w:rPr>
          <w:rFonts w:asciiTheme="minorHAnsi" w:hAnsiTheme="minorHAnsi" w:cstheme="minorHAnsi"/>
          <w:b w:val="0"/>
          <w:sz w:val="22"/>
          <w:szCs w:val="22"/>
        </w:rPr>
        <w:t>. Als de vordering waarop het pandrecht gevestigd is namelijk tenietgaat, door voldoening ervan, dan zal tevens het pandrecht tenietgaan. In paragraaf 4 zal dieper worden ingegaan op de situatie waarin de bank een pandrecht vestigt op een vordering die door middel van een pintransactie wordt voldaan.</w:t>
      </w:r>
    </w:p>
    <w:p w:rsidR="005F14DE" w:rsidRPr="00C25D52" w:rsidRDefault="005F14DE" w:rsidP="00DD731F">
      <w:pPr>
        <w:jc w:val="left"/>
        <w:rPr>
          <w:rFonts w:asciiTheme="minorHAnsi" w:hAnsiTheme="minorHAnsi" w:cstheme="minorHAnsi"/>
          <w:b w:val="0"/>
          <w:sz w:val="22"/>
          <w:szCs w:val="22"/>
          <w:u w:val="single"/>
        </w:rPr>
      </w:pPr>
    </w:p>
    <w:p w:rsidR="00DD731F" w:rsidRPr="00C25D52" w:rsidRDefault="00DD731F" w:rsidP="00DD731F">
      <w:pPr>
        <w:jc w:val="left"/>
        <w:rPr>
          <w:rFonts w:asciiTheme="minorHAnsi" w:hAnsiTheme="minorHAnsi" w:cstheme="minorHAnsi"/>
          <w:b w:val="0"/>
          <w:sz w:val="22"/>
          <w:szCs w:val="22"/>
          <w:u w:val="single"/>
        </w:rPr>
      </w:pPr>
      <w:r w:rsidRPr="00C25D52">
        <w:rPr>
          <w:rFonts w:asciiTheme="minorHAnsi" w:hAnsiTheme="minorHAnsi" w:cstheme="minorHAnsi"/>
          <w:b w:val="0"/>
          <w:sz w:val="22"/>
          <w:szCs w:val="22"/>
          <w:u w:val="single"/>
        </w:rPr>
        <w:t>§1.4 Kortom</w:t>
      </w: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Kortom, een pandrecht geeft de bank zekerheid dat zij haar geld, dat zij aan de winkel op basis van een rekening courant heeft geleend, terugkrijgt. Echter, om een rechtsgeldig stil pandrecht te kunnen vestigen moet worden voldaan aan een aantal eisen, zoals de vestiging, beschikkingsbevoegdheid en titel, maar ook een onderhandse akte en registratie bij de </w:t>
      </w:r>
      <w:r w:rsidR="00DA7E31" w:rsidRPr="00C25D52">
        <w:rPr>
          <w:rFonts w:asciiTheme="minorHAnsi" w:hAnsiTheme="minorHAnsi" w:cstheme="minorHAnsi"/>
          <w:b w:val="0"/>
          <w:sz w:val="22"/>
          <w:szCs w:val="22"/>
        </w:rPr>
        <w:t>B</w:t>
      </w:r>
      <w:r w:rsidRPr="00C25D52">
        <w:rPr>
          <w:rFonts w:asciiTheme="minorHAnsi" w:hAnsiTheme="minorHAnsi" w:cstheme="minorHAnsi"/>
          <w:b w:val="0"/>
          <w:sz w:val="22"/>
          <w:szCs w:val="22"/>
        </w:rPr>
        <w:t>elastingdienst. Daarnaast kan de bank kiezen voor een verzamelpandakte om niet iedere vordering apart te hoeven verpanden. Tot slot kan een pandrecht tenietgaan door voldoening van de vordering waar het pandrecht op ligt. In de volgende paragrafen en de uitwerking van mijn deelvragen zal ik bekijken of de bank wel aan deze eisen heeft voldaan en of er in de casus dus wel een rechtsgeldig pandrecht gevestigd is.</w:t>
      </w:r>
    </w:p>
    <w:p w:rsidR="00DD731F" w:rsidRPr="00C25D52" w:rsidRDefault="00DD731F" w:rsidP="00164E92">
      <w:pPr>
        <w:jc w:val="left"/>
        <w:rPr>
          <w:rFonts w:asciiTheme="minorHAnsi" w:hAnsiTheme="minorHAnsi" w:cstheme="minorHAnsi"/>
          <w:b w:val="0"/>
          <w:sz w:val="22"/>
          <w:szCs w:val="22"/>
        </w:rPr>
      </w:pPr>
    </w:p>
    <w:p w:rsidR="00DD731F" w:rsidRPr="00570D50" w:rsidRDefault="007C1918" w:rsidP="00570D50">
      <w:pPr>
        <w:pStyle w:val="Kop2"/>
        <w:spacing w:before="0" w:beforeAutospacing="0" w:after="0" w:afterAutospacing="0"/>
        <w:rPr>
          <w:rFonts w:asciiTheme="minorHAnsi" w:hAnsiTheme="minorHAnsi" w:cstheme="minorHAnsi"/>
          <w:sz w:val="24"/>
          <w:szCs w:val="24"/>
        </w:rPr>
      </w:pPr>
      <w:bookmarkStart w:id="17" w:name="_Toc486246612"/>
      <w:r w:rsidRPr="00570D50">
        <w:rPr>
          <w:rFonts w:asciiTheme="minorHAnsi" w:hAnsiTheme="minorHAnsi" w:cstheme="minorHAnsi"/>
          <w:sz w:val="24"/>
          <w:szCs w:val="24"/>
        </w:rPr>
        <w:t xml:space="preserve">§2 </w:t>
      </w:r>
      <w:r w:rsidR="00DD731F" w:rsidRPr="00570D50">
        <w:rPr>
          <w:rFonts w:asciiTheme="minorHAnsi" w:hAnsiTheme="minorHAnsi" w:cstheme="minorHAnsi"/>
          <w:sz w:val="24"/>
          <w:szCs w:val="24"/>
        </w:rPr>
        <w:t>Stil pandrecht</w:t>
      </w:r>
      <w:bookmarkEnd w:id="17"/>
    </w:p>
    <w:p w:rsidR="00DD731F" w:rsidRPr="00C25D52" w:rsidRDefault="00C90326"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De Rabo</w:t>
      </w:r>
      <w:r w:rsidR="00DD731F" w:rsidRPr="00C25D52">
        <w:rPr>
          <w:rFonts w:asciiTheme="minorHAnsi" w:hAnsiTheme="minorHAnsi" w:cstheme="minorHAnsi"/>
          <w:b w:val="0"/>
          <w:sz w:val="22"/>
          <w:szCs w:val="22"/>
        </w:rPr>
        <w:t xml:space="preserve">bank </w:t>
      </w:r>
      <w:r w:rsidRPr="00C25D52">
        <w:rPr>
          <w:rFonts w:asciiTheme="minorHAnsi" w:hAnsiTheme="minorHAnsi" w:cstheme="minorHAnsi"/>
          <w:b w:val="0"/>
          <w:sz w:val="22"/>
          <w:szCs w:val="22"/>
        </w:rPr>
        <w:t>in</w:t>
      </w:r>
      <w:r w:rsidR="00DD731F" w:rsidRPr="00C25D52">
        <w:rPr>
          <w:rFonts w:asciiTheme="minorHAnsi" w:hAnsiTheme="minorHAnsi" w:cstheme="minorHAnsi"/>
          <w:b w:val="0"/>
          <w:sz w:val="22"/>
          <w:szCs w:val="22"/>
        </w:rPr>
        <w:t xml:space="preserve"> de casus</w:t>
      </w:r>
      <w:r w:rsidRPr="00C25D52">
        <w:rPr>
          <w:rFonts w:asciiTheme="minorHAnsi" w:hAnsiTheme="minorHAnsi" w:cstheme="minorHAnsi"/>
          <w:b w:val="0"/>
          <w:sz w:val="22"/>
          <w:szCs w:val="22"/>
        </w:rPr>
        <w:t xml:space="preserve"> heeft</w:t>
      </w:r>
      <w:r w:rsidR="00DD731F" w:rsidRPr="00C25D52">
        <w:rPr>
          <w:rFonts w:asciiTheme="minorHAnsi" w:hAnsiTheme="minorHAnsi" w:cstheme="minorHAnsi"/>
          <w:b w:val="0"/>
          <w:sz w:val="22"/>
          <w:szCs w:val="22"/>
        </w:rPr>
        <w:t xml:space="preserve"> een stil pandrecht gevestigd op de winkel. Ik zal in deze paragraaf uitleggen wat een stil pandrecht precies inhoudt en wat voor bijzonderheden het met zich meebrengt.</w:t>
      </w:r>
    </w:p>
    <w:p w:rsidR="00DD731F" w:rsidRPr="00C25D52" w:rsidRDefault="00DD731F"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Een stil pandrecht is een vorm van pandrecht, dus een zekerheidsrecht waarmee de bank haar geld terug kan krijgen. Het bijzondere aan een stil pandrecht is dat het goed waar het pandrecht op </w:t>
      </w:r>
      <w:r w:rsidR="0015493D" w:rsidRPr="00C25D52">
        <w:rPr>
          <w:rFonts w:asciiTheme="minorHAnsi" w:hAnsiTheme="minorHAnsi" w:cstheme="minorHAnsi"/>
          <w:b w:val="0"/>
          <w:sz w:val="22"/>
          <w:szCs w:val="22"/>
        </w:rPr>
        <w:t>rust</w:t>
      </w:r>
      <w:r w:rsidRPr="00C25D52">
        <w:rPr>
          <w:rFonts w:asciiTheme="minorHAnsi" w:hAnsiTheme="minorHAnsi" w:cstheme="minorHAnsi"/>
          <w:b w:val="0"/>
          <w:sz w:val="22"/>
          <w:szCs w:val="22"/>
        </w:rPr>
        <w:t>, niet overgaat op de pandhouder. Er wordt zodoende een authentieke of onderhandse akte opgemaakt waarin staat dat op een bepaald goed een pandrecht is gevestigd, artikel 3:239 lid 1 BW. Behalve het opmaken van een akte verloopt de vestiging van een stil pandrecht hetzelfde als bij een vuistpand. Er is zodoende vestiging door een beschikkingsbevoegde op grond van een geldige titel vereist.</w:t>
      </w:r>
      <w:r w:rsidRPr="00C25D52">
        <w:rPr>
          <w:rStyle w:val="Voetnootmarkering"/>
          <w:rFonts w:asciiTheme="minorHAnsi" w:hAnsiTheme="minorHAnsi" w:cstheme="minorHAnsi"/>
          <w:b w:val="0"/>
          <w:sz w:val="22"/>
          <w:szCs w:val="22"/>
        </w:rPr>
        <w:footnoteReference w:id="27"/>
      </w:r>
    </w:p>
    <w:p w:rsidR="00DD731F" w:rsidRPr="00C25D52" w:rsidRDefault="00DD731F"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u w:val="single"/>
        </w:rPr>
      </w:pPr>
      <w:r w:rsidRPr="00C25D52">
        <w:rPr>
          <w:rFonts w:asciiTheme="minorHAnsi" w:hAnsiTheme="minorHAnsi" w:cstheme="minorHAnsi"/>
          <w:b w:val="0"/>
          <w:sz w:val="22"/>
          <w:szCs w:val="22"/>
          <w:u w:val="single"/>
        </w:rPr>
        <w:t>§2.1 Openbaar maken</w:t>
      </w: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De pandhouder kan er op grond van artikel 3:237 lid 3 BW voor kiezen om van de pandgever te vorderen dat het verpande goed in zijn bezit wordt gebracht. Het stil pandrecht wordt dan een vuistpand. Voor het omzetten van een stil pand in een vuistpand is vereist dat de pandhouder vreest dat de pandgever zijn verplichtingen niet na zal komen. Echter, het in het bezit brengen van de pandhouder van vorderingen is lastig. Daarom dient de pandhouder niet te vorderen dat de pandgever het goed in zijn bezit brengt, maar dient hij mededeling te doen van zijn pandrecht aan de consumenten van de winkel. Op die manier maakt hij het stil pandrecht openbaar. Om het stil pandrecht op vorderingen openbaar te maken moet eveneens vrees voor het niet nakomen van de verplichtingen van de pandgever zijn. Het openbaar maken van een stil pandrecht heeft als gevolg dat de bank een inningsbevoegdheid creëert. De inningsbevoegdheid zorgt ervoor dat de bank de vordering </w:t>
      </w:r>
      <w:r w:rsidR="009D027C" w:rsidRPr="00C25D52">
        <w:rPr>
          <w:rFonts w:asciiTheme="minorHAnsi" w:hAnsiTheme="minorHAnsi" w:cstheme="minorHAnsi"/>
          <w:b w:val="0"/>
          <w:sz w:val="22"/>
          <w:szCs w:val="22"/>
        </w:rPr>
        <w:t>rechtstreeks</w:t>
      </w:r>
      <w:r w:rsidRPr="00C25D52">
        <w:rPr>
          <w:rFonts w:asciiTheme="minorHAnsi" w:hAnsiTheme="minorHAnsi" w:cstheme="minorHAnsi"/>
          <w:b w:val="0"/>
          <w:sz w:val="22"/>
          <w:szCs w:val="22"/>
        </w:rPr>
        <w:t xml:space="preserve"> van de consument van de winkel kan innen.</w:t>
      </w:r>
      <w:r w:rsidRPr="00C25D52">
        <w:rPr>
          <w:rStyle w:val="Voetnootmarkering"/>
          <w:rFonts w:asciiTheme="minorHAnsi" w:hAnsiTheme="minorHAnsi" w:cstheme="minorHAnsi"/>
          <w:b w:val="0"/>
          <w:sz w:val="22"/>
          <w:szCs w:val="22"/>
        </w:rPr>
        <w:footnoteReference w:id="28"/>
      </w:r>
      <w:r w:rsidRPr="00C25D52">
        <w:rPr>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29"/>
      </w:r>
    </w:p>
    <w:p w:rsidR="00DD731F" w:rsidRPr="00C25D52" w:rsidRDefault="00DD731F" w:rsidP="00DD731F">
      <w:pPr>
        <w:jc w:val="left"/>
        <w:rPr>
          <w:rFonts w:asciiTheme="minorHAnsi" w:hAnsiTheme="minorHAnsi" w:cstheme="minorHAnsi"/>
          <w:b w:val="0"/>
          <w:sz w:val="22"/>
          <w:szCs w:val="22"/>
        </w:rPr>
      </w:pPr>
    </w:p>
    <w:p w:rsidR="00A60794" w:rsidRDefault="00A60794" w:rsidP="00DD731F">
      <w:pPr>
        <w:jc w:val="left"/>
        <w:rPr>
          <w:rFonts w:asciiTheme="minorHAnsi" w:hAnsiTheme="minorHAnsi" w:cstheme="minorHAnsi"/>
          <w:b w:val="0"/>
          <w:sz w:val="22"/>
          <w:szCs w:val="22"/>
          <w:u w:val="single"/>
        </w:rPr>
      </w:pPr>
    </w:p>
    <w:p w:rsidR="00A60794" w:rsidRDefault="00A60794" w:rsidP="00DD731F">
      <w:pPr>
        <w:jc w:val="left"/>
        <w:rPr>
          <w:rFonts w:asciiTheme="minorHAnsi" w:hAnsiTheme="minorHAnsi" w:cstheme="minorHAnsi"/>
          <w:b w:val="0"/>
          <w:sz w:val="22"/>
          <w:szCs w:val="22"/>
          <w:u w:val="single"/>
        </w:rPr>
      </w:pPr>
    </w:p>
    <w:p w:rsidR="00DD731F" w:rsidRPr="00C25D52" w:rsidRDefault="00DD731F" w:rsidP="00DD731F">
      <w:pPr>
        <w:jc w:val="left"/>
        <w:rPr>
          <w:rFonts w:asciiTheme="minorHAnsi" w:hAnsiTheme="minorHAnsi" w:cstheme="minorHAnsi"/>
          <w:b w:val="0"/>
          <w:sz w:val="22"/>
          <w:szCs w:val="22"/>
          <w:u w:val="single"/>
        </w:rPr>
      </w:pPr>
      <w:r w:rsidRPr="00C25D52">
        <w:rPr>
          <w:rFonts w:asciiTheme="minorHAnsi" w:hAnsiTheme="minorHAnsi" w:cstheme="minorHAnsi"/>
          <w:b w:val="0"/>
          <w:sz w:val="22"/>
          <w:szCs w:val="22"/>
          <w:u w:val="single"/>
        </w:rPr>
        <w:t>§2.2 Mededeling doen</w:t>
      </w: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De Hoge Raad heeft zich hier tevens over gebogen en aangegeven dat de pandgever (schoenenwinkel) op grond van artikel 3:246 lid 1 BW betalingen op de stil verpande vorderingen zelf mag ontvangen zolang er geen mededeling van de verpande vorderingen aan de kopers (consumenten) wordt gedaan door de pandhouder (Rabobank). Als de pandgever failliet gaat, gaat de bevoegdheid tot het ontvangen van de betalingen over op de curator.</w:t>
      </w:r>
      <w:r w:rsidRPr="00C25D52">
        <w:rPr>
          <w:rStyle w:val="Voetnootmarkering"/>
          <w:rFonts w:asciiTheme="minorHAnsi" w:hAnsiTheme="minorHAnsi" w:cstheme="minorHAnsi"/>
          <w:b w:val="0"/>
          <w:sz w:val="22"/>
          <w:szCs w:val="22"/>
        </w:rPr>
        <w:footnoteReference w:id="30"/>
      </w:r>
    </w:p>
    <w:p w:rsidR="00DD731F" w:rsidRPr="00C25D52" w:rsidRDefault="00DD731F"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Volgens A.G. </w:t>
      </w:r>
      <w:proofErr w:type="spellStart"/>
      <w:r w:rsidRPr="00C25D52">
        <w:rPr>
          <w:rFonts w:asciiTheme="minorHAnsi" w:hAnsiTheme="minorHAnsi" w:cstheme="minorHAnsi"/>
          <w:b w:val="0"/>
          <w:sz w:val="22"/>
          <w:szCs w:val="22"/>
        </w:rPr>
        <w:t>Hartkamp</w:t>
      </w:r>
      <w:proofErr w:type="spellEnd"/>
      <w:r w:rsidRPr="00C25D52">
        <w:rPr>
          <w:rFonts w:asciiTheme="minorHAnsi" w:hAnsiTheme="minorHAnsi" w:cstheme="minorHAnsi"/>
          <w:b w:val="0"/>
          <w:sz w:val="22"/>
          <w:szCs w:val="22"/>
        </w:rPr>
        <w:t xml:space="preserve"> is een stil pandhouder die geen me</w:t>
      </w:r>
      <w:r w:rsidR="00E27686" w:rsidRPr="00C25D52">
        <w:rPr>
          <w:rFonts w:asciiTheme="minorHAnsi" w:hAnsiTheme="minorHAnsi" w:cstheme="minorHAnsi"/>
          <w:b w:val="0"/>
          <w:sz w:val="22"/>
          <w:szCs w:val="22"/>
        </w:rPr>
        <w:t>dedeling van zijn pandrecht</w:t>
      </w:r>
      <w:r w:rsidRPr="00C25D52">
        <w:rPr>
          <w:rFonts w:asciiTheme="minorHAnsi" w:hAnsiTheme="minorHAnsi" w:cstheme="minorHAnsi"/>
          <w:b w:val="0"/>
          <w:sz w:val="22"/>
          <w:szCs w:val="22"/>
        </w:rPr>
        <w:t xml:space="preserve"> heeft gedaan geen separatist in een faillissement als er wordt gekeken naar de letter van artikel 57 </w:t>
      </w:r>
      <w:proofErr w:type="spellStart"/>
      <w:r w:rsidRPr="00C25D52">
        <w:rPr>
          <w:rFonts w:asciiTheme="minorHAnsi" w:hAnsiTheme="minorHAnsi" w:cstheme="minorHAnsi"/>
          <w:b w:val="0"/>
          <w:sz w:val="22"/>
          <w:szCs w:val="22"/>
        </w:rPr>
        <w:t>Fw</w:t>
      </w:r>
      <w:proofErr w:type="spellEnd"/>
      <w:r w:rsidRPr="00C25D52">
        <w:rPr>
          <w:rFonts w:asciiTheme="minorHAnsi" w:hAnsiTheme="minorHAnsi" w:cstheme="minorHAnsi"/>
          <w:b w:val="0"/>
          <w:sz w:val="22"/>
          <w:szCs w:val="22"/>
        </w:rPr>
        <w:t xml:space="preserve">. </w:t>
      </w:r>
      <w:proofErr w:type="spellStart"/>
      <w:r w:rsidRPr="00C25D52">
        <w:rPr>
          <w:rFonts w:asciiTheme="minorHAnsi" w:hAnsiTheme="minorHAnsi" w:cstheme="minorHAnsi"/>
          <w:b w:val="0"/>
          <w:sz w:val="22"/>
          <w:szCs w:val="22"/>
        </w:rPr>
        <w:t>Hartkamp</w:t>
      </w:r>
      <w:proofErr w:type="spellEnd"/>
      <w:r w:rsidRPr="00C25D52">
        <w:rPr>
          <w:rFonts w:asciiTheme="minorHAnsi" w:hAnsiTheme="minorHAnsi" w:cstheme="minorHAnsi"/>
          <w:b w:val="0"/>
          <w:sz w:val="22"/>
          <w:szCs w:val="22"/>
        </w:rPr>
        <w:t xml:space="preserve"> zegt dat de stil pandhouder pas na openbaarmaking van zijn pandrecht zijn rechten als separatist kan uitoefenen.</w:t>
      </w:r>
      <w:r w:rsidRPr="00C25D52">
        <w:rPr>
          <w:rStyle w:val="Voetnootmarkering"/>
          <w:rFonts w:asciiTheme="minorHAnsi" w:hAnsiTheme="minorHAnsi" w:cstheme="minorHAnsi"/>
          <w:b w:val="0"/>
          <w:sz w:val="22"/>
          <w:szCs w:val="22"/>
        </w:rPr>
        <w:footnoteReference w:id="31"/>
      </w:r>
      <w:r w:rsidRPr="00C25D52">
        <w:rPr>
          <w:rFonts w:asciiTheme="minorHAnsi" w:hAnsiTheme="minorHAnsi" w:cstheme="minorHAnsi"/>
          <w:b w:val="0"/>
          <w:sz w:val="22"/>
          <w:szCs w:val="22"/>
        </w:rPr>
        <w:t xml:space="preserve"> Dit staat echter niet in de weg aan de mogelijkheid tot verrekenen van de vordering die d</w:t>
      </w:r>
      <w:r w:rsidR="00C94DE4" w:rsidRPr="00C25D52">
        <w:rPr>
          <w:rFonts w:asciiTheme="minorHAnsi" w:hAnsiTheme="minorHAnsi" w:cstheme="minorHAnsi"/>
          <w:b w:val="0"/>
          <w:sz w:val="22"/>
          <w:szCs w:val="22"/>
        </w:rPr>
        <w:t>e bank heeft op de winkel, zie hoofdstuk 5</w:t>
      </w:r>
      <w:r w:rsidRPr="00C25D52">
        <w:rPr>
          <w:rFonts w:asciiTheme="minorHAnsi" w:hAnsiTheme="minorHAnsi" w:cstheme="minorHAnsi"/>
          <w:b w:val="0"/>
          <w:sz w:val="22"/>
          <w:szCs w:val="22"/>
        </w:rPr>
        <w:t>, aangezien het stil pandrecht het verrekenen mogelijk maakt.</w:t>
      </w:r>
    </w:p>
    <w:p w:rsidR="00562C6F" w:rsidRPr="00C25D52" w:rsidRDefault="00562C6F" w:rsidP="00DD731F">
      <w:pPr>
        <w:jc w:val="left"/>
        <w:rPr>
          <w:rFonts w:asciiTheme="minorHAnsi" w:hAnsiTheme="minorHAnsi" w:cstheme="minorHAnsi"/>
          <w:b w:val="0"/>
          <w:sz w:val="22"/>
          <w:szCs w:val="22"/>
        </w:rPr>
      </w:pPr>
    </w:p>
    <w:p w:rsidR="00562C6F" w:rsidRPr="00C25D52" w:rsidRDefault="00562C6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De curator is verplicht de stil pandhouder een</w:t>
      </w:r>
      <w:r w:rsidR="00F95FEF" w:rsidRPr="00C25D52">
        <w:rPr>
          <w:rFonts w:asciiTheme="minorHAnsi" w:hAnsiTheme="minorHAnsi" w:cstheme="minorHAnsi"/>
          <w:b w:val="0"/>
          <w:sz w:val="22"/>
          <w:szCs w:val="22"/>
        </w:rPr>
        <w:t xml:space="preserve"> redelijke</w:t>
      </w:r>
      <w:r w:rsidRPr="00C25D52">
        <w:rPr>
          <w:rFonts w:asciiTheme="minorHAnsi" w:hAnsiTheme="minorHAnsi" w:cstheme="minorHAnsi"/>
          <w:b w:val="0"/>
          <w:sz w:val="22"/>
          <w:szCs w:val="22"/>
        </w:rPr>
        <w:t xml:space="preserve"> termijn te stellen tot </w:t>
      </w:r>
      <w:r w:rsidR="007B7815" w:rsidRPr="00C25D52">
        <w:rPr>
          <w:rFonts w:asciiTheme="minorHAnsi" w:hAnsiTheme="minorHAnsi" w:cstheme="minorHAnsi"/>
          <w:b w:val="0"/>
          <w:sz w:val="22"/>
          <w:szCs w:val="22"/>
        </w:rPr>
        <w:t xml:space="preserve">het mededelen en </w:t>
      </w:r>
      <w:r w:rsidRPr="00C25D52">
        <w:rPr>
          <w:rFonts w:asciiTheme="minorHAnsi" w:hAnsiTheme="minorHAnsi" w:cstheme="minorHAnsi"/>
          <w:b w:val="0"/>
          <w:sz w:val="22"/>
          <w:szCs w:val="22"/>
        </w:rPr>
        <w:t xml:space="preserve">het </w:t>
      </w:r>
      <w:r w:rsidR="007B7815" w:rsidRPr="00C25D52">
        <w:rPr>
          <w:rFonts w:asciiTheme="minorHAnsi" w:hAnsiTheme="minorHAnsi" w:cstheme="minorHAnsi"/>
          <w:b w:val="0"/>
          <w:sz w:val="22"/>
          <w:szCs w:val="22"/>
        </w:rPr>
        <w:t xml:space="preserve">daarmee </w:t>
      </w:r>
      <w:r w:rsidRPr="00C25D52">
        <w:rPr>
          <w:rFonts w:asciiTheme="minorHAnsi" w:hAnsiTheme="minorHAnsi" w:cstheme="minorHAnsi"/>
          <w:b w:val="0"/>
          <w:sz w:val="22"/>
          <w:szCs w:val="22"/>
        </w:rPr>
        <w:t xml:space="preserve">uitoefenen van zijn </w:t>
      </w:r>
      <w:r w:rsidR="00F95FEF" w:rsidRPr="00C25D52">
        <w:rPr>
          <w:rFonts w:asciiTheme="minorHAnsi" w:hAnsiTheme="minorHAnsi" w:cstheme="minorHAnsi"/>
          <w:b w:val="0"/>
          <w:sz w:val="22"/>
          <w:szCs w:val="22"/>
        </w:rPr>
        <w:t>pand</w:t>
      </w:r>
      <w:r w:rsidRPr="00C25D52">
        <w:rPr>
          <w:rFonts w:asciiTheme="minorHAnsi" w:hAnsiTheme="minorHAnsi" w:cstheme="minorHAnsi"/>
          <w:b w:val="0"/>
          <w:sz w:val="22"/>
          <w:szCs w:val="22"/>
        </w:rPr>
        <w:t xml:space="preserve">rechten, zo is te lezen in artikel 58 </w:t>
      </w:r>
      <w:proofErr w:type="spellStart"/>
      <w:r w:rsidRPr="00C25D52">
        <w:rPr>
          <w:rFonts w:asciiTheme="minorHAnsi" w:hAnsiTheme="minorHAnsi" w:cstheme="minorHAnsi"/>
          <w:b w:val="0"/>
          <w:sz w:val="22"/>
          <w:szCs w:val="22"/>
        </w:rPr>
        <w:t>Fw</w:t>
      </w:r>
      <w:proofErr w:type="spellEnd"/>
      <w:r w:rsidRPr="00C25D52">
        <w:rPr>
          <w:rFonts w:asciiTheme="minorHAnsi" w:hAnsiTheme="minorHAnsi" w:cstheme="minorHAnsi"/>
          <w:b w:val="0"/>
          <w:sz w:val="22"/>
          <w:szCs w:val="22"/>
        </w:rPr>
        <w:t xml:space="preserve">. </w:t>
      </w:r>
      <w:r w:rsidR="00F95FEF" w:rsidRPr="00C25D52">
        <w:rPr>
          <w:rFonts w:asciiTheme="minorHAnsi" w:hAnsiTheme="minorHAnsi" w:cstheme="minorHAnsi"/>
          <w:b w:val="0"/>
          <w:sz w:val="22"/>
          <w:szCs w:val="22"/>
        </w:rPr>
        <w:t>De curator mag in deze periode niet actief innen van de debiteuren van de failliet. Als de termijn verlopen is en de pandhouder heeft geen mededeling van zijn pandrechten gedaan aan de debiteuren van de failliet, dan kan de curator de vorderingen innen. De pandhouder blijft echter wel zijn voorrang op de geïnde boedel behouden overeenkomend met zijn pandrechten. De pandhouder dient echter wel bij te dragen in de faillissementskosten.</w:t>
      </w:r>
      <w:r w:rsidR="004A7222" w:rsidRPr="00C25D52">
        <w:rPr>
          <w:rStyle w:val="Voetnootmarkering"/>
          <w:rFonts w:asciiTheme="minorHAnsi" w:hAnsiTheme="minorHAnsi" w:cstheme="minorHAnsi"/>
          <w:b w:val="0"/>
          <w:sz w:val="22"/>
          <w:szCs w:val="22"/>
        </w:rPr>
        <w:footnoteReference w:id="32"/>
      </w:r>
    </w:p>
    <w:p w:rsidR="00DD731F" w:rsidRPr="00C25D52" w:rsidRDefault="00DD731F"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u w:val="single"/>
        </w:rPr>
      </w:pPr>
      <w:r w:rsidRPr="00C25D52">
        <w:rPr>
          <w:rFonts w:asciiTheme="minorHAnsi" w:hAnsiTheme="minorHAnsi" w:cstheme="minorHAnsi"/>
          <w:b w:val="0"/>
          <w:sz w:val="22"/>
          <w:szCs w:val="22"/>
          <w:u w:val="single"/>
        </w:rPr>
        <w:t>§2.3 Kortom</w:t>
      </w: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Een stil pandrecht is kort gezegd een pandrecht waarbij het goed of de vordering niet in het bezit van de pandhouder komt. Het voordeel hiervan voor de Rabobank </w:t>
      </w:r>
      <w:r w:rsidR="0007004D">
        <w:rPr>
          <w:rFonts w:asciiTheme="minorHAnsi" w:hAnsiTheme="minorHAnsi" w:cstheme="minorHAnsi"/>
          <w:b w:val="0"/>
          <w:sz w:val="22"/>
          <w:szCs w:val="22"/>
        </w:rPr>
        <w:t xml:space="preserve">in de casus </w:t>
      </w:r>
      <w:r w:rsidRPr="00C25D52">
        <w:rPr>
          <w:rFonts w:asciiTheme="minorHAnsi" w:hAnsiTheme="minorHAnsi" w:cstheme="minorHAnsi"/>
          <w:b w:val="0"/>
          <w:sz w:val="22"/>
          <w:szCs w:val="22"/>
        </w:rPr>
        <w:t xml:space="preserve">is dat de transacties van de </w:t>
      </w:r>
      <w:r w:rsidR="00946DF5">
        <w:rPr>
          <w:rFonts w:asciiTheme="minorHAnsi" w:hAnsiTheme="minorHAnsi" w:cstheme="minorHAnsi"/>
          <w:b w:val="0"/>
          <w:sz w:val="22"/>
          <w:szCs w:val="22"/>
        </w:rPr>
        <w:t>debiteur van</w:t>
      </w:r>
      <w:r w:rsidRPr="00C25D52">
        <w:rPr>
          <w:rFonts w:asciiTheme="minorHAnsi" w:hAnsiTheme="minorHAnsi" w:cstheme="minorHAnsi"/>
          <w:b w:val="0"/>
          <w:sz w:val="22"/>
          <w:szCs w:val="22"/>
        </w:rPr>
        <w:t xml:space="preserve"> de winkel ongewijzigd door kunnen gaan als ware er geen pandrecht is. Het nadeel is dat de bank met stil pandrecht geen inningsbevoegdheid heeft.</w:t>
      </w:r>
      <w:r w:rsidRPr="00C25D52">
        <w:rPr>
          <w:rStyle w:val="Voetnootmarkering"/>
          <w:rFonts w:asciiTheme="minorHAnsi" w:hAnsiTheme="minorHAnsi" w:cstheme="minorHAnsi"/>
          <w:b w:val="0"/>
          <w:sz w:val="22"/>
          <w:szCs w:val="22"/>
        </w:rPr>
        <w:footnoteReference w:id="33"/>
      </w:r>
      <w:r w:rsidRPr="00C25D52">
        <w:rPr>
          <w:rFonts w:asciiTheme="minorHAnsi" w:hAnsiTheme="minorHAnsi" w:cstheme="minorHAnsi"/>
          <w:b w:val="0"/>
          <w:sz w:val="22"/>
          <w:szCs w:val="22"/>
        </w:rPr>
        <w:t xml:space="preserve"> Het stil pandrecht kan openbaar gemaakt worden door mededeling aan de </w:t>
      </w:r>
      <w:r w:rsidR="00DE0E8F" w:rsidRPr="00C25D52">
        <w:rPr>
          <w:rFonts w:asciiTheme="minorHAnsi" w:hAnsiTheme="minorHAnsi" w:cstheme="minorHAnsi"/>
          <w:b w:val="0"/>
          <w:sz w:val="22"/>
          <w:szCs w:val="22"/>
        </w:rPr>
        <w:t>debiteuren van de failliet</w:t>
      </w:r>
      <w:r w:rsidRPr="00C25D52">
        <w:rPr>
          <w:rFonts w:asciiTheme="minorHAnsi" w:hAnsiTheme="minorHAnsi" w:cstheme="minorHAnsi"/>
          <w:b w:val="0"/>
          <w:sz w:val="22"/>
          <w:szCs w:val="22"/>
        </w:rPr>
        <w:t xml:space="preserve">. </w:t>
      </w:r>
      <w:r w:rsidR="00D879B7" w:rsidRPr="00C25D52">
        <w:rPr>
          <w:rFonts w:asciiTheme="minorHAnsi" w:hAnsiTheme="minorHAnsi" w:cstheme="minorHAnsi"/>
          <w:b w:val="0"/>
          <w:sz w:val="22"/>
          <w:szCs w:val="22"/>
        </w:rPr>
        <w:t xml:space="preserve">De curator dient de pandhouder, in dit geval de Rabobank, na het faillissement een redelijke termijn te geven om tot mededeling over te gaan. </w:t>
      </w:r>
      <w:r w:rsidRPr="00C25D52">
        <w:rPr>
          <w:rFonts w:asciiTheme="minorHAnsi" w:hAnsiTheme="minorHAnsi" w:cstheme="minorHAnsi"/>
          <w:b w:val="0"/>
          <w:sz w:val="22"/>
          <w:szCs w:val="22"/>
        </w:rPr>
        <w:t xml:space="preserve">Indien </w:t>
      </w:r>
      <w:r w:rsidR="00DE0E8F" w:rsidRPr="00C25D52">
        <w:rPr>
          <w:rFonts w:asciiTheme="minorHAnsi" w:hAnsiTheme="minorHAnsi" w:cstheme="minorHAnsi"/>
          <w:b w:val="0"/>
          <w:sz w:val="22"/>
          <w:szCs w:val="22"/>
        </w:rPr>
        <w:t xml:space="preserve">een bank haar stil pandrecht openbaar maakt aan de debiteuren kan zij de gelden direct van de debiteuren ontvangen. </w:t>
      </w:r>
    </w:p>
    <w:p w:rsidR="005F14DE" w:rsidRPr="00C25D52" w:rsidRDefault="005F14DE" w:rsidP="00DD731F">
      <w:pPr>
        <w:jc w:val="left"/>
        <w:rPr>
          <w:rFonts w:asciiTheme="minorHAnsi" w:hAnsiTheme="minorHAnsi" w:cstheme="minorHAnsi"/>
          <w:sz w:val="22"/>
          <w:szCs w:val="22"/>
        </w:rPr>
      </w:pPr>
    </w:p>
    <w:p w:rsidR="00DD731F" w:rsidRPr="00570D50" w:rsidRDefault="00391927" w:rsidP="00570D50">
      <w:pPr>
        <w:pStyle w:val="Kop2"/>
        <w:spacing w:before="0" w:beforeAutospacing="0" w:after="0" w:afterAutospacing="0"/>
        <w:rPr>
          <w:rFonts w:asciiTheme="minorHAnsi" w:hAnsiTheme="minorHAnsi" w:cstheme="minorHAnsi"/>
          <w:sz w:val="24"/>
          <w:szCs w:val="24"/>
        </w:rPr>
      </w:pPr>
      <w:bookmarkStart w:id="18" w:name="_Toc486246613"/>
      <w:r w:rsidRPr="00570D50">
        <w:rPr>
          <w:rFonts w:asciiTheme="minorHAnsi" w:hAnsiTheme="minorHAnsi" w:cstheme="minorHAnsi"/>
          <w:sz w:val="24"/>
          <w:szCs w:val="24"/>
        </w:rPr>
        <w:t>§3</w:t>
      </w:r>
      <w:r w:rsidR="00DD731F" w:rsidRPr="00570D50">
        <w:rPr>
          <w:rFonts w:asciiTheme="minorHAnsi" w:hAnsiTheme="minorHAnsi" w:cstheme="minorHAnsi"/>
          <w:sz w:val="24"/>
          <w:szCs w:val="24"/>
        </w:rPr>
        <w:t xml:space="preserve"> Pandrecht op toekomstige vorderingen</w:t>
      </w:r>
      <w:bookmarkEnd w:id="18"/>
      <w:r w:rsidR="00DD731F" w:rsidRPr="00570D50">
        <w:rPr>
          <w:rFonts w:asciiTheme="minorHAnsi" w:hAnsiTheme="minorHAnsi" w:cstheme="minorHAnsi"/>
          <w:sz w:val="24"/>
          <w:szCs w:val="24"/>
        </w:rPr>
        <w:t xml:space="preserve"> </w:t>
      </w: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In de casus is sprake van een stil pandrecht op vorderingen. De bank wil immers de vordering, die de winkel op een consument heeft, verpanden. Echter, het kan voorkomen dat de bank ook toekomstige vorderingen wil verpanden.  Wat een pandrecht is en wat specifiek een stil pandrecht is, is behandeld in paragraaf 1 en 2. In deze paragraaf zal dieper worden ingegaan op wat precies toekomstige vorderingen zijn en of hier een pandrecht op kan worden gevestigd.</w:t>
      </w:r>
    </w:p>
    <w:p w:rsidR="00DD731F" w:rsidRPr="00C25D52" w:rsidRDefault="00DD731F"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De toekomstige vordering, door de Romeinen de  </w:t>
      </w:r>
      <w:proofErr w:type="spellStart"/>
      <w:r w:rsidRPr="00C25D52">
        <w:rPr>
          <w:rFonts w:asciiTheme="minorHAnsi" w:hAnsiTheme="minorHAnsi" w:cstheme="minorHAnsi"/>
          <w:b w:val="0"/>
          <w:i/>
          <w:sz w:val="22"/>
          <w:szCs w:val="22"/>
        </w:rPr>
        <w:t>futura</w:t>
      </w:r>
      <w:proofErr w:type="spellEnd"/>
      <w:r w:rsidRPr="00C25D52">
        <w:rPr>
          <w:rFonts w:asciiTheme="minorHAnsi" w:hAnsiTheme="minorHAnsi" w:cstheme="minorHAnsi"/>
          <w:b w:val="0"/>
          <w:i/>
          <w:sz w:val="22"/>
          <w:szCs w:val="22"/>
        </w:rPr>
        <w:t xml:space="preserve"> </w:t>
      </w:r>
      <w:proofErr w:type="spellStart"/>
      <w:r w:rsidRPr="00C25D52">
        <w:rPr>
          <w:rFonts w:asciiTheme="minorHAnsi" w:hAnsiTheme="minorHAnsi" w:cstheme="minorHAnsi"/>
          <w:b w:val="0"/>
          <w:i/>
          <w:sz w:val="22"/>
          <w:szCs w:val="22"/>
        </w:rPr>
        <w:t>obligatio</w:t>
      </w:r>
      <w:proofErr w:type="spellEnd"/>
      <w:r w:rsidRPr="00C25D52">
        <w:rPr>
          <w:rFonts w:asciiTheme="minorHAnsi" w:hAnsiTheme="minorHAnsi" w:cstheme="minorHAnsi"/>
          <w:b w:val="0"/>
          <w:sz w:val="22"/>
          <w:szCs w:val="22"/>
        </w:rPr>
        <w:t xml:space="preserve"> genoemd, heeft een ruime betekenis. Het bevat zowel vorderingen die voortvloeien uit een bestaande rechtsverhouding, </w:t>
      </w:r>
      <w:r w:rsidR="00CB40EA" w:rsidRPr="00C25D52">
        <w:rPr>
          <w:rFonts w:asciiTheme="minorHAnsi" w:hAnsiTheme="minorHAnsi" w:cstheme="minorHAnsi"/>
          <w:b w:val="0"/>
          <w:sz w:val="22"/>
          <w:szCs w:val="22"/>
        </w:rPr>
        <w:t xml:space="preserve">de </w:t>
      </w:r>
      <w:r w:rsidRPr="00C25D52">
        <w:rPr>
          <w:rFonts w:asciiTheme="minorHAnsi" w:hAnsiTheme="minorHAnsi" w:cstheme="minorHAnsi"/>
          <w:b w:val="0"/>
          <w:sz w:val="22"/>
          <w:szCs w:val="22"/>
        </w:rPr>
        <w:t xml:space="preserve">relatief toekomstige vorderingen, als vorderingen uit een nog niet bestaande rechtsverhouding, </w:t>
      </w:r>
      <w:r w:rsidR="00CB40EA" w:rsidRPr="00C25D52">
        <w:rPr>
          <w:rFonts w:asciiTheme="minorHAnsi" w:hAnsiTheme="minorHAnsi" w:cstheme="minorHAnsi"/>
          <w:b w:val="0"/>
          <w:sz w:val="22"/>
          <w:szCs w:val="22"/>
        </w:rPr>
        <w:t xml:space="preserve">de </w:t>
      </w:r>
      <w:r w:rsidRPr="00C25D52">
        <w:rPr>
          <w:rFonts w:asciiTheme="minorHAnsi" w:hAnsiTheme="minorHAnsi" w:cstheme="minorHAnsi"/>
          <w:b w:val="0"/>
          <w:sz w:val="22"/>
          <w:szCs w:val="22"/>
        </w:rPr>
        <w:t>absoluut toekomstige vorderingen. Het zijn dus vorderingen die nog niet bestaan op het moment dat er een verpanding wordt overeengekomen.</w:t>
      </w:r>
      <w:r w:rsidRPr="00C25D52">
        <w:rPr>
          <w:rStyle w:val="Voetnootmarkering"/>
          <w:rFonts w:asciiTheme="minorHAnsi" w:hAnsiTheme="minorHAnsi" w:cstheme="minorHAnsi"/>
          <w:b w:val="0"/>
          <w:sz w:val="22"/>
          <w:szCs w:val="22"/>
        </w:rPr>
        <w:footnoteReference w:id="34"/>
      </w:r>
    </w:p>
    <w:p w:rsidR="00DD731F" w:rsidRPr="00C25D52" w:rsidRDefault="00DD731F"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lastRenderedPageBreak/>
        <w:t xml:space="preserve">Om het </w:t>
      </w:r>
      <w:r w:rsidR="00CB40EA" w:rsidRPr="00C25D52">
        <w:rPr>
          <w:rFonts w:asciiTheme="minorHAnsi" w:hAnsiTheme="minorHAnsi" w:cstheme="minorHAnsi"/>
          <w:b w:val="0"/>
          <w:sz w:val="22"/>
          <w:szCs w:val="22"/>
        </w:rPr>
        <w:t>vestigen van pandrechten voor banken</w:t>
      </w:r>
      <w:r w:rsidRPr="00C25D52">
        <w:rPr>
          <w:rFonts w:asciiTheme="minorHAnsi" w:hAnsiTheme="minorHAnsi" w:cstheme="minorHAnsi"/>
          <w:b w:val="0"/>
          <w:sz w:val="22"/>
          <w:szCs w:val="22"/>
        </w:rPr>
        <w:t xml:space="preserve"> hanteerbaarder te maken, is de mogelijkheid er om een verzamelpandakte overeen te komen met de winkel. Zoals al in paragraaf 1 benoemd, wordt er door middel van een verzamelpandakte een pandrecht gevestigd op niet gespecificeerde vorderingen van de winkel op derden. Zodoende hoeft de bank niet iedere vordering apart te verpanden. In zo een verzamelpandakte is een volmacht voor de bank opgenomen, zodat zij zelfstandig de verpanding kan </w:t>
      </w:r>
      <w:r w:rsidR="00CB40EA" w:rsidRPr="00C25D52">
        <w:rPr>
          <w:rFonts w:asciiTheme="minorHAnsi" w:hAnsiTheme="minorHAnsi" w:cstheme="minorHAnsi"/>
          <w:b w:val="0"/>
          <w:sz w:val="22"/>
          <w:szCs w:val="22"/>
        </w:rPr>
        <w:t>uitoefenen</w:t>
      </w:r>
      <w:r w:rsidRPr="00C25D52">
        <w:rPr>
          <w:rFonts w:asciiTheme="minorHAnsi" w:hAnsiTheme="minorHAnsi" w:cstheme="minorHAnsi"/>
          <w:b w:val="0"/>
          <w:sz w:val="22"/>
          <w:szCs w:val="22"/>
        </w:rPr>
        <w:t>. Vereisten voor de verzamelpandakte zijn dat zowel de titel van verpanding als het volmachtsbeding vaststaan.</w:t>
      </w:r>
      <w:r w:rsidRPr="00C25D52">
        <w:rPr>
          <w:rStyle w:val="Voetnootmarkering"/>
          <w:rFonts w:asciiTheme="minorHAnsi" w:hAnsiTheme="minorHAnsi" w:cstheme="minorHAnsi"/>
          <w:b w:val="0"/>
          <w:sz w:val="22"/>
          <w:szCs w:val="22"/>
        </w:rPr>
        <w:footnoteReference w:id="35"/>
      </w:r>
    </w:p>
    <w:p w:rsidR="00DD731F" w:rsidRPr="00C25D52" w:rsidRDefault="00DD731F"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De verzamelpandakte werkt tevens voor het verpanden van toekomstige vorderingen. Verpanding van toekomstige vordering</w:t>
      </w:r>
      <w:r w:rsidR="005A2CD1" w:rsidRPr="00C25D52">
        <w:rPr>
          <w:rFonts w:asciiTheme="minorHAnsi" w:hAnsiTheme="minorHAnsi" w:cstheme="minorHAnsi"/>
          <w:b w:val="0"/>
          <w:sz w:val="22"/>
          <w:szCs w:val="22"/>
        </w:rPr>
        <w:t>en</w:t>
      </w:r>
      <w:r w:rsidRPr="00C25D52">
        <w:rPr>
          <w:rFonts w:asciiTheme="minorHAnsi" w:hAnsiTheme="minorHAnsi" w:cstheme="minorHAnsi"/>
          <w:b w:val="0"/>
          <w:sz w:val="22"/>
          <w:szCs w:val="22"/>
        </w:rPr>
        <w:t xml:space="preserve"> gold in eerste instantie alleen voor vorderingen die het gevolg waren van een bestaande rechtsverhouding tussen de winkel en de consument, ofwel het diende een relatief toekomstige vordering te zijn. Sinds het arrest </w:t>
      </w:r>
      <w:proofErr w:type="spellStart"/>
      <w:r w:rsidRPr="00C25D52">
        <w:rPr>
          <w:rFonts w:asciiTheme="minorHAnsi" w:hAnsiTheme="minorHAnsi" w:cstheme="minorHAnsi"/>
          <w:b w:val="0"/>
          <w:sz w:val="22"/>
          <w:szCs w:val="22"/>
        </w:rPr>
        <w:t>arrest</w:t>
      </w:r>
      <w:proofErr w:type="spellEnd"/>
      <w:r w:rsidRPr="00C25D52">
        <w:rPr>
          <w:rFonts w:asciiTheme="minorHAnsi" w:hAnsiTheme="minorHAnsi" w:cstheme="minorHAnsi"/>
          <w:b w:val="0"/>
          <w:sz w:val="22"/>
          <w:szCs w:val="22"/>
        </w:rPr>
        <w:t xml:space="preserve"> </w:t>
      </w:r>
      <w:proofErr w:type="spellStart"/>
      <w:r w:rsidRPr="00C25D52">
        <w:rPr>
          <w:rFonts w:asciiTheme="minorHAnsi" w:hAnsiTheme="minorHAnsi" w:cstheme="minorHAnsi"/>
          <w:b w:val="0"/>
          <w:sz w:val="22"/>
          <w:szCs w:val="22"/>
        </w:rPr>
        <w:t>Dix</w:t>
      </w:r>
      <w:proofErr w:type="spellEnd"/>
      <w:r w:rsidRPr="00C25D52">
        <w:rPr>
          <w:rFonts w:asciiTheme="minorHAnsi" w:hAnsiTheme="minorHAnsi" w:cstheme="minorHAnsi"/>
          <w:b w:val="0"/>
          <w:sz w:val="22"/>
          <w:szCs w:val="22"/>
        </w:rPr>
        <w:t xml:space="preserve"> q.q./ING is door de Hoge Raad bevestigd dat ook absoluut toekomstige vorderingen via een verzamelpandakte verpand kunnen worden. De vorderingen worden zodoende van te voren verpand en worden bezwaard met het pandrecht op het moment dat ze ontstaan. </w:t>
      </w:r>
    </w:p>
    <w:p w:rsidR="00DD731F" w:rsidRPr="00C25D52" w:rsidRDefault="00DD731F" w:rsidP="00DD731F">
      <w:pPr>
        <w:jc w:val="left"/>
        <w:rPr>
          <w:rFonts w:asciiTheme="minorHAnsi" w:hAnsiTheme="minorHAnsi" w:cstheme="minorHAnsi"/>
          <w:b w:val="0"/>
          <w:sz w:val="22"/>
          <w:szCs w:val="22"/>
        </w:rPr>
      </w:pPr>
    </w:p>
    <w:p w:rsidR="005A2CD1"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Het van te voren verpanden van toekomstige vorderingen wordt verpanding bij voorbaat genoemd. De verpanding bij voorbaat wil zeggen dat de vordering direct met het pandrecht bezwaard kan worden op moment dat hij ontstaat. Een vereiste voor verpanding van toekomstige vorderingen is dat ze in de akte identificeerbaar zijn en met voldoende bepaaldheid zijn omschreven, artikel 3:98 jo. 84 lid 2 BW.</w:t>
      </w:r>
      <w:r w:rsidRPr="00C25D52">
        <w:rPr>
          <w:rStyle w:val="Voetnootmarkering"/>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36"/>
      </w:r>
      <w:r w:rsidRPr="00C25D52">
        <w:rPr>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37"/>
      </w:r>
      <w:r w:rsidRPr="00C25D52">
        <w:rPr>
          <w:rFonts w:asciiTheme="minorHAnsi" w:hAnsiTheme="minorHAnsi" w:cstheme="minorHAnsi"/>
          <w:b w:val="0"/>
          <w:sz w:val="22"/>
          <w:szCs w:val="22"/>
        </w:rPr>
        <w:t xml:space="preserve"> </w:t>
      </w:r>
      <w:r w:rsidRPr="00C25D52">
        <w:rPr>
          <w:rStyle w:val="Voetnootmarkering"/>
          <w:rFonts w:asciiTheme="minorHAnsi" w:hAnsiTheme="minorHAnsi" w:cstheme="minorHAnsi"/>
          <w:b w:val="0"/>
          <w:sz w:val="22"/>
          <w:szCs w:val="22"/>
        </w:rPr>
        <w:footnoteReference w:id="38"/>
      </w:r>
      <w:r w:rsidRPr="00C25D52">
        <w:rPr>
          <w:rFonts w:asciiTheme="minorHAnsi" w:hAnsiTheme="minorHAnsi" w:cstheme="minorHAnsi"/>
          <w:b w:val="0"/>
          <w:sz w:val="22"/>
          <w:szCs w:val="22"/>
        </w:rPr>
        <w:t xml:space="preserve"> </w:t>
      </w:r>
    </w:p>
    <w:p w:rsidR="005A2CD1" w:rsidRPr="00C25D52" w:rsidRDefault="005A2CD1"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De mogelijkheid voor het verpanden van toekomstige vorderingen ligt in de volmachtsconstructie tussen de winkel en de bank. De bank kan met de volmacht die zij van de winkel heeft gekregen, alle vorderingen die de pandgever op derden heeft aan zichzelf verpanden om zekerheid te creëren dat haar rekening courant wordt voldaan.</w:t>
      </w:r>
      <w:r w:rsidRPr="00C25D52">
        <w:rPr>
          <w:rStyle w:val="Voetnootmarkering"/>
          <w:rFonts w:asciiTheme="minorHAnsi" w:hAnsiTheme="minorHAnsi" w:cstheme="minorHAnsi"/>
          <w:b w:val="0"/>
          <w:sz w:val="22"/>
          <w:szCs w:val="22"/>
        </w:rPr>
        <w:footnoteReference w:id="39"/>
      </w:r>
    </w:p>
    <w:p w:rsidR="00DD731F" w:rsidRPr="00C25D52" w:rsidRDefault="00DD731F"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De curator in het arrest </w:t>
      </w:r>
      <w:proofErr w:type="spellStart"/>
      <w:r w:rsidRPr="00C25D52">
        <w:rPr>
          <w:rFonts w:asciiTheme="minorHAnsi" w:hAnsiTheme="minorHAnsi" w:cstheme="minorHAnsi"/>
          <w:b w:val="0"/>
          <w:sz w:val="22"/>
          <w:szCs w:val="22"/>
        </w:rPr>
        <w:t>Dix</w:t>
      </w:r>
      <w:proofErr w:type="spellEnd"/>
      <w:r w:rsidRPr="00C25D52">
        <w:rPr>
          <w:rFonts w:asciiTheme="minorHAnsi" w:hAnsiTheme="minorHAnsi" w:cstheme="minorHAnsi"/>
          <w:b w:val="0"/>
          <w:sz w:val="22"/>
          <w:szCs w:val="22"/>
        </w:rPr>
        <w:t xml:space="preserve"> q.q./ING klaagt dat het arrest ervoor heeft gezorgd dat concurrente schuldeisers worden benadeeld door de verzamelpandakten die banken toepassen. De curator geeft aan dat het verpanden enorm vereenvoudigd wordt, helemaal nu ook absoluut toekomstige vorderingen verpand kunnen worden via verzamelpandakten. De curator heeft hierin gelijk, maar de Hoge Raad ziet het vestigen van stille pandrechten op vorderingen als een bevorderlijk en essentieel medium met het oog op kredietverlening. De uitspraak van de Hoge Raad in het arrest </w:t>
      </w:r>
      <w:proofErr w:type="spellStart"/>
      <w:r w:rsidRPr="00C25D52">
        <w:rPr>
          <w:rFonts w:asciiTheme="minorHAnsi" w:hAnsiTheme="minorHAnsi" w:cstheme="minorHAnsi"/>
          <w:b w:val="0"/>
          <w:sz w:val="22"/>
          <w:szCs w:val="22"/>
        </w:rPr>
        <w:t>Dix</w:t>
      </w:r>
      <w:proofErr w:type="spellEnd"/>
      <w:r w:rsidRPr="00C25D52">
        <w:rPr>
          <w:rFonts w:asciiTheme="minorHAnsi" w:hAnsiTheme="minorHAnsi" w:cstheme="minorHAnsi"/>
          <w:b w:val="0"/>
          <w:sz w:val="22"/>
          <w:szCs w:val="22"/>
        </w:rPr>
        <w:t xml:space="preserve"> q.q./ING lijkt in strijd met artikel 3:239 lid 1 BW. Dit artikel zegt namelijk dat een pandrecht alleen kan worden gevestigd op een vordering die ‘op het tijdstip van de vestiging van het pandrecht reeds bestaat of rechtstreeks zal worden verkregen uit een dan reeds bestaande rechtsverhouding.’. Door het arrest kunnen pandrechten tevens op nog niet bestaande vorderingen, absoluut toekomstige vorderingen, worden gevestigd vrijwel direct nadat ze zijn ontstaan.</w:t>
      </w:r>
      <w:r w:rsidRPr="00C25D52">
        <w:rPr>
          <w:rStyle w:val="Voetnootmarkering"/>
          <w:rFonts w:asciiTheme="minorHAnsi" w:hAnsiTheme="minorHAnsi" w:cstheme="minorHAnsi"/>
          <w:b w:val="0"/>
          <w:sz w:val="22"/>
          <w:szCs w:val="22"/>
        </w:rPr>
        <w:footnoteReference w:id="40"/>
      </w:r>
    </w:p>
    <w:p w:rsidR="00DD731F" w:rsidRPr="00C25D52" w:rsidRDefault="00DD731F" w:rsidP="00DD731F">
      <w:pPr>
        <w:jc w:val="left"/>
        <w:rPr>
          <w:rFonts w:asciiTheme="minorHAnsi" w:hAnsiTheme="minorHAnsi" w:cstheme="minorHAnsi"/>
          <w:b w:val="0"/>
          <w:sz w:val="22"/>
          <w:szCs w:val="22"/>
        </w:rPr>
      </w:pPr>
    </w:p>
    <w:p w:rsidR="00DD731F" w:rsidRPr="00C25D52" w:rsidRDefault="00DD731F" w:rsidP="00DD731F">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Kortom, met komst van het arrest </w:t>
      </w:r>
      <w:proofErr w:type="spellStart"/>
      <w:r w:rsidRPr="00C25D52">
        <w:rPr>
          <w:rFonts w:asciiTheme="minorHAnsi" w:hAnsiTheme="minorHAnsi" w:cstheme="minorHAnsi"/>
          <w:b w:val="0"/>
          <w:sz w:val="22"/>
          <w:szCs w:val="22"/>
        </w:rPr>
        <w:t>Dix</w:t>
      </w:r>
      <w:proofErr w:type="spellEnd"/>
      <w:r w:rsidRPr="00C25D52">
        <w:rPr>
          <w:rFonts w:asciiTheme="minorHAnsi" w:hAnsiTheme="minorHAnsi" w:cstheme="minorHAnsi"/>
          <w:b w:val="0"/>
          <w:sz w:val="22"/>
          <w:szCs w:val="22"/>
        </w:rPr>
        <w:t xml:space="preserve"> q.q./ING is het verpanden van toekomstige vorderingen enorm vergemakkelijkt. Een bank kan nu met een verzamelpandakte bestaande vorderingen stil verpanden en kan tevens op die manier toekomstige vorderingen verpanden.</w:t>
      </w:r>
      <w:r w:rsidRPr="00C25D52">
        <w:rPr>
          <w:rStyle w:val="Voetnootmarkering"/>
          <w:rFonts w:asciiTheme="minorHAnsi" w:hAnsiTheme="minorHAnsi" w:cstheme="minorHAnsi"/>
          <w:b w:val="0"/>
          <w:sz w:val="22"/>
          <w:szCs w:val="22"/>
        </w:rPr>
        <w:footnoteReference w:id="41"/>
      </w:r>
      <w:r w:rsidRPr="00C25D52">
        <w:rPr>
          <w:rFonts w:asciiTheme="minorHAnsi" w:hAnsiTheme="minorHAnsi" w:cstheme="minorHAnsi"/>
          <w:b w:val="0"/>
          <w:sz w:val="22"/>
          <w:szCs w:val="22"/>
        </w:rPr>
        <w:t xml:space="preserve"> Er hoeft zodoende niet </w:t>
      </w:r>
      <w:r w:rsidR="005A2CD1" w:rsidRPr="00C25D52">
        <w:rPr>
          <w:rFonts w:asciiTheme="minorHAnsi" w:hAnsiTheme="minorHAnsi" w:cstheme="minorHAnsi"/>
          <w:b w:val="0"/>
          <w:sz w:val="22"/>
          <w:szCs w:val="22"/>
        </w:rPr>
        <w:t>voor</w:t>
      </w:r>
      <w:r w:rsidRPr="00C25D52">
        <w:rPr>
          <w:rFonts w:asciiTheme="minorHAnsi" w:hAnsiTheme="minorHAnsi" w:cstheme="minorHAnsi"/>
          <w:b w:val="0"/>
          <w:sz w:val="22"/>
          <w:szCs w:val="22"/>
        </w:rPr>
        <w:t xml:space="preserve"> iedere vordering een los pandrecht te worden gevestigd. Welke vorderingen via een verzamelpandakte worden verpand is afhankelijk van het tijdstip van registratie van de akte bij de </w:t>
      </w:r>
      <w:r w:rsidRPr="00C25D52">
        <w:rPr>
          <w:rFonts w:asciiTheme="minorHAnsi" w:hAnsiTheme="minorHAnsi" w:cstheme="minorHAnsi"/>
          <w:b w:val="0"/>
          <w:sz w:val="22"/>
          <w:szCs w:val="22"/>
        </w:rPr>
        <w:lastRenderedPageBreak/>
        <w:t>Belasting</w:t>
      </w:r>
      <w:r w:rsidR="005A2CD1" w:rsidRPr="00C25D52">
        <w:rPr>
          <w:rFonts w:asciiTheme="minorHAnsi" w:hAnsiTheme="minorHAnsi" w:cstheme="minorHAnsi"/>
          <w:b w:val="0"/>
          <w:sz w:val="22"/>
          <w:szCs w:val="22"/>
        </w:rPr>
        <w:t xml:space="preserve">dienst, dit </w:t>
      </w:r>
      <w:r w:rsidR="00B311CC" w:rsidRPr="00C25D52">
        <w:rPr>
          <w:rFonts w:asciiTheme="minorHAnsi" w:hAnsiTheme="minorHAnsi" w:cstheme="minorHAnsi"/>
          <w:b w:val="0"/>
          <w:sz w:val="22"/>
          <w:szCs w:val="22"/>
        </w:rPr>
        <w:t>wordt in h</w:t>
      </w:r>
      <w:r w:rsidR="00202B3C" w:rsidRPr="00C25D52">
        <w:rPr>
          <w:rFonts w:asciiTheme="minorHAnsi" w:hAnsiTheme="minorHAnsi" w:cstheme="minorHAnsi"/>
          <w:b w:val="0"/>
          <w:sz w:val="22"/>
          <w:szCs w:val="22"/>
        </w:rPr>
        <w:t>oofdstuk 3</w:t>
      </w:r>
      <w:r w:rsidRPr="00C25D52">
        <w:rPr>
          <w:rFonts w:asciiTheme="minorHAnsi" w:hAnsiTheme="minorHAnsi" w:cstheme="minorHAnsi"/>
          <w:b w:val="0"/>
          <w:sz w:val="22"/>
          <w:szCs w:val="22"/>
        </w:rPr>
        <w:t xml:space="preserve"> behandeld. Het voordeel van het verpanden van </w:t>
      </w:r>
      <w:r w:rsidR="000D320E" w:rsidRPr="00C25D52">
        <w:rPr>
          <w:rFonts w:asciiTheme="minorHAnsi" w:hAnsiTheme="minorHAnsi" w:cstheme="minorHAnsi"/>
          <w:b w:val="0"/>
          <w:sz w:val="22"/>
          <w:szCs w:val="22"/>
        </w:rPr>
        <w:t xml:space="preserve">toekomstige </w:t>
      </w:r>
      <w:r w:rsidRPr="00C25D52">
        <w:rPr>
          <w:rFonts w:asciiTheme="minorHAnsi" w:hAnsiTheme="minorHAnsi" w:cstheme="minorHAnsi"/>
          <w:b w:val="0"/>
          <w:sz w:val="22"/>
          <w:szCs w:val="22"/>
        </w:rPr>
        <w:t xml:space="preserve">vorderingen is dat </w:t>
      </w:r>
      <w:r w:rsidR="000D320E" w:rsidRPr="00C25D52">
        <w:rPr>
          <w:rFonts w:asciiTheme="minorHAnsi" w:hAnsiTheme="minorHAnsi" w:cstheme="minorHAnsi"/>
          <w:b w:val="0"/>
          <w:sz w:val="22"/>
          <w:szCs w:val="22"/>
        </w:rPr>
        <w:t>een bank</w:t>
      </w:r>
      <w:r w:rsidRPr="00C25D52">
        <w:rPr>
          <w:rFonts w:asciiTheme="minorHAnsi" w:hAnsiTheme="minorHAnsi" w:cstheme="minorHAnsi"/>
          <w:b w:val="0"/>
          <w:sz w:val="22"/>
          <w:szCs w:val="22"/>
        </w:rPr>
        <w:t xml:space="preserve"> meer </w:t>
      </w:r>
      <w:r w:rsidR="001221C7" w:rsidRPr="00C25D52">
        <w:rPr>
          <w:rFonts w:asciiTheme="minorHAnsi" w:hAnsiTheme="minorHAnsi" w:cstheme="minorHAnsi"/>
          <w:b w:val="0"/>
          <w:sz w:val="22"/>
          <w:szCs w:val="22"/>
        </w:rPr>
        <w:t xml:space="preserve">pandrechten kan vestigen en zo </w:t>
      </w:r>
      <w:r w:rsidRPr="00C25D52">
        <w:rPr>
          <w:rFonts w:asciiTheme="minorHAnsi" w:hAnsiTheme="minorHAnsi" w:cstheme="minorHAnsi"/>
          <w:b w:val="0"/>
          <w:sz w:val="22"/>
          <w:szCs w:val="22"/>
        </w:rPr>
        <w:t>zekerheidsrechten creëert.</w:t>
      </w:r>
    </w:p>
    <w:p w:rsidR="00DD731F" w:rsidRPr="00C25D52" w:rsidRDefault="00DD731F" w:rsidP="00164E92">
      <w:pPr>
        <w:jc w:val="left"/>
        <w:rPr>
          <w:rFonts w:asciiTheme="minorHAnsi" w:hAnsiTheme="minorHAnsi" w:cstheme="minorHAnsi"/>
          <w:b w:val="0"/>
          <w:sz w:val="22"/>
          <w:szCs w:val="22"/>
        </w:rPr>
      </w:pPr>
    </w:p>
    <w:p w:rsidR="005A2CD1" w:rsidRPr="00570D50" w:rsidRDefault="00C515C0" w:rsidP="00570D50">
      <w:pPr>
        <w:pStyle w:val="Kop2"/>
        <w:spacing w:before="0" w:beforeAutospacing="0" w:after="0" w:afterAutospacing="0"/>
        <w:rPr>
          <w:rFonts w:asciiTheme="minorHAnsi" w:hAnsiTheme="minorHAnsi" w:cstheme="minorHAnsi"/>
          <w:sz w:val="24"/>
          <w:szCs w:val="24"/>
        </w:rPr>
      </w:pPr>
      <w:bookmarkStart w:id="19" w:name="_Toc486246614"/>
      <w:r w:rsidRPr="00570D50">
        <w:rPr>
          <w:rFonts w:asciiTheme="minorHAnsi" w:hAnsiTheme="minorHAnsi" w:cstheme="minorHAnsi"/>
          <w:sz w:val="24"/>
          <w:szCs w:val="24"/>
        </w:rPr>
        <w:t xml:space="preserve">§4 </w:t>
      </w:r>
      <w:r w:rsidR="00170F73" w:rsidRPr="00570D50">
        <w:rPr>
          <w:rFonts w:asciiTheme="minorHAnsi" w:hAnsiTheme="minorHAnsi" w:cstheme="minorHAnsi"/>
          <w:sz w:val="24"/>
          <w:szCs w:val="24"/>
        </w:rPr>
        <w:t>Concluderend</w:t>
      </w:r>
      <w:bookmarkEnd w:id="19"/>
    </w:p>
    <w:p w:rsidR="00066854" w:rsidRPr="00C25D52" w:rsidRDefault="00905579" w:rsidP="00164E92">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Het pandrecht is een zekerheidsrecht en biedt de pandhouder, de bank, zekerheid dat zij haar geld terugkrijgt. Het pandrecht kan worden gevestigd op goederen, maar ook op vorderingen. Om een pandrecht te kunnen vestigen dient er aan een aantal eisen te worden voldaan. Er dient sprake te zijn van een vestigingshandeling door een beschikkingsbevoegde op basis van een titel. De Rabobank is </w:t>
      </w:r>
      <w:r w:rsidR="000B68A8" w:rsidRPr="00C25D52">
        <w:rPr>
          <w:rFonts w:asciiTheme="minorHAnsi" w:hAnsiTheme="minorHAnsi" w:cstheme="minorHAnsi"/>
          <w:b w:val="0"/>
          <w:sz w:val="22"/>
          <w:szCs w:val="22"/>
        </w:rPr>
        <w:t xml:space="preserve">in dezen </w:t>
      </w:r>
      <w:r w:rsidRPr="00C25D52">
        <w:rPr>
          <w:rFonts w:asciiTheme="minorHAnsi" w:hAnsiTheme="minorHAnsi" w:cstheme="minorHAnsi"/>
          <w:b w:val="0"/>
          <w:sz w:val="22"/>
          <w:szCs w:val="22"/>
        </w:rPr>
        <w:t xml:space="preserve">beschikkingsbevoegd om op basis van een overeenkomst van pand een verzamelpandakte te doen vestigen. Deze </w:t>
      </w:r>
      <w:proofErr w:type="spellStart"/>
      <w:r w:rsidRPr="00C25D52">
        <w:rPr>
          <w:rFonts w:asciiTheme="minorHAnsi" w:hAnsiTheme="minorHAnsi" w:cstheme="minorHAnsi"/>
          <w:b w:val="0"/>
          <w:sz w:val="22"/>
          <w:szCs w:val="22"/>
        </w:rPr>
        <w:t>pandakte</w:t>
      </w:r>
      <w:proofErr w:type="spellEnd"/>
      <w:r w:rsidRPr="00C25D52">
        <w:rPr>
          <w:rFonts w:asciiTheme="minorHAnsi" w:hAnsiTheme="minorHAnsi" w:cstheme="minorHAnsi"/>
          <w:b w:val="0"/>
          <w:sz w:val="22"/>
          <w:szCs w:val="22"/>
        </w:rPr>
        <w:t xml:space="preserve"> zal iedere dag bij de Belastingdienst ter registratie worden </w:t>
      </w:r>
      <w:r w:rsidR="009E060B" w:rsidRPr="00C25D52">
        <w:rPr>
          <w:rFonts w:asciiTheme="minorHAnsi" w:hAnsiTheme="minorHAnsi" w:cstheme="minorHAnsi"/>
          <w:b w:val="0"/>
          <w:sz w:val="22"/>
          <w:szCs w:val="22"/>
        </w:rPr>
        <w:t>ingediend</w:t>
      </w:r>
      <w:r w:rsidRPr="00C25D52">
        <w:rPr>
          <w:rFonts w:asciiTheme="minorHAnsi" w:hAnsiTheme="minorHAnsi" w:cstheme="minorHAnsi"/>
          <w:b w:val="0"/>
          <w:sz w:val="22"/>
          <w:szCs w:val="22"/>
        </w:rPr>
        <w:t xml:space="preserve">. </w:t>
      </w:r>
      <w:r w:rsidR="00C42DE5" w:rsidRPr="00C25D52">
        <w:rPr>
          <w:rFonts w:asciiTheme="minorHAnsi" w:hAnsiTheme="minorHAnsi" w:cstheme="minorHAnsi"/>
          <w:b w:val="0"/>
          <w:sz w:val="22"/>
          <w:szCs w:val="22"/>
        </w:rPr>
        <w:t xml:space="preserve">In de verzamelpandakte is een </w:t>
      </w:r>
      <w:r w:rsidR="00CE7E4B" w:rsidRPr="00C25D52">
        <w:rPr>
          <w:rFonts w:asciiTheme="minorHAnsi" w:hAnsiTheme="minorHAnsi" w:cstheme="minorHAnsi"/>
          <w:b w:val="0"/>
          <w:sz w:val="22"/>
          <w:szCs w:val="22"/>
        </w:rPr>
        <w:t>volmacht</w:t>
      </w:r>
      <w:r w:rsidR="00C42DE5" w:rsidRPr="00C25D52">
        <w:rPr>
          <w:rFonts w:asciiTheme="minorHAnsi" w:hAnsiTheme="minorHAnsi" w:cstheme="minorHAnsi"/>
          <w:b w:val="0"/>
          <w:sz w:val="22"/>
          <w:szCs w:val="22"/>
        </w:rPr>
        <w:t xml:space="preserve"> van de winkel opgenomen, zodat de Rabobank zelfstandig de pandrechten kan vestigen. </w:t>
      </w:r>
    </w:p>
    <w:p w:rsidR="00BE28B5" w:rsidRPr="00C25D52" w:rsidRDefault="00BE28B5" w:rsidP="00164E92">
      <w:pPr>
        <w:jc w:val="left"/>
        <w:rPr>
          <w:rFonts w:asciiTheme="minorHAnsi" w:hAnsiTheme="minorHAnsi" w:cstheme="minorHAnsi"/>
          <w:b w:val="0"/>
          <w:sz w:val="22"/>
          <w:szCs w:val="22"/>
        </w:rPr>
      </w:pPr>
    </w:p>
    <w:p w:rsidR="00BE28B5" w:rsidRPr="00C25D52" w:rsidRDefault="00BE28B5" w:rsidP="00164E92">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De pandrechten die de Rabobank vestigt zijn stille pandrechten op vorderingen. </w:t>
      </w:r>
      <w:r w:rsidR="00E31A1F" w:rsidRPr="00C25D52">
        <w:rPr>
          <w:rFonts w:asciiTheme="minorHAnsi" w:hAnsiTheme="minorHAnsi" w:cstheme="minorHAnsi"/>
          <w:b w:val="0"/>
          <w:sz w:val="22"/>
          <w:szCs w:val="22"/>
        </w:rPr>
        <w:t xml:space="preserve">Het voordeel van een stil pandrecht is dat de transacties van de consument op de winkel ongewijzigd door kunnen gaan als ware er geen pandrecht is. Het nadeel is dat de bank met stil pandrecht geen inningsbevoegdheid heeft. </w:t>
      </w:r>
      <w:r w:rsidR="0072746B" w:rsidRPr="00C25D52">
        <w:rPr>
          <w:rFonts w:asciiTheme="minorHAnsi" w:hAnsiTheme="minorHAnsi" w:cstheme="minorHAnsi"/>
          <w:b w:val="0"/>
          <w:sz w:val="22"/>
          <w:szCs w:val="22"/>
        </w:rPr>
        <w:t xml:space="preserve">Om deze inningsbevoegdheid te creëren kan de Rabobank het stil pandrecht openbaar maken. </w:t>
      </w:r>
      <w:r w:rsidR="00B859A6" w:rsidRPr="00C25D52">
        <w:rPr>
          <w:rFonts w:asciiTheme="minorHAnsi" w:hAnsiTheme="minorHAnsi" w:cstheme="minorHAnsi"/>
          <w:b w:val="0"/>
          <w:sz w:val="22"/>
          <w:szCs w:val="22"/>
        </w:rPr>
        <w:t>Indien het stil pandrecht openbaar wordt gemaakt dienen de consumenten van de winkel immers rechtstreeks aan de bank te betalen.</w:t>
      </w:r>
      <w:r w:rsidR="00381F6F" w:rsidRPr="00C25D52">
        <w:rPr>
          <w:rFonts w:asciiTheme="minorHAnsi" w:hAnsiTheme="minorHAnsi" w:cstheme="minorHAnsi"/>
          <w:b w:val="0"/>
          <w:sz w:val="22"/>
          <w:szCs w:val="22"/>
        </w:rPr>
        <w:t xml:space="preserve"> Zodoende had de Rabobank de situatie in de casus kunnen voorkomen en direct haar gelden kunnen innen.</w:t>
      </w:r>
    </w:p>
    <w:p w:rsidR="00B859A6" w:rsidRPr="00C25D52" w:rsidRDefault="00B859A6" w:rsidP="00164E92">
      <w:pPr>
        <w:jc w:val="left"/>
        <w:rPr>
          <w:rFonts w:asciiTheme="minorHAnsi" w:hAnsiTheme="minorHAnsi" w:cstheme="minorHAnsi"/>
          <w:b w:val="0"/>
          <w:sz w:val="22"/>
          <w:szCs w:val="22"/>
        </w:rPr>
      </w:pPr>
    </w:p>
    <w:p w:rsidR="00B859A6" w:rsidRPr="00C25D52" w:rsidRDefault="00554C97" w:rsidP="00164E92">
      <w:pPr>
        <w:jc w:val="left"/>
        <w:rPr>
          <w:rFonts w:asciiTheme="minorHAnsi" w:hAnsiTheme="minorHAnsi" w:cstheme="minorHAnsi"/>
          <w:b w:val="0"/>
          <w:sz w:val="22"/>
          <w:szCs w:val="22"/>
        </w:rPr>
      </w:pPr>
      <w:r w:rsidRPr="00C25D52">
        <w:rPr>
          <w:rFonts w:asciiTheme="minorHAnsi" w:hAnsiTheme="minorHAnsi" w:cstheme="minorHAnsi"/>
          <w:b w:val="0"/>
          <w:sz w:val="22"/>
          <w:szCs w:val="22"/>
        </w:rPr>
        <w:t xml:space="preserve">Tot slot is het voor de Rabobank mogelijk om toekomstige vorderingen door middel van een verzamelpandakte te verpanden. Dit heeft het arrest </w:t>
      </w:r>
      <w:proofErr w:type="spellStart"/>
      <w:r w:rsidRPr="00C25D52">
        <w:rPr>
          <w:rFonts w:asciiTheme="minorHAnsi" w:hAnsiTheme="minorHAnsi" w:cstheme="minorHAnsi"/>
          <w:b w:val="0"/>
          <w:sz w:val="22"/>
          <w:szCs w:val="22"/>
        </w:rPr>
        <w:t>Dix</w:t>
      </w:r>
      <w:proofErr w:type="spellEnd"/>
      <w:r w:rsidRPr="00C25D52">
        <w:rPr>
          <w:rFonts w:asciiTheme="minorHAnsi" w:hAnsiTheme="minorHAnsi" w:cstheme="minorHAnsi"/>
          <w:b w:val="0"/>
          <w:sz w:val="22"/>
          <w:szCs w:val="22"/>
        </w:rPr>
        <w:t xml:space="preserve"> q.q./ING uitgewezen. </w:t>
      </w:r>
      <w:r w:rsidR="001B2E73" w:rsidRPr="00C25D52">
        <w:rPr>
          <w:rFonts w:asciiTheme="minorHAnsi" w:hAnsiTheme="minorHAnsi" w:cstheme="minorHAnsi"/>
          <w:b w:val="0"/>
          <w:sz w:val="22"/>
          <w:szCs w:val="22"/>
        </w:rPr>
        <w:t xml:space="preserve">De vorderingen worden als het ware van te voren verpand en worden bezwaard met het pandrecht op het moment dat ze ontstaan. De Hoge Raad heeft zich hierover uitgelaten en duidelijk gemaakt dat het verpanden van toekomstige vorderingen </w:t>
      </w:r>
      <w:r w:rsidR="00576744" w:rsidRPr="00C25D52">
        <w:rPr>
          <w:rFonts w:asciiTheme="minorHAnsi" w:hAnsiTheme="minorHAnsi" w:cstheme="minorHAnsi"/>
          <w:b w:val="0"/>
          <w:sz w:val="22"/>
          <w:szCs w:val="22"/>
        </w:rPr>
        <w:t xml:space="preserve">bevorderlijk is voor </w:t>
      </w:r>
      <w:r w:rsidR="00713DD5" w:rsidRPr="00C25D52">
        <w:rPr>
          <w:rFonts w:asciiTheme="minorHAnsi" w:hAnsiTheme="minorHAnsi" w:cstheme="minorHAnsi"/>
          <w:b w:val="0"/>
          <w:sz w:val="22"/>
          <w:szCs w:val="22"/>
        </w:rPr>
        <w:t xml:space="preserve">de </w:t>
      </w:r>
      <w:r w:rsidR="00576744" w:rsidRPr="00C25D52">
        <w:rPr>
          <w:rFonts w:asciiTheme="minorHAnsi" w:hAnsiTheme="minorHAnsi" w:cstheme="minorHAnsi"/>
          <w:b w:val="0"/>
          <w:sz w:val="22"/>
          <w:szCs w:val="22"/>
        </w:rPr>
        <w:t>kredietverstrekking van banken.</w:t>
      </w:r>
    </w:p>
    <w:p w:rsidR="00066854" w:rsidRDefault="00066854" w:rsidP="00164E92">
      <w:pPr>
        <w:jc w:val="left"/>
        <w:rPr>
          <w:rFonts w:asciiTheme="minorHAnsi" w:hAnsiTheme="minorHAnsi" w:cstheme="minorHAnsi"/>
          <w:b w:val="0"/>
          <w:sz w:val="20"/>
        </w:rPr>
      </w:pPr>
    </w:p>
    <w:p w:rsidR="00033B89" w:rsidRDefault="00033B89" w:rsidP="00164E92">
      <w:pPr>
        <w:jc w:val="left"/>
        <w:rPr>
          <w:rFonts w:asciiTheme="minorHAnsi" w:hAnsiTheme="minorHAnsi" w:cstheme="minorHAnsi"/>
          <w:b w:val="0"/>
          <w:sz w:val="20"/>
        </w:rPr>
      </w:pPr>
    </w:p>
    <w:p w:rsidR="001355E0" w:rsidRDefault="001355E0" w:rsidP="00164E92">
      <w:pPr>
        <w:jc w:val="left"/>
        <w:rPr>
          <w:rFonts w:asciiTheme="minorHAnsi" w:hAnsiTheme="minorHAnsi" w:cstheme="minorHAnsi"/>
          <w:b w:val="0"/>
          <w:sz w:val="20"/>
        </w:rPr>
      </w:pPr>
    </w:p>
    <w:p w:rsidR="005B3398" w:rsidRDefault="005B3398" w:rsidP="00164E92">
      <w:pPr>
        <w:jc w:val="left"/>
        <w:rPr>
          <w:rFonts w:asciiTheme="minorHAnsi" w:hAnsiTheme="minorHAnsi" w:cstheme="minorHAnsi"/>
          <w:b w:val="0"/>
          <w:sz w:val="20"/>
        </w:rPr>
      </w:pPr>
    </w:p>
    <w:p w:rsidR="005B3398" w:rsidRDefault="005B3398" w:rsidP="00164E92">
      <w:pPr>
        <w:jc w:val="left"/>
        <w:rPr>
          <w:rFonts w:asciiTheme="minorHAnsi" w:hAnsiTheme="minorHAnsi" w:cstheme="minorHAnsi"/>
          <w:b w:val="0"/>
          <w:sz w:val="20"/>
        </w:rPr>
      </w:pPr>
    </w:p>
    <w:p w:rsidR="005B3398" w:rsidRDefault="005B3398" w:rsidP="00164E92">
      <w:pPr>
        <w:jc w:val="left"/>
        <w:rPr>
          <w:rFonts w:asciiTheme="minorHAnsi" w:hAnsiTheme="minorHAnsi" w:cstheme="minorHAnsi"/>
          <w:b w:val="0"/>
          <w:sz w:val="20"/>
        </w:rPr>
      </w:pPr>
    </w:p>
    <w:p w:rsidR="005B3398" w:rsidRDefault="005B3398" w:rsidP="00164E92">
      <w:pPr>
        <w:jc w:val="left"/>
        <w:rPr>
          <w:rFonts w:asciiTheme="minorHAnsi" w:hAnsiTheme="minorHAnsi" w:cstheme="minorHAnsi"/>
          <w:b w:val="0"/>
          <w:sz w:val="20"/>
        </w:rPr>
      </w:pPr>
    </w:p>
    <w:p w:rsidR="005B3398" w:rsidRDefault="005B3398" w:rsidP="00164E92">
      <w:pPr>
        <w:jc w:val="left"/>
        <w:rPr>
          <w:rFonts w:asciiTheme="minorHAnsi" w:hAnsiTheme="minorHAnsi" w:cstheme="minorHAnsi"/>
          <w:b w:val="0"/>
          <w:sz w:val="20"/>
        </w:rPr>
      </w:pPr>
    </w:p>
    <w:p w:rsidR="005B3398" w:rsidRDefault="005B3398" w:rsidP="00164E92">
      <w:pPr>
        <w:jc w:val="left"/>
        <w:rPr>
          <w:rFonts w:asciiTheme="minorHAnsi" w:hAnsiTheme="minorHAnsi" w:cstheme="minorHAnsi"/>
          <w:b w:val="0"/>
          <w:sz w:val="20"/>
        </w:rPr>
      </w:pPr>
    </w:p>
    <w:p w:rsidR="005B3398" w:rsidRDefault="005B3398" w:rsidP="00164E92">
      <w:pPr>
        <w:jc w:val="left"/>
        <w:rPr>
          <w:rFonts w:asciiTheme="minorHAnsi" w:hAnsiTheme="minorHAnsi" w:cstheme="minorHAnsi"/>
          <w:b w:val="0"/>
          <w:sz w:val="20"/>
        </w:rPr>
      </w:pPr>
    </w:p>
    <w:p w:rsidR="005B3398" w:rsidRDefault="005B3398" w:rsidP="00164E92">
      <w:pPr>
        <w:jc w:val="left"/>
        <w:rPr>
          <w:rFonts w:asciiTheme="minorHAnsi" w:hAnsiTheme="minorHAnsi" w:cstheme="minorHAnsi"/>
          <w:b w:val="0"/>
          <w:sz w:val="20"/>
        </w:rPr>
      </w:pPr>
    </w:p>
    <w:p w:rsidR="005B3398" w:rsidRDefault="005B3398" w:rsidP="00164E92">
      <w:pPr>
        <w:jc w:val="left"/>
        <w:rPr>
          <w:rFonts w:asciiTheme="minorHAnsi" w:hAnsiTheme="minorHAnsi" w:cstheme="minorHAnsi"/>
          <w:b w:val="0"/>
          <w:sz w:val="20"/>
        </w:rPr>
      </w:pPr>
    </w:p>
    <w:p w:rsidR="005B3398" w:rsidRDefault="005B3398" w:rsidP="00164E92">
      <w:pPr>
        <w:jc w:val="left"/>
        <w:rPr>
          <w:rFonts w:asciiTheme="minorHAnsi" w:hAnsiTheme="minorHAnsi" w:cstheme="minorHAnsi"/>
          <w:b w:val="0"/>
          <w:sz w:val="20"/>
        </w:rPr>
      </w:pPr>
    </w:p>
    <w:p w:rsidR="00A60794" w:rsidRDefault="00A60794">
      <w:pPr>
        <w:rPr>
          <w:rFonts w:asciiTheme="majorHAnsi" w:eastAsiaTheme="majorEastAsia" w:hAnsiTheme="majorHAnsi" w:cstheme="majorBidi"/>
          <w:b w:val="0"/>
          <w:bCs w:val="0"/>
          <w:color w:val="365F91" w:themeColor="accent1" w:themeShade="BF"/>
          <w:sz w:val="36"/>
          <w:szCs w:val="28"/>
        </w:rPr>
      </w:pPr>
      <w:r>
        <w:rPr>
          <w:sz w:val="36"/>
        </w:rPr>
        <w:br w:type="page"/>
      </w:r>
    </w:p>
    <w:p w:rsidR="000B68A8" w:rsidRPr="00914D82" w:rsidRDefault="00202B3C" w:rsidP="005F14DE">
      <w:pPr>
        <w:pStyle w:val="Kop1"/>
        <w:rPr>
          <w:sz w:val="36"/>
        </w:rPr>
      </w:pPr>
      <w:bookmarkStart w:id="20" w:name="_Toc486246615"/>
      <w:r w:rsidRPr="00914D82">
        <w:rPr>
          <w:sz w:val="36"/>
        </w:rPr>
        <w:lastRenderedPageBreak/>
        <w:t>Hoofdstuk 3</w:t>
      </w:r>
      <w:bookmarkEnd w:id="20"/>
    </w:p>
    <w:p w:rsidR="000B68A8" w:rsidRPr="00914D82" w:rsidRDefault="000B68A8" w:rsidP="005F14DE">
      <w:pPr>
        <w:pStyle w:val="Kop4"/>
        <w:rPr>
          <w:b/>
          <w:sz w:val="26"/>
          <w:szCs w:val="26"/>
        </w:rPr>
      </w:pPr>
      <w:r w:rsidRPr="00914D82">
        <w:rPr>
          <w:sz w:val="26"/>
          <w:szCs w:val="26"/>
        </w:rPr>
        <w:t xml:space="preserve">- </w:t>
      </w:r>
      <w:r w:rsidR="000C158F" w:rsidRPr="00914D82">
        <w:rPr>
          <w:sz w:val="26"/>
          <w:szCs w:val="26"/>
        </w:rPr>
        <w:t>Het verpanden van pinbetalingen</w:t>
      </w:r>
      <w:r w:rsidRPr="00914D82">
        <w:rPr>
          <w:sz w:val="26"/>
          <w:szCs w:val="26"/>
        </w:rPr>
        <w:t xml:space="preserve"> -</w:t>
      </w:r>
    </w:p>
    <w:p w:rsidR="001355E0" w:rsidRPr="002F767E" w:rsidRDefault="001355E0" w:rsidP="00164E92">
      <w:pPr>
        <w:jc w:val="left"/>
        <w:rPr>
          <w:rFonts w:asciiTheme="minorHAnsi" w:hAnsiTheme="minorHAnsi" w:cstheme="minorHAnsi"/>
          <w:b w:val="0"/>
          <w:sz w:val="22"/>
        </w:rPr>
      </w:pPr>
    </w:p>
    <w:p w:rsidR="00033B89" w:rsidRPr="002F767E" w:rsidRDefault="00066E11" w:rsidP="00164E92">
      <w:pPr>
        <w:jc w:val="left"/>
        <w:rPr>
          <w:rFonts w:asciiTheme="minorHAnsi" w:hAnsiTheme="minorHAnsi" w:cstheme="minorHAnsi"/>
          <w:b w:val="0"/>
          <w:sz w:val="22"/>
        </w:rPr>
      </w:pPr>
      <w:r w:rsidRPr="002F767E">
        <w:rPr>
          <w:rFonts w:asciiTheme="minorHAnsi" w:hAnsiTheme="minorHAnsi" w:cstheme="minorHAnsi"/>
          <w:b w:val="0"/>
          <w:sz w:val="22"/>
        </w:rPr>
        <w:t xml:space="preserve">In </w:t>
      </w:r>
      <w:r w:rsidR="00B311CC" w:rsidRPr="002F767E">
        <w:rPr>
          <w:rFonts w:asciiTheme="minorHAnsi" w:hAnsiTheme="minorHAnsi" w:cstheme="minorHAnsi"/>
          <w:b w:val="0"/>
          <w:sz w:val="22"/>
        </w:rPr>
        <w:t>h</w:t>
      </w:r>
      <w:r w:rsidR="00202B3C" w:rsidRPr="002F767E">
        <w:rPr>
          <w:rFonts w:asciiTheme="minorHAnsi" w:hAnsiTheme="minorHAnsi" w:cstheme="minorHAnsi"/>
          <w:b w:val="0"/>
          <w:sz w:val="22"/>
        </w:rPr>
        <w:t>oofdstuk 2</w:t>
      </w:r>
      <w:r w:rsidRPr="002F767E">
        <w:rPr>
          <w:rFonts w:asciiTheme="minorHAnsi" w:hAnsiTheme="minorHAnsi" w:cstheme="minorHAnsi"/>
          <w:b w:val="0"/>
          <w:sz w:val="22"/>
        </w:rPr>
        <w:t xml:space="preserve"> is geconstateerd dat vorderingen </w:t>
      </w:r>
      <w:r w:rsidR="00690EBF" w:rsidRPr="002F767E">
        <w:rPr>
          <w:rFonts w:asciiTheme="minorHAnsi" w:hAnsiTheme="minorHAnsi" w:cstheme="minorHAnsi"/>
          <w:b w:val="0"/>
          <w:sz w:val="22"/>
        </w:rPr>
        <w:t>vatbaar zijn voor verpanding</w:t>
      </w:r>
      <w:r w:rsidRPr="002F767E">
        <w:rPr>
          <w:rFonts w:asciiTheme="minorHAnsi" w:hAnsiTheme="minorHAnsi" w:cstheme="minorHAnsi"/>
          <w:b w:val="0"/>
          <w:sz w:val="22"/>
        </w:rPr>
        <w:t xml:space="preserve">. </w:t>
      </w:r>
      <w:r w:rsidR="00690EBF" w:rsidRPr="002F767E">
        <w:rPr>
          <w:rFonts w:asciiTheme="minorHAnsi" w:hAnsiTheme="minorHAnsi" w:cstheme="minorHAnsi"/>
          <w:b w:val="0"/>
          <w:sz w:val="22"/>
        </w:rPr>
        <w:t>De vorderingen waar het in de casus om draait zijn de vorderingen</w:t>
      </w:r>
      <w:r w:rsidRPr="002F767E">
        <w:rPr>
          <w:rFonts w:asciiTheme="minorHAnsi" w:hAnsiTheme="minorHAnsi" w:cstheme="minorHAnsi"/>
          <w:b w:val="0"/>
          <w:sz w:val="22"/>
        </w:rPr>
        <w:t xml:space="preserve"> die de winkel op consument</w:t>
      </w:r>
      <w:r w:rsidR="00690EBF" w:rsidRPr="002F767E">
        <w:rPr>
          <w:rFonts w:asciiTheme="minorHAnsi" w:hAnsiTheme="minorHAnsi" w:cstheme="minorHAnsi"/>
          <w:b w:val="0"/>
          <w:sz w:val="22"/>
        </w:rPr>
        <w:t>en</w:t>
      </w:r>
      <w:r w:rsidRPr="002F767E">
        <w:rPr>
          <w:rFonts w:asciiTheme="minorHAnsi" w:hAnsiTheme="minorHAnsi" w:cstheme="minorHAnsi"/>
          <w:b w:val="0"/>
          <w:sz w:val="22"/>
        </w:rPr>
        <w:t xml:space="preserve"> heeft op het moment dat </w:t>
      </w:r>
      <w:r w:rsidR="00690EBF" w:rsidRPr="002F767E">
        <w:rPr>
          <w:rFonts w:asciiTheme="minorHAnsi" w:hAnsiTheme="minorHAnsi" w:cstheme="minorHAnsi"/>
          <w:b w:val="0"/>
          <w:sz w:val="22"/>
        </w:rPr>
        <w:t>een</w:t>
      </w:r>
      <w:r w:rsidRPr="002F767E">
        <w:rPr>
          <w:rFonts w:asciiTheme="minorHAnsi" w:hAnsiTheme="minorHAnsi" w:cstheme="minorHAnsi"/>
          <w:b w:val="0"/>
          <w:sz w:val="22"/>
        </w:rPr>
        <w:t xml:space="preserve"> consument een paar schoenen koopt in de winkel. In het onderhavige geval worden de vorderingen</w:t>
      </w:r>
      <w:r w:rsidR="00163D4E" w:rsidRPr="002F767E">
        <w:rPr>
          <w:rFonts w:asciiTheme="minorHAnsi" w:hAnsiTheme="minorHAnsi" w:cstheme="minorHAnsi"/>
          <w:b w:val="0"/>
          <w:sz w:val="22"/>
        </w:rPr>
        <w:t xml:space="preserve"> stil verpand via een verzamelpandakte. </w:t>
      </w:r>
      <w:r w:rsidR="00690EBF" w:rsidRPr="002F767E">
        <w:rPr>
          <w:rFonts w:asciiTheme="minorHAnsi" w:hAnsiTheme="minorHAnsi" w:cstheme="minorHAnsi"/>
          <w:b w:val="0"/>
          <w:sz w:val="22"/>
        </w:rPr>
        <w:t>In dit hoofdstuk staat centraal of vorderingen die voldaan worden met pinbetalingen</w:t>
      </w:r>
      <w:r w:rsidR="00AE3CD0" w:rsidRPr="002F767E">
        <w:rPr>
          <w:rFonts w:asciiTheme="minorHAnsi" w:hAnsiTheme="minorHAnsi" w:cstheme="minorHAnsi"/>
          <w:b w:val="0"/>
          <w:sz w:val="22"/>
        </w:rPr>
        <w:t>, kortgezegd pinvorderingen,</w:t>
      </w:r>
      <w:r w:rsidR="00690EBF" w:rsidRPr="002F767E">
        <w:rPr>
          <w:rFonts w:asciiTheme="minorHAnsi" w:hAnsiTheme="minorHAnsi" w:cstheme="minorHAnsi"/>
          <w:b w:val="0"/>
          <w:sz w:val="22"/>
        </w:rPr>
        <w:t xml:space="preserve"> tevens vatbaar zijn voor verpanding.</w:t>
      </w:r>
    </w:p>
    <w:p w:rsidR="00066854" w:rsidRPr="002F767E" w:rsidRDefault="00066854" w:rsidP="00164E92">
      <w:pPr>
        <w:jc w:val="left"/>
        <w:rPr>
          <w:rFonts w:asciiTheme="minorHAnsi" w:hAnsiTheme="minorHAnsi" w:cstheme="minorHAnsi"/>
          <w:b w:val="0"/>
          <w:color w:val="FF0000"/>
          <w:sz w:val="22"/>
        </w:rPr>
      </w:pPr>
    </w:p>
    <w:p w:rsidR="00A87052" w:rsidRPr="002F767E" w:rsidRDefault="00A87052" w:rsidP="00A87052">
      <w:pPr>
        <w:jc w:val="left"/>
        <w:rPr>
          <w:rFonts w:asciiTheme="minorHAnsi" w:hAnsiTheme="minorHAnsi" w:cstheme="minorHAnsi"/>
          <w:b w:val="0"/>
          <w:sz w:val="22"/>
        </w:rPr>
      </w:pPr>
      <w:r w:rsidRPr="002F767E">
        <w:rPr>
          <w:rFonts w:asciiTheme="minorHAnsi" w:hAnsiTheme="minorHAnsi" w:cstheme="minorHAnsi"/>
          <w:b w:val="0"/>
          <w:sz w:val="22"/>
        </w:rPr>
        <w:t xml:space="preserve">In de casus staat de schoenenwinkel centraal. De winkel verkoopt schoenen en dient voor de verkoop van die schoenen een betaling te ontvangen. Betalingen kunnen chartaal (contant) of giraal (pinbetaling) zijn. Ik beperk me </w:t>
      </w:r>
      <w:r w:rsidR="00440ED4" w:rsidRPr="002F767E">
        <w:rPr>
          <w:rFonts w:asciiTheme="minorHAnsi" w:hAnsiTheme="minorHAnsi" w:cstheme="minorHAnsi"/>
          <w:b w:val="0"/>
          <w:sz w:val="22"/>
        </w:rPr>
        <w:t xml:space="preserve">in deze scriptie </w:t>
      </w:r>
      <w:r w:rsidRPr="002F767E">
        <w:rPr>
          <w:rFonts w:asciiTheme="minorHAnsi" w:hAnsiTheme="minorHAnsi" w:cstheme="minorHAnsi"/>
          <w:b w:val="0"/>
          <w:sz w:val="22"/>
        </w:rPr>
        <w:t xml:space="preserve">tot </w:t>
      </w:r>
      <w:r w:rsidR="00440ED4" w:rsidRPr="002F767E">
        <w:rPr>
          <w:rFonts w:asciiTheme="minorHAnsi" w:hAnsiTheme="minorHAnsi" w:cstheme="minorHAnsi"/>
          <w:b w:val="0"/>
          <w:sz w:val="22"/>
        </w:rPr>
        <w:t xml:space="preserve">de </w:t>
      </w:r>
      <w:r w:rsidRPr="002F767E">
        <w:rPr>
          <w:rFonts w:asciiTheme="minorHAnsi" w:hAnsiTheme="minorHAnsi" w:cstheme="minorHAnsi"/>
          <w:b w:val="0"/>
          <w:sz w:val="22"/>
        </w:rPr>
        <w:t>girale betalingen, omdat er daar de meeste ruimte zit om een pandrecht te vestigen, dit wordt verder</w:t>
      </w:r>
      <w:r w:rsidR="00440ED4" w:rsidRPr="002F767E">
        <w:rPr>
          <w:rFonts w:asciiTheme="minorHAnsi" w:hAnsiTheme="minorHAnsi" w:cstheme="minorHAnsi"/>
          <w:b w:val="0"/>
          <w:sz w:val="22"/>
        </w:rPr>
        <w:t>op</w:t>
      </w:r>
      <w:r w:rsidRPr="002F767E">
        <w:rPr>
          <w:rFonts w:asciiTheme="minorHAnsi" w:hAnsiTheme="minorHAnsi" w:cstheme="minorHAnsi"/>
          <w:b w:val="0"/>
          <w:sz w:val="22"/>
        </w:rPr>
        <w:t xml:space="preserve"> in deze paragraaf duidelijk. Een pi</w:t>
      </w:r>
      <w:r w:rsidR="00440ED4" w:rsidRPr="002F767E">
        <w:rPr>
          <w:rFonts w:asciiTheme="minorHAnsi" w:hAnsiTheme="minorHAnsi" w:cstheme="minorHAnsi"/>
          <w:b w:val="0"/>
          <w:sz w:val="22"/>
        </w:rPr>
        <w:t xml:space="preserve">nbetaling lijkt een op zichzelf </w:t>
      </w:r>
      <w:r w:rsidRPr="002F767E">
        <w:rPr>
          <w:rFonts w:asciiTheme="minorHAnsi" w:hAnsiTheme="minorHAnsi" w:cstheme="minorHAnsi"/>
          <w:b w:val="0"/>
          <w:sz w:val="22"/>
        </w:rPr>
        <w:t>staand betaalmiddel te zijn, echter het is een middel of instrument om een zogenoemde girale betaling te bewerkstelligen. Een girale betaling is het crediteren van een betaling van de ene op de andere bankrekening. Het pinnen is zodoende een middel om deze geldoverdracht in gang te zetten. Giraal geld is dus niet tastbaar, het is immers het geld dat op een bankrekening staat.</w:t>
      </w:r>
      <w:r w:rsidRPr="002F767E">
        <w:rPr>
          <w:rStyle w:val="Voetnootmarkering"/>
          <w:rFonts w:asciiTheme="minorHAnsi" w:hAnsiTheme="minorHAnsi" w:cstheme="minorHAnsi"/>
          <w:b w:val="0"/>
          <w:sz w:val="22"/>
        </w:rPr>
        <w:footnoteReference w:id="42"/>
      </w:r>
    </w:p>
    <w:p w:rsidR="00A87052" w:rsidRPr="002F767E" w:rsidRDefault="00A87052" w:rsidP="00A87052">
      <w:pPr>
        <w:jc w:val="left"/>
        <w:rPr>
          <w:rFonts w:asciiTheme="minorHAnsi" w:hAnsiTheme="minorHAnsi" w:cstheme="minorHAnsi"/>
          <w:b w:val="0"/>
          <w:sz w:val="22"/>
        </w:rPr>
      </w:pPr>
    </w:p>
    <w:p w:rsidR="00A87052" w:rsidRPr="00570D50" w:rsidRDefault="00A87052" w:rsidP="00570D50">
      <w:pPr>
        <w:pStyle w:val="Kop2"/>
        <w:spacing w:before="0" w:beforeAutospacing="0" w:after="0" w:afterAutospacing="0"/>
        <w:rPr>
          <w:rFonts w:asciiTheme="minorHAnsi" w:hAnsiTheme="minorHAnsi" w:cstheme="minorHAnsi"/>
          <w:sz w:val="24"/>
          <w:szCs w:val="24"/>
        </w:rPr>
      </w:pPr>
      <w:bookmarkStart w:id="21" w:name="_Toc486246616"/>
      <w:r w:rsidRPr="00570D50">
        <w:rPr>
          <w:rFonts w:asciiTheme="minorHAnsi" w:hAnsiTheme="minorHAnsi" w:cstheme="minorHAnsi"/>
          <w:sz w:val="24"/>
          <w:szCs w:val="24"/>
        </w:rPr>
        <w:t>§1 Pinbetalingen</w:t>
      </w:r>
      <w:r w:rsidR="00CA5C65" w:rsidRPr="00570D50">
        <w:rPr>
          <w:rFonts w:asciiTheme="minorHAnsi" w:hAnsiTheme="minorHAnsi" w:cstheme="minorHAnsi"/>
          <w:sz w:val="24"/>
          <w:szCs w:val="24"/>
        </w:rPr>
        <w:t xml:space="preserve"> verpanden</w:t>
      </w:r>
      <w:bookmarkEnd w:id="21"/>
    </w:p>
    <w:p w:rsidR="00A87052" w:rsidRPr="002F767E" w:rsidRDefault="00440ED4" w:rsidP="00A87052">
      <w:pPr>
        <w:jc w:val="left"/>
        <w:rPr>
          <w:rFonts w:asciiTheme="minorHAnsi" w:hAnsiTheme="minorHAnsi" w:cstheme="minorHAnsi"/>
          <w:b w:val="0"/>
          <w:sz w:val="22"/>
        </w:rPr>
      </w:pPr>
      <w:r w:rsidRPr="002F767E">
        <w:rPr>
          <w:rFonts w:asciiTheme="minorHAnsi" w:hAnsiTheme="minorHAnsi" w:cstheme="minorHAnsi"/>
          <w:b w:val="0"/>
          <w:sz w:val="22"/>
        </w:rPr>
        <w:t>Een pinbetaling verloopt</w:t>
      </w:r>
      <w:r w:rsidR="00A87052" w:rsidRPr="002F767E">
        <w:rPr>
          <w:rFonts w:asciiTheme="minorHAnsi" w:hAnsiTheme="minorHAnsi" w:cstheme="minorHAnsi"/>
          <w:b w:val="0"/>
          <w:sz w:val="22"/>
        </w:rPr>
        <w:t xml:space="preserve"> op de volgende manier, degene die iets in de winkel koopt geeft</w:t>
      </w:r>
      <w:r w:rsidRPr="002F767E">
        <w:rPr>
          <w:rFonts w:asciiTheme="minorHAnsi" w:hAnsiTheme="minorHAnsi" w:cstheme="minorHAnsi"/>
          <w:b w:val="0"/>
          <w:sz w:val="22"/>
        </w:rPr>
        <w:t>,</w:t>
      </w:r>
      <w:r w:rsidR="00A87052" w:rsidRPr="002F767E">
        <w:rPr>
          <w:rFonts w:asciiTheme="minorHAnsi" w:hAnsiTheme="minorHAnsi" w:cstheme="minorHAnsi"/>
          <w:b w:val="0"/>
          <w:sz w:val="22"/>
        </w:rPr>
        <w:t xml:space="preserve"> </w:t>
      </w:r>
      <w:r w:rsidRPr="002F767E">
        <w:rPr>
          <w:rFonts w:asciiTheme="minorHAnsi" w:hAnsiTheme="minorHAnsi" w:cstheme="minorHAnsi"/>
          <w:b w:val="0"/>
          <w:sz w:val="22"/>
        </w:rPr>
        <w:t xml:space="preserve">door af te rekenen met zijn pinpas, </w:t>
      </w:r>
      <w:r w:rsidR="00A87052" w:rsidRPr="002F767E">
        <w:rPr>
          <w:rFonts w:asciiTheme="minorHAnsi" w:hAnsiTheme="minorHAnsi" w:cstheme="minorHAnsi"/>
          <w:b w:val="0"/>
          <w:sz w:val="22"/>
        </w:rPr>
        <w:t xml:space="preserve">zijn bank opdracht om geld van zijn betaalrekening af te schrijven. Het bedrag dat hij </w:t>
      </w:r>
      <w:r w:rsidRPr="002F767E">
        <w:rPr>
          <w:rFonts w:asciiTheme="minorHAnsi" w:hAnsiTheme="minorHAnsi" w:cstheme="minorHAnsi"/>
          <w:b w:val="0"/>
          <w:sz w:val="22"/>
        </w:rPr>
        <w:t>heeft laten</w:t>
      </w:r>
      <w:r w:rsidR="00A87052" w:rsidRPr="002F767E">
        <w:rPr>
          <w:rFonts w:asciiTheme="minorHAnsi" w:hAnsiTheme="minorHAnsi" w:cstheme="minorHAnsi"/>
          <w:b w:val="0"/>
          <w:sz w:val="22"/>
        </w:rPr>
        <w:t xml:space="preserve"> afschrijven wordt </w:t>
      </w:r>
      <w:r w:rsidRPr="002F767E">
        <w:rPr>
          <w:rFonts w:asciiTheme="minorHAnsi" w:hAnsiTheme="minorHAnsi" w:cstheme="minorHAnsi"/>
          <w:b w:val="0"/>
          <w:sz w:val="22"/>
        </w:rPr>
        <w:t xml:space="preserve">vervolgens </w:t>
      </w:r>
      <w:r w:rsidR="00A87052" w:rsidRPr="002F767E">
        <w:rPr>
          <w:rFonts w:asciiTheme="minorHAnsi" w:hAnsiTheme="minorHAnsi" w:cstheme="minorHAnsi"/>
          <w:b w:val="0"/>
          <w:sz w:val="22"/>
        </w:rPr>
        <w:t>overgeboekt naar de bankrekening van de winkel. Om deze overschrijvingsopdracht in gang te zetten is</w:t>
      </w:r>
      <w:r w:rsidRPr="002F767E">
        <w:rPr>
          <w:rFonts w:asciiTheme="minorHAnsi" w:hAnsiTheme="minorHAnsi" w:cstheme="minorHAnsi"/>
          <w:b w:val="0"/>
          <w:sz w:val="22"/>
        </w:rPr>
        <w:t>,</w:t>
      </w:r>
      <w:r w:rsidR="00A87052" w:rsidRPr="002F767E">
        <w:rPr>
          <w:rFonts w:asciiTheme="minorHAnsi" w:hAnsiTheme="minorHAnsi" w:cstheme="minorHAnsi"/>
          <w:b w:val="0"/>
          <w:sz w:val="22"/>
        </w:rPr>
        <w:t xml:space="preserve"> </w:t>
      </w:r>
      <w:r w:rsidRPr="002F767E">
        <w:rPr>
          <w:rFonts w:asciiTheme="minorHAnsi" w:hAnsiTheme="minorHAnsi" w:cstheme="minorHAnsi"/>
          <w:b w:val="0"/>
          <w:sz w:val="22"/>
        </w:rPr>
        <w:t xml:space="preserve">zoals hiervoor benoemd, </w:t>
      </w:r>
      <w:r w:rsidR="00A87052" w:rsidRPr="002F767E">
        <w:rPr>
          <w:rFonts w:asciiTheme="minorHAnsi" w:hAnsiTheme="minorHAnsi" w:cstheme="minorHAnsi"/>
          <w:b w:val="0"/>
          <w:sz w:val="22"/>
        </w:rPr>
        <w:t>een betaalinstrument vereist. Een betaalinstrument is bijvoorbeeld een pinpas.</w:t>
      </w:r>
      <w:r w:rsidR="00A87052" w:rsidRPr="002F767E">
        <w:rPr>
          <w:rStyle w:val="Voetnootmarkering"/>
          <w:rFonts w:asciiTheme="minorHAnsi" w:hAnsiTheme="minorHAnsi" w:cstheme="minorHAnsi"/>
          <w:b w:val="0"/>
          <w:sz w:val="22"/>
        </w:rPr>
        <w:footnoteReference w:id="43"/>
      </w:r>
      <w:r w:rsidR="00A87052" w:rsidRPr="002F767E">
        <w:rPr>
          <w:rFonts w:asciiTheme="minorHAnsi" w:hAnsiTheme="minorHAnsi" w:cstheme="minorHAnsi"/>
          <w:b w:val="0"/>
          <w:sz w:val="22"/>
        </w:rPr>
        <w:t xml:space="preserve"> Het betalingsmoment van een pinbetaling is het tijdstip waarop het geld op de rekening van de winkel wordt bijgeschreven.</w:t>
      </w:r>
      <w:r w:rsidR="00A97069" w:rsidRPr="002F767E">
        <w:rPr>
          <w:rFonts w:asciiTheme="minorHAnsi" w:hAnsiTheme="minorHAnsi" w:cstheme="minorHAnsi"/>
          <w:b w:val="0"/>
          <w:sz w:val="22"/>
        </w:rPr>
        <w:t xml:space="preserve"> Er is dus eigenlijk niet betaald wanneer de pinautomaat aangeeft </w:t>
      </w:r>
      <w:r w:rsidR="009E4F68" w:rsidRPr="002F767E">
        <w:rPr>
          <w:rFonts w:asciiTheme="minorHAnsi" w:hAnsiTheme="minorHAnsi" w:cstheme="minorHAnsi"/>
          <w:b w:val="0"/>
          <w:sz w:val="22"/>
        </w:rPr>
        <w:t>‘u heeft betaald’ of ‘transactie voltooid’</w:t>
      </w:r>
      <w:r w:rsidR="006763B4" w:rsidRPr="002F767E">
        <w:rPr>
          <w:rFonts w:asciiTheme="minorHAnsi" w:hAnsiTheme="minorHAnsi" w:cstheme="minorHAnsi"/>
          <w:b w:val="0"/>
          <w:sz w:val="22"/>
        </w:rPr>
        <w:t xml:space="preserve">. Het moment </w:t>
      </w:r>
      <w:r w:rsidR="009E4F68" w:rsidRPr="002F767E">
        <w:rPr>
          <w:rFonts w:asciiTheme="minorHAnsi" w:hAnsiTheme="minorHAnsi" w:cstheme="minorHAnsi"/>
          <w:b w:val="0"/>
          <w:sz w:val="22"/>
        </w:rPr>
        <w:t>dat het geld</w:t>
      </w:r>
      <w:r w:rsidR="006763B4" w:rsidRPr="002F767E">
        <w:rPr>
          <w:rFonts w:asciiTheme="minorHAnsi" w:hAnsiTheme="minorHAnsi" w:cstheme="minorHAnsi"/>
          <w:b w:val="0"/>
          <w:sz w:val="22"/>
        </w:rPr>
        <w:t xml:space="preserve"> op de bankrekening van de winkel</w:t>
      </w:r>
      <w:r w:rsidR="009E4F68" w:rsidRPr="002F767E">
        <w:rPr>
          <w:rFonts w:asciiTheme="minorHAnsi" w:hAnsiTheme="minorHAnsi" w:cstheme="minorHAnsi"/>
          <w:b w:val="0"/>
          <w:sz w:val="22"/>
        </w:rPr>
        <w:t xml:space="preserve"> wordt gecrediteerd</w:t>
      </w:r>
      <w:r w:rsidR="006763B4" w:rsidRPr="002F767E">
        <w:rPr>
          <w:rFonts w:asciiTheme="minorHAnsi" w:hAnsiTheme="minorHAnsi" w:cstheme="minorHAnsi"/>
          <w:b w:val="0"/>
          <w:sz w:val="22"/>
        </w:rPr>
        <w:t xml:space="preserve"> is de daadwerkelijke betaling.</w:t>
      </w:r>
      <w:r w:rsidR="00A87052" w:rsidRPr="002F767E">
        <w:rPr>
          <w:rStyle w:val="Voetnootmarkering"/>
          <w:rFonts w:asciiTheme="minorHAnsi" w:hAnsiTheme="minorHAnsi" w:cstheme="minorHAnsi"/>
          <w:b w:val="0"/>
          <w:sz w:val="22"/>
        </w:rPr>
        <w:footnoteReference w:id="44"/>
      </w:r>
    </w:p>
    <w:p w:rsidR="00B1238A" w:rsidRPr="002F767E" w:rsidRDefault="00B1238A" w:rsidP="00A87052">
      <w:pPr>
        <w:jc w:val="left"/>
        <w:rPr>
          <w:rFonts w:asciiTheme="minorHAnsi" w:hAnsiTheme="minorHAnsi" w:cstheme="minorHAnsi"/>
          <w:b w:val="0"/>
          <w:sz w:val="22"/>
        </w:rPr>
      </w:pPr>
    </w:p>
    <w:p w:rsidR="002F767E" w:rsidRDefault="002F767E">
      <w:pPr>
        <w:rPr>
          <w:rFonts w:asciiTheme="minorHAnsi" w:hAnsiTheme="minorHAnsi" w:cstheme="minorHAnsi"/>
          <w:b w:val="0"/>
          <w:sz w:val="22"/>
        </w:rPr>
      </w:pPr>
      <w:r>
        <w:rPr>
          <w:rFonts w:asciiTheme="minorHAnsi" w:hAnsiTheme="minorHAnsi" w:cstheme="minorHAnsi"/>
          <w:b w:val="0"/>
          <w:sz w:val="22"/>
        </w:rPr>
        <w:br w:type="page"/>
      </w:r>
    </w:p>
    <w:p w:rsidR="00B1238A" w:rsidRPr="002F767E" w:rsidRDefault="00B1238A" w:rsidP="00A87052">
      <w:pPr>
        <w:jc w:val="left"/>
        <w:rPr>
          <w:rFonts w:asciiTheme="minorHAnsi" w:hAnsiTheme="minorHAnsi" w:cstheme="minorHAnsi"/>
          <w:b w:val="0"/>
          <w:sz w:val="22"/>
        </w:rPr>
      </w:pPr>
      <w:r w:rsidRPr="002F767E">
        <w:rPr>
          <w:rFonts w:asciiTheme="minorHAnsi" w:hAnsiTheme="minorHAnsi" w:cstheme="minorHAnsi"/>
          <w:b w:val="0"/>
          <w:sz w:val="22"/>
        </w:rPr>
        <w:lastRenderedPageBreak/>
        <w:t>Een girale betaling ziet er schematisch als volgt uit:</w:t>
      </w:r>
    </w:p>
    <w:p w:rsidR="00C3581A" w:rsidRDefault="00E26C3A" w:rsidP="00A87052">
      <w:pPr>
        <w:jc w:val="left"/>
        <w:rPr>
          <w:rFonts w:asciiTheme="minorHAnsi" w:hAnsiTheme="minorHAnsi" w:cstheme="minorHAnsi"/>
          <w:b w:val="0"/>
          <w:sz w:val="20"/>
        </w:rPr>
      </w:pPr>
      <w:r>
        <w:rPr>
          <w:rFonts w:asciiTheme="minorHAnsi" w:hAnsiTheme="minorHAnsi" w:cstheme="minorHAnsi"/>
          <w:b w:val="0"/>
          <w:noProof/>
          <w:sz w:val="20"/>
          <w:lang w:eastAsia="nl-NL"/>
        </w:rPr>
        <w:drawing>
          <wp:anchor distT="0" distB="0" distL="114300" distR="114300" simplePos="0" relativeHeight="251660288" behindDoc="1" locked="0" layoutInCell="1" allowOverlap="1" wp14:anchorId="59DD4230" wp14:editId="18412426">
            <wp:simplePos x="0" y="0"/>
            <wp:positionH relativeFrom="column">
              <wp:posOffset>-4445</wp:posOffset>
            </wp:positionH>
            <wp:positionV relativeFrom="paragraph">
              <wp:posOffset>1905</wp:posOffset>
            </wp:positionV>
            <wp:extent cx="3762375" cy="2962275"/>
            <wp:effectExtent l="0" t="0" r="9525" b="9525"/>
            <wp:wrapTight wrapText="bothSides">
              <wp:wrapPolygon edited="0">
                <wp:start x="0" y="0"/>
                <wp:lineTo x="0" y="21531"/>
                <wp:lineTo x="21545" y="21531"/>
                <wp:lineTo x="2154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81A" w:rsidRPr="002F767E" w:rsidRDefault="00C3581A" w:rsidP="00A87052">
      <w:pPr>
        <w:jc w:val="left"/>
        <w:rPr>
          <w:rFonts w:asciiTheme="minorHAnsi" w:hAnsiTheme="minorHAnsi" w:cstheme="minorHAnsi"/>
          <w:b w:val="0"/>
          <w:sz w:val="22"/>
        </w:rPr>
      </w:pPr>
    </w:p>
    <w:p w:rsidR="00A87052" w:rsidRPr="002F767E" w:rsidRDefault="00B1238A" w:rsidP="00A87052">
      <w:pPr>
        <w:jc w:val="left"/>
        <w:rPr>
          <w:rFonts w:asciiTheme="minorHAnsi" w:hAnsiTheme="minorHAnsi" w:cstheme="minorHAnsi"/>
          <w:b w:val="0"/>
          <w:sz w:val="22"/>
        </w:rPr>
      </w:pPr>
      <w:r w:rsidRPr="002F767E">
        <w:rPr>
          <w:rFonts w:asciiTheme="minorHAnsi" w:hAnsiTheme="minorHAnsi" w:cstheme="minorHAnsi"/>
          <w:b w:val="0"/>
          <w:sz w:val="22"/>
        </w:rPr>
        <w:t xml:space="preserve">1. </w:t>
      </w:r>
      <w:r w:rsidR="00C3581A" w:rsidRPr="002F767E">
        <w:rPr>
          <w:rFonts w:asciiTheme="minorHAnsi" w:hAnsiTheme="minorHAnsi" w:cstheme="minorHAnsi"/>
          <w:b w:val="0"/>
          <w:sz w:val="22"/>
        </w:rPr>
        <w:t>Consument A</w:t>
      </w:r>
      <w:r w:rsidR="005E5A8A" w:rsidRPr="002F767E">
        <w:rPr>
          <w:rFonts w:asciiTheme="minorHAnsi" w:hAnsiTheme="minorHAnsi" w:cstheme="minorHAnsi"/>
          <w:b w:val="0"/>
          <w:sz w:val="22"/>
        </w:rPr>
        <w:t xml:space="preserve"> koopt iets bij W</w:t>
      </w:r>
      <w:r w:rsidR="00C3581A" w:rsidRPr="002F767E">
        <w:rPr>
          <w:rFonts w:asciiTheme="minorHAnsi" w:hAnsiTheme="minorHAnsi" w:cstheme="minorHAnsi"/>
          <w:b w:val="0"/>
          <w:sz w:val="22"/>
        </w:rPr>
        <w:t xml:space="preserve">inkel B en geeft Bank 1 </w:t>
      </w:r>
      <w:r w:rsidR="005E5A8A" w:rsidRPr="002F767E">
        <w:rPr>
          <w:rFonts w:asciiTheme="minorHAnsi" w:hAnsiTheme="minorHAnsi" w:cstheme="minorHAnsi"/>
          <w:b w:val="0"/>
          <w:sz w:val="22"/>
        </w:rPr>
        <w:t xml:space="preserve">via pinbetaling </w:t>
      </w:r>
      <w:r w:rsidR="00C3581A" w:rsidRPr="002F767E">
        <w:rPr>
          <w:rFonts w:asciiTheme="minorHAnsi" w:hAnsiTheme="minorHAnsi" w:cstheme="minorHAnsi"/>
          <w:b w:val="0"/>
          <w:sz w:val="22"/>
        </w:rPr>
        <w:t>de opdracht om het geldbedrag over te maken.</w:t>
      </w:r>
    </w:p>
    <w:p w:rsidR="00C3581A" w:rsidRPr="002F767E" w:rsidRDefault="00C3581A" w:rsidP="00A87052">
      <w:pPr>
        <w:jc w:val="left"/>
        <w:rPr>
          <w:rFonts w:asciiTheme="minorHAnsi" w:hAnsiTheme="minorHAnsi" w:cstheme="minorHAnsi"/>
          <w:b w:val="0"/>
          <w:sz w:val="22"/>
        </w:rPr>
      </w:pPr>
    </w:p>
    <w:p w:rsidR="00C3581A" w:rsidRPr="002F767E" w:rsidRDefault="00C3581A" w:rsidP="00A87052">
      <w:pPr>
        <w:jc w:val="left"/>
        <w:rPr>
          <w:rFonts w:asciiTheme="minorHAnsi" w:hAnsiTheme="minorHAnsi" w:cstheme="minorHAnsi"/>
          <w:b w:val="0"/>
          <w:sz w:val="22"/>
        </w:rPr>
      </w:pPr>
      <w:r w:rsidRPr="002F767E">
        <w:rPr>
          <w:rFonts w:asciiTheme="minorHAnsi" w:hAnsiTheme="minorHAnsi" w:cstheme="minorHAnsi"/>
          <w:b w:val="0"/>
          <w:sz w:val="22"/>
        </w:rPr>
        <w:t xml:space="preserve">2. </w:t>
      </w:r>
      <w:r w:rsidR="00B06B5B" w:rsidRPr="002F767E">
        <w:rPr>
          <w:rFonts w:asciiTheme="minorHAnsi" w:hAnsiTheme="minorHAnsi" w:cstheme="minorHAnsi"/>
          <w:b w:val="0"/>
          <w:sz w:val="22"/>
        </w:rPr>
        <w:t xml:space="preserve">Bank 1 debiteert de </w:t>
      </w:r>
      <w:r w:rsidR="005E5A8A" w:rsidRPr="002F767E">
        <w:rPr>
          <w:rFonts w:asciiTheme="minorHAnsi" w:hAnsiTheme="minorHAnsi" w:cstheme="minorHAnsi"/>
          <w:b w:val="0"/>
          <w:sz w:val="22"/>
        </w:rPr>
        <w:t>rekening van C</w:t>
      </w:r>
      <w:r w:rsidR="00B06B5B" w:rsidRPr="002F767E">
        <w:rPr>
          <w:rFonts w:asciiTheme="minorHAnsi" w:hAnsiTheme="minorHAnsi" w:cstheme="minorHAnsi"/>
          <w:b w:val="0"/>
          <w:sz w:val="22"/>
        </w:rPr>
        <w:t>onsument A.</w:t>
      </w:r>
    </w:p>
    <w:p w:rsidR="00B1238A" w:rsidRPr="002F767E" w:rsidRDefault="00B1238A" w:rsidP="00A87052">
      <w:pPr>
        <w:jc w:val="left"/>
        <w:rPr>
          <w:rFonts w:asciiTheme="minorHAnsi" w:hAnsiTheme="minorHAnsi" w:cstheme="minorHAnsi"/>
          <w:b w:val="0"/>
          <w:sz w:val="22"/>
        </w:rPr>
      </w:pPr>
    </w:p>
    <w:p w:rsidR="00B06B5B" w:rsidRPr="002F767E" w:rsidRDefault="00B06B5B" w:rsidP="00A87052">
      <w:pPr>
        <w:jc w:val="left"/>
        <w:rPr>
          <w:rFonts w:asciiTheme="minorHAnsi" w:hAnsiTheme="minorHAnsi" w:cstheme="minorHAnsi"/>
          <w:b w:val="0"/>
          <w:sz w:val="22"/>
        </w:rPr>
      </w:pPr>
      <w:r w:rsidRPr="002F767E">
        <w:rPr>
          <w:rFonts w:asciiTheme="minorHAnsi" w:hAnsiTheme="minorHAnsi" w:cstheme="minorHAnsi"/>
          <w:b w:val="0"/>
          <w:sz w:val="22"/>
        </w:rPr>
        <w:t xml:space="preserve">3. </w:t>
      </w:r>
      <w:r w:rsidR="00065686" w:rsidRPr="002F767E">
        <w:rPr>
          <w:rFonts w:asciiTheme="minorHAnsi" w:hAnsiTheme="minorHAnsi" w:cstheme="minorHAnsi"/>
          <w:b w:val="0"/>
          <w:sz w:val="22"/>
        </w:rPr>
        <w:t xml:space="preserve">Het geldbedrag van </w:t>
      </w:r>
      <w:r w:rsidR="005E5A8A" w:rsidRPr="002F767E">
        <w:rPr>
          <w:rFonts w:asciiTheme="minorHAnsi" w:hAnsiTheme="minorHAnsi" w:cstheme="minorHAnsi"/>
          <w:b w:val="0"/>
          <w:sz w:val="22"/>
        </w:rPr>
        <w:t>C</w:t>
      </w:r>
      <w:r w:rsidR="00065686" w:rsidRPr="002F767E">
        <w:rPr>
          <w:rFonts w:asciiTheme="minorHAnsi" w:hAnsiTheme="minorHAnsi" w:cstheme="minorHAnsi"/>
          <w:b w:val="0"/>
          <w:sz w:val="22"/>
        </w:rPr>
        <w:t>onsument A wordt ontvangen door Bank 2.</w:t>
      </w:r>
    </w:p>
    <w:p w:rsidR="00065686" w:rsidRPr="002F767E" w:rsidRDefault="00065686" w:rsidP="00A87052">
      <w:pPr>
        <w:jc w:val="left"/>
        <w:rPr>
          <w:rFonts w:asciiTheme="minorHAnsi" w:hAnsiTheme="minorHAnsi" w:cstheme="minorHAnsi"/>
          <w:b w:val="0"/>
          <w:sz w:val="22"/>
        </w:rPr>
      </w:pPr>
    </w:p>
    <w:p w:rsidR="00065686" w:rsidRPr="002F767E" w:rsidRDefault="00065686" w:rsidP="00A87052">
      <w:pPr>
        <w:jc w:val="left"/>
        <w:rPr>
          <w:rFonts w:asciiTheme="minorHAnsi" w:hAnsiTheme="minorHAnsi" w:cstheme="minorHAnsi"/>
          <w:b w:val="0"/>
          <w:sz w:val="22"/>
        </w:rPr>
      </w:pPr>
      <w:r w:rsidRPr="002F767E">
        <w:rPr>
          <w:rFonts w:asciiTheme="minorHAnsi" w:hAnsiTheme="minorHAnsi" w:cstheme="minorHAnsi"/>
          <w:b w:val="0"/>
          <w:sz w:val="22"/>
        </w:rPr>
        <w:t>4. Het geldbedrag wordt gecrediteerd op de r</w:t>
      </w:r>
      <w:r w:rsidR="005E5A8A" w:rsidRPr="002F767E">
        <w:rPr>
          <w:rFonts w:asciiTheme="minorHAnsi" w:hAnsiTheme="minorHAnsi" w:cstheme="minorHAnsi"/>
          <w:b w:val="0"/>
          <w:sz w:val="22"/>
        </w:rPr>
        <w:t>ekening van Wi</w:t>
      </w:r>
      <w:r w:rsidRPr="002F767E">
        <w:rPr>
          <w:rFonts w:asciiTheme="minorHAnsi" w:hAnsiTheme="minorHAnsi" w:cstheme="minorHAnsi"/>
          <w:b w:val="0"/>
          <w:sz w:val="22"/>
        </w:rPr>
        <w:t>nkel B.</w:t>
      </w:r>
    </w:p>
    <w:p w:rsidR="00B1238A" w:rsidRDefault="00B1238A" w:rsidP="00B1238A">
      <w:pPr>
        <w:jc w:val="left"/>
        <w:rPr>
          <w:rFonts w:asciiTheme="minorHAnsi" w:hAnsiTheme="minorHAnsi" w:cstheme="minorHAnsi"/>
          <w:b w:val="0"/>
          <w:sz w:val="20"/>
        </w:rPr>
      </w:pPr>
    </w:p>
    <w:p w:rsidR="00B1238A" w:rsidRPr="00731505" w:rsidRDefault="00731505" w:rsidP="00A87052">
      <w:pPr>
        <w:jc w:val="left"/>
        <w:rPr>
          <w:rFonts w:asciiTheme="minorHAnsi" w:hAnsiTheme="minorHAnsi" w:cstheme="minorHAnsi"/>
          <w:b w:val="0"/>
          <w:i/>
          <w:sz w:val="16"/>
        </w:rPr>
      </w:pPr>
      <w:r>
        <w:rPr>
          <w:rFonts w:asciiTheme="minorHAnsi" w:hAnsiTheme="minorHAnsi" w:cstheme="minorHAnsi"/>
          <w:b w:val="0"/>
          <w:i/>
          <w:sz w:val="20"/>
        </w:rPr>
        <w:tab/>
      </w:r>
      <w:r>
        <w:rPr>
          <w:rFonts w:asciiTheme="minorHAnsi" w:hAnsiTheme="minorHAnsi" w:cstheme="minorHAnsi"/>
          <w:b w:val="0"/>
          <w:i/>
          <w:sz w:val="20"/>
        </w:rPr>
        <w:tab/>
      </w:r>
      <w:r>
        <w:rPr>
          <w:rFonts w:asciiTheme="minorHAnsi" w:hAnsiTheme="minorHAnsi" w:cstheme="minorHAnsi"/>
          <w:b w:val="0"/>
          <w:i/>
          <w:sz w:val="20"/>
        </w:rPr>
        <w:tab/>
      </w:r>
      <w:r>
        <w:rPr>
          <w:rFonts w:asciiTheme="minorHAnsi" w:hAnsiTheme="minorHAnsi" w:cstheme="minorHAnsi"/>
          <w:b w:val="0"/>
          <w:i/>
          <w:sz w:val="20"/>
        </w:rPr>
        <w:tab/>
      </w:r>
      <w:r>
        <w:rPr>
          <w:rFonts w:asciiTheme="minorHAnsi" w:hAnsiTheme="minorHAnsi" w:cstheme="minorHAnsi"/>
          <w:b w:val="0"/>
          <w:i/>
          <w:sz w:val="20"/>
        </w:rPr>
        <w:tab/>
      </w:r>
      <w:r>
        <w:rPr>
          <w:rFonts w:asciiTheme="minorHAnsi" w:hAnsiTheme="minorHAnsi" w:cstheme="minorHAnsi"/>
          <w:b w:val="0"/>
          <w:i/>
          <w:sz w:val="20"/>
        </w:rPr>
        <w:tab/>
      </w:r>
      <w:r>
        <w:rPr>
          <w:rFonts w:asciiTheme="minorHAnsi" w:hAnsiTheme="minorHAnsi" w:cstheme="minorHAnsi"/>
          <w:b w:val="0"/>
          <w:i/>
          <w:sz w:val="20"/>
        </w:rPr>
        <w:tab/>
      </w:r>
      <w:r>
        <w:rPr>
          <w:rFonts w:asciiTheme="minorHAnsi" w:hAnsiTheme="minorHAnsi" w:cstheme="minorHAnsi"/>
          <w:b w:val="0"/>
          <w:i/>
          <w:sz w:val="16"/>
        </w:rPr>
        <w:t>Afbeelding 2</w:t>
      </w:r>
    </w:p>
    <w:p w:rsidR="00B1238A" w:rsidRDefault="00B1238A" w:rsidP="00A87052">
      <w:pPr>
        <w:jc w:val="left"/>
        <w:rPr>
          <w:rFonts w:asciiTheme="minorHAnsi" w:hAnsiTheme="minorHAnsi" w:cstheme="minorHAnsi"/>
          <w:b w:val="0"/>
          <w:sz w:val="20"/>
          <w:u w:val="single"/>
        </w:rPr>
      </w:pPr>
    </w:p>
    <w:p w:rsidR="00731505" w:rsidRDefault="00731505" w:rsidP="00A87052">
      <w:pPr>
        <w:jc w:val="left"/>
        <w:rPr>
          <w:rFonts w:asciiTheme="minorHAnsi" w:hAnsiTheme="minorHAnsi" w:cstheme="minorHAnsi"/>
          <w:b w:val="0"/>
          <w:sz w:val="20"/>
          <w:szCs w:val="20"/>
          <w:u w:val="single"/>
        </w:rPr>
      </w:pPr>
    </w:p>
    <w:p w:rsidR="00B1238A" w:rsidRPr="002F767E" w:rsidRDefault="00EB1B2A" w:rsidP="00A87052">
      <w:pPr>
        <w:jc w:val="left"/>
        <w:rPr>
          <w:rFonts w:asciiTheme="minorHAnsi" w:hAnsiTheme="minorHAnsi" w:cstheme="minorHAnsi"/>
          <w:b w:val="0"/>
          <w:sz w:val="22"/>
          <w:szCs w:val="22"/>
          <w:u w:val="single"/>
        </w:rPr>
      </w:pPr>
      <w:r w:rsidRPr="002F767E">
        <w:rPr>
          <w:rFonts w:asciiTheme="minorHAnsi" w:hAnsiTheme="minorHAnsi" w:cstheme="minorHAnsi"/>
          <w:b w:val="0"/>
          <w:sz w:val="22"/>
          <w:szCs w:val="22"/>
          <w:u w:val="single"/>
        </w:rPr>
        <w:t xml:space="preserve">§1.1 </w:t>
      </w:r>
      <w:r w:rsidR="00B1238A" w:rsidRPr="002F767E">
        <w:rPr>
          <w:rFonts w:asciiTheme="minorHAnsi" w:hAnsiTheme="minorHAnsi" w:cstheme="minorHAnsi"/>
          <w:b w:val="0"/>
          <w:sz w:val="22"/>
          <w:szCs w:val="22"/>
          <w:u w:val="single"/>
        </w:rPr>
        <w:t>Pandrecht vestigen</w:t>
      </w:r>
    </w:p>
    <w:p w:rsidR="00A87052" w:rsidRPr="002F767E" w:rsidRDefault="00A87052" w:rsidP="00A87052">
      <w:pPr>
        <w:jc w:val="left"/>
        <w:rPr>
          <w:rFonts w:asciiTheme="minorHAnsi" w:hAnsiTheme="minorHAnsi" w:cstheme="minorHAnsi"/>
          <w:b w:val="0"/>
          <w:sz w:val="22"/>
          <w:szCs w:val="22"/>
        </w:rPr>
      </w:pPr>
      <w:r w:rsidRPr="002F767E">
        <w:rPr>
          <w:rFonts w:asciiTheme="minorHAnsi" w:hAnsiTheme="minorHAnsi" w:cstheme="minorHAnsi"/>
          <w:b w:val="0"/>
          <w:sz w:val="22"/>
          <w:szCs w:val="22"/>
        </w:rPr>
        <w:t>Om op een vordering die wordt voldaan door een pintransactie (hierna: pinvordering) een pandrecht te vestigen is het noodzakelijk dat er een vordering ontstaat van de winkel op de consument. De vordering zal vaak voortvloeien uit een koopovereenkomst. De winkel doet in dit geval een aanbod door schoenen te koop te zetten en de consument doet een aanvaarding door de schoenen bij de kassa af te rekenen. De winkel is zodoende verplicht tot levering van de schoenen en de consument tot betaling ervan. Zo lang de betaling van de consument voor de schoenen niet gecrediteerd is op de bankrekening van de schoene</w:t>
      </w:r>
      <w:r w:rsidR="00E35DE7" w:rsidRPr="002F767E">
        <w:rPr>
          <w:rFonts w:asciiTheme="minorHAnsi" w:hAnsiTheme="minorHAnsi" w:cstheme="minorHAnsi"/>
          <w:b w:val="0"/>
          <w:sz w:val="22"/>
          <w:szCs w:val="22"/>
        </w:rPr>
        <w:t>nwinkel, is er een vordering die</w:t>
      </w:r>
      <w:r w:rsidRPr="002F767E">
        <w:rPr>
          <w:rFonts w:asciiTheme="minorHAnsi" w:hAnsiTheme="minorHAnsi" w:cstheme="minorHAnsi"/>
          <w:b w:val="0"/>
          <w:sz w:val="22"/>
          <w:szCs w:val="22"/>
        </w:rPr>
        <w:t xml:space="preserve"> vatbaar is voor verpanding.</w:t>
      </w:r>
      <w:r w:rsidRPr="002F767E">
        <w:rPr>
          <w:rStyle w:val="Voetnootmarkering"/>
          <w:rFonts w:asciiTheme="minorHAnsi" w:hAnsiTheme="minorHAnsi" w:cstheme="minorHAnsi"/>
          <w:b w:val="0"/>
          <w:sz w:val="22"/>
          <w:szCs w:val="22"/>
        </w:rPr>
        <w:footnoteReference w:id="45"/>
      </w:r>
    </w:p>
    <w:p w:rsidR="00A87052" w:rsidRPr="002F767E" w:rsidRDefault="00A87052" w:rsidP="00A87052">
      <w:pPr>
        <w:jc w:val="left"/>
        <w:rPr>
          <w:rFonts w:asciiTheme="minorHAnsi" w:hAnsiTheme="minorHAnsi" w:cstheme="minorHAnsi"/>
          <w:b w:val="0"/>
          <w:sz w:val="22"/>
          <w:szCs w:val="22"/>
        </w:rPr>
      </w:pPr>
    </w:p>
    <w:p w:rsidR="00A87052" w:rsidRPr="002F767E" w:rsidRDefault="00A87052" w:rsidP="00A87052">
      <w:pPr>
        <w:jc w:val="left"/>
        <w:rPr>
          <w:rFonts w:asciiTheme="minorHAnsi" w:hAnsiTheme="minorHAnsi" w:cstheme="minorHAnsi"/>
          <w:b w:val="0"/>
          <w:sz w:val="22"/>
          <w:szCs w:val="22"/>
        </w:rPr>
      </w:pPr>
      <w:r w:rsidRPr="002F767E">
        <w:rPr>
          <w:rFonts w:asciiTheme="minorHAnsi" w:hAnsiTheme="minorHAnsi" w:cstheme="minorHAnsi"/>
          <w:b w:val="0"/>
          <w:sz w:val="22"/>
          <w:szCs w:val="22"/>
        </w:rPr>
        <w:t xml:space="preserve">Op het moment dat de vordering </w:t>
      </w:r>
      <w:r w:rsidR="003D0123" w:rsidRPr="002F767E">
        <w:rPr>
          <w:rFonts w:asciiTheme="minorHAnsi" w:hAnsiTheme="minorHAnsi" w:cstheme="minorHAnsi"/>
          <w:b w:val="0"/>
          <w:sz w:val="22"/>
          <w:szCs w:val="22"/>
        </w:rPr>
        <w:t xml:space="preserve">die de winkel op de consument heeft </w:t>
      </w:r>
      <w:r w:rsidRPr="002F767E">
        <w:rPr>
          <w:rFonts w:asciiTheme="minorHAnsi" w:hAnsiTheme="minorHAnsi" w:cstheme="minorHAnsi"/>
          <w:b w:val="0"/>
          <w:sz w:val="22"/>
          <w:szCs w:val="22"/>
        </w:rPr>
        <w:t xml:space="preserve">wordt betaald en dus is voltooid, zal het pandrecht teniet gaan, artikel 3:82 lid 2 BW. Er wordt </w:t>
      </w:r>
      <w:r w:rsidR="003D0123" w:rsidRPr="002F767E">
        <w:rPr>
          <w:rFonts w:asciiTheme="minorHAnsi" w:hAnsiTheme="minorHAnsi" w:cstheme="minorHAnsi"/>
          <w:b w:val="0"/>
          <w:sz w:val="22"/>
          <w:szCs w:val="22"/>
        </w:rPr>
        <w:t>zodoende</w:t>
      </w:r>
      <w:r w:rsidRPr="002F767E">
        <w:rPr>
          <w:rFonts w:asciiTheme="minorHAnsi" w:hAnsiTheme="minorHAnsi" w:cstheme="minorHAnsi"/>
          <w:b w:val="0"/>
          <w:sz w:val="22"/>
          <w:szCs w:val="22"/>
        </w:rPr>
        <w:t xml:space="preserve"> geen pandrecht op de pintransactie gevestigd, maar op de vordering die de winkel op de consument heeft. Voor vestigen van een pandrecht is het dus belangrijk om vast te stellen wat het moment van voltooiing van de vordering is. Bij een contante betaling is dit het moment dat de consument het geld aan de caissière overhandigt, bij een pinbetaling kan </w:t>
      </w:r>
      <w:r w:rsidR="00E35DE7" w:rsidRPr="002F767E">
        <w:rPr>
          <w:rFonts w:asciiTheme="minorHAnsi" w:hAnsiTheme="minorHAnsi" w:cstheme="minorHAnsi"/>
          <w:b w:val="0"/>
          <w:sz w:val="22"/>
          <w:szCs w:val="22"/>
        </w:rPr>
        <w:t>het moment van voltooiing van de vordering</w:t>
      </w:r>
      <w:r w:rsidRPr="002F767E">
        <w:rPr>
          <w:rFonts w:asciiTheme="minorHAnsi" w:hAnsiTheme="minorHAnsi" w:cstheme="minorHAnsi"/>
          <w:b w:val="0"/>
          <w:sz w:val="22"/>
          <w:szCs w:val="22"/>
        </w:rPr>
        <w:t xml:space="preserve"> echter een dag later zijn. Indien de vordering meteen is voldaan op het moment dat de consument in de winkel afrekent, dan is er geen tijd om een pandrecht te vestigen op die vordering.</w:t>
      </w:r>
      <w:r w:rsidRPr="002F767E">
        <w:rPr>
          <w:rStyle w:val="Voetnootmarkering"/>
          <w:rFonts w:asciiTheme="minorHAnsi" w:hAnsiTheme="minorHAnsi" w:cstheme="minorHAnsi"/>
          <w:b w:val="0"/>
          <w:sz w:val="22"/>
          <w:szCs w:val="22"/>
        </w:rPr>
        <w:footnoteReference w:id="46"/>
      </w:r>
    </w:p>
    <w:p w:rsidR="00A87052" w:rsidRPr="002F767E" w:rsidRDefault="00A87052" w:rsidP="00A87052">
      <w:pPr>
        <w:jc w:val="left"/>
        <w:rPr>
          <w:rFonts w:asciiTheme="minorHAnsi" w:hAnsiTheme="minorHAnsi" w:cstheme="minorHAnsi"/>
          <w:b w:val="0"/>
          <w:sz w:val="22"/>
          <w:szCs w:val="22"/>
        </w:rPr>
      </w:pPr>
    </w:p>
    <w:p w:rsidR="009701FE" w:rsidRPr="002F767E" w:rsidRDefault="009701FE" w:rsidP="009701FE">
      <w:pPr>
        <w:jc w:val="left"/>
        <w:rPr>
          <w:rFonts w:asciiTheme="minorHAnsi" w:hAnsiTheme="minorHAnsi" w:cstheme="minorHAnsi"/>
          <w:b w:val="0"/>
          <w:sz w:val="22"/>
          <w:szCs w:val="22"/>
          <w:u w:val="single"/>
        </w:rPr>
      </w:pPr>
      <w:r w:rsidRPr="002F767E">
        <w:rPr>
          <w:rFonts w:asciiTheme="minorHAnsi" w:hAnsiTheme="minorHAnsi" w:cstheme="minorHAnsi"/>
          <w:b w:val="0"/>
          <w:sz w:val="22"/>
          <w:szCs w:val="22"/>
          <w:u w:val="single"/>
        </w:rPr>
        <w:t>§1</w:t>
      </w:r>
      <w:r w:rsidR="00EB1B2A" w:rsidRPr="002F767E">
        <w:rPr>
          <w:rFonts w:asciiTheme="minorHAnsi" w:hAnsiTheme="minorHAnsi" w:cstheme="minorHAnsi"/>
          <w:b w:val="0"/>
          <w:sz w:val="22"/>
          <w:szCs w:val="22"/>
          <w:u w:val="single"/>
        </w:rPr>
        <w:t>.2</w:t>
      </w:r>
      <w:r w:rsidRPr="002F767E">
        <w:rPr>
          <w:rFonts w:asciiTheme="minorHAnsi" w:hAnsiTheme="minorHAnsi" w:cstheme="minorHAnsi"/>
          <w:b w:val="0"/>
          <w:sz w:val="22"/>
          <w:szCs w:val="22"/>
          <w:u w:val="single"/>
        </w:rPr>
        <w:t xml:space="preserve"> </w:t>
      </w:r>
      <w:r w:rsidR="00756554" w:rsidRPr="002F767E">
        <w:rPr>
          <w:rFonts w:asciiTheme="minorHAnsi" w:hAnsiTheme="minorHAnsi" w:cstheme="minorHAnsi"/>
          <w:b w:val="0"/>
          <w:sz w:val="22"/>
          <w:szCs w:val="22"/>
          <w:u w:val="single"/>
        </w:rPr>
        <w:t>De b</w:t>
      </w:r>
      <w:r w:rsidRPr="002F767E">
        <w:rPr>
          <w:rFonts w:asciiTheme="minorHAnsi" w:hAnsiTheme="minorHAnsi" w:cstheme="minorHAnsi"/>
          <w:b w:val="0"/>
          <w:sz w:val="22"/>
          <w:szCs w:val="22"/>
          <w:u w:val="single"/>
        </w:rPr>
        <w:t>anken</w:t>
      </w:r>
    </w:p>
    <w:p w:rsidR="00A87052" w:rsidRPr="002F767E" w:rsidRDefault="00A87052" w:rsidP="00A87052">
      <w:pPr>
        <w:jc w:val="left"/>
        <w:rPr>
          <w:rFonts w:asciiTheme="minorHAnsi" w:hAnsiTheme="minorHAnsi" w:cstheme="minorHAnsi"/>
          <w:b w:val="0"/>
          <w:sz w:val="22"/>
          <w:szCs w:val="22"/>
        </w:rPr>
      </w:pPr>
      <w:r w:rsidRPr="002F767E">
        <w:rPr>
          <w:rFonts w:asciiTheme="minorHAnsi" w:hAnsiTheme="minorHAnsi" w:cstheme="minorHAnsi"/>
          <w:b w:val="0"/>
          <w:sz w:val="22"/>
          <w:szCs w:val="22"/>
        </w:rPr>
        <w:t>Volgens De Nederlandsche Bank (hierna: DNB) en andere banken is men op zoek naar mogelijkh</w:t>
      </w:r>
      <w:r w:rsidR="00B2034E" w:rsidRPr="002F767E">
        <w:rPr>
          <w:rFonts w:asciiTheme="minorHAnsi" w:hAnsiTheme="minorHAnsi" w:cstheme="minorHAnsi"/>
          <w:b w:val="0"/>
          <w:sz w:val="22"/>
          <w:szCs w:val="22"/>
        </w:rPr>
        <w:t>eden om zeven dagen per wee</w:t>
      </w:r>
      <w:r w:rsidRPr="002F767E">
        <w:rPr>
          <w:rFonts w:asciiTheme="minorHAnsi" w:hAnsiTheme="minorHAnsi" w:cstheme="minorHAnsi"/>
          <w:b w:val="0"/>
          <w:sz w:val="22"/>
          <w:szCs w:val="22"/>
        </w:rPr>
        <w:t>k 365 dagen per jaar pinbetalingen te kunnen verwerken. Momenteel worden pinbetalingen alleen op werkdagen verwerkt. Dit houdt in dat in weekenden en op feestdagen geen pinbetalingen worden verwerkt. Deze pinbetalingen zullen pas de volgende werkdagen worden verwerkt. Het tijdstip waarop dat gebeurt verschilt per bank. De bank in de casus, de Rabobank</w:t>
      </w:r>
      <w:r w:rsidR="00B2034E" w:rsidRPr="002F767E">
        <w:rPr>
          <w:rFonts w:asciiTheme="minorHAnsi" w:hAnsiTheme="minorHAnsi" w:cstheme="minorHAnsi"/>
          <w:b w:val="0"/>
          <w:sz w:val="22"/>
          <w:szCs w:val="22"/>
        </w:rPr>
        <w:t>,</w:t>
      </w:r>
      <w:r w:rsidRPr="002F767E">
        <w:rPr>
          <w:rFonts w:asciiTheme="minorHAnsi" w:hAnsiTheme="minorHAnsi" w:cstheme="minorHAnsi"/>
          <w:b w:val="0"/>
          <w:sz w:val="22"/>
          <w:szCs w:val="22"/>
        </w:rPr>
        <w:t xml:space="preserve"> verwerkt pinbetalingen </w:t>
      </w:r>
      <w:r w:rsidR="003F7ECE" w:rsidRPr="002F767E">
        <w:rPr>
          <w:rFonts w:asciiTheme="minorHAnsi" w:hAnsiTheme="minorHAnsi" w:cstheme="minorHAnsi"/>
          <w:b w:val="0"/>
          <w:sz w:val="22"/>
          <w:szCs w:val="22"/>
        </w:rPr>
        <w:t>tussen</w:t>
      </w:r>
      <w:r w:rsidRPr="002F767E">
        <w:rPr>
          <w:rFonts w:asciiTheme="minorHAnsi" w:hAnsiTheme="minorHAnsi" w:cstheme="minorHAnsi"/>
          <w:b w:val="0"/>
          <w:sz w:val="22"/>
          <w:szCs w:val="22"/>
        </w:rPr>
        <w:t xml:space="preserve"> </w:t>
      </w:r>
      <w:r w:rsidR="00B2034E" w:rsidRPr="002F767E">
        <w:rPr>
          <w:rFonts w:asciiTheme="minorHAnsi" w:hAnsiTheme="minorHAnsi" w:cstheme="minorHAnsi"/>
          <w:b w:val="0"/>
          <w:sz w:val="22"/>
          <w:szCs w:val="22"/>
        </w:rPr>
        <w:t>bankrekeningen bij de</w:t>
      </w:r>
      <w:r w:rsidRPr="002F767E">
        <w:rPr>
          <w:rFonts w:asciiTheme="minorHAnsi" w:hAnsiTheme="minorHAnsi" w:cstheme="minorHAnsi"/>
          <w:b w:val="0"/>
          <w:sz w:val="22"/>
          <w:szCs w:val="22"/>
        </w:rPr>
        <w:t xml:space="preserve"> Rabobank </w:t>
      </w:r>
      <w:r w:rsidR="003F7ECE" w:rsidRPr="002F767E">
        <w:rPr>
          <w:rFonts w:asciiTheme="minorHAnsi" w:hAnsiTheme="minorHAnsi" w:cstheme="minorHAnsi"/>
          <w:b w:val="0"/>
          <w:sz w:val="22"/>
          <w:szCs w:val="22"/>
        </w:rPr>
        <w:t>zelf</w:t>
      </w:r>
      <w:r w:rsidRPr="002F767E">
        <w:rPr>
          <w:rFonts w:asciiTheme="minorHAnsi" w:hAnsiTheme="minorHAnsi" w:cstheme="minorHAnsi"/>
          <w:b w:val="0"/>
          <w:sz w:val="22"/>
          <w:szCs w:val="22"/>
        </w:rPr>
        <w:t xml:space="preserve"> direct.</w:t>
      </w:r>
      <w:r w:rsidRPr="002F767E">
        <w:rPr>
          <w:rStyle w:val="Voetnootmarkering"/>
          <w:rFonts w:asciiTheme="minorHAnsi" w:hAnsiTheme="minorHAnsi" w:cstheme="minorHAnsi"/>
          <w:b w:val="0"/>
          <w:sz w:val="22"/>
          <w:szCs w:val="22"/>
        </w:rPr>
        <w:footnoteReference w:id="47"/>
      </w:r>
      <w:r w:rsidRPr="002F767E">
        <w:rPr>
          <w:rFonts w:asciiTheme="minorHAnsi" w:hAnsiTheme="minorHAnsi" w:cstheme="minorHAnsi"/>
          <w:b w:val="0"/>
          <w:sz w:val="22"/>
          <w:szCs w:val="22"/>
        </w:rPr>
        <w:t xml:space="preserve"> </w:t>
      </w:r>
      <w:r w:rsidR="00FD7D68" w:rsidRPr="002F767E">
        <w:rPr>
          <w:rFonts w:asciiTheme="minorHAnsi" w:hAnsiTheme="minorHAnsi" w:cstheme="minorHAnsi"/>
          <w:b w:val="0"/>
          <w:sz w:val="22"/>
          <w:szCs w:val="22"/>
        </w:rPr>
        <w:t xml:space="preserve">Het beleid van de Rabobank is immers om transacties binnen haar eigen bank meteen te verwerken. De </w:t>
      </w:r>
      <w:r w:rsidR="00FD7D68" w:rsidRPr="002F767E">
        <w:rPr>
          <w:rFonts w:asciiTheme="minorHAnsi" w:hAnsiTheme="minorHAnsi" w:cstheme="minorHAnsi"/>
          <w:b w:val="0"/>
          <w:sz w:val="22"/>
          <w:szCs w:val="22"/>
        </w:rPr>
        <w:lastRenderedPageBreak/>
        <w:t xml:space="preserve">transactie is dus vrijwel direct gecrediteerd indien </w:t>
      </w:r>
      <w:r w:rsidR="00112E66" w:rsidRPr="002F767E">
        <w:rPr>
          <w:rFonts w:asciiTheme="minorHAnsi" w:hAnsiTheme="minorHAnsi" w:cstheme="minorHAnsi"/>
          <w:b w:val="0"/>
          <w:sz w:val="22"/>
          <w:szCs w:val="22"/>
        </w:rPr>
        <w:t xml:space="preserve">van </w:t>
      </w:r>
      <w:r w:rsidR="00FD7D68" w:rsidRPr="002F767E">
        <w:rPr>
          <w:rFonts w:asciiTheme="minorHAnsi" w:hAnsiTheme="minorHAnsi" w:cstheme="minorHAnsi"/>
          <w:b w:val="0"/>
          <w:sz w:val="22"/>
          <w:szCs w:val="22"/>
        </w:rPr>
        <w:t xml:space="preserve">de ene Rabobankrekening naar de andere Rabobankrekening een pintransactie in gang </w:t>
      </w:r>
      <w:r w:rsidR="00112E66" w:rsidRPr="002F767E">
        <w:rPr>
          <w:rFonts w:asciiTheme="minorHAnsi" w:hAnsiTheme="minorHAnsi" w:cstheme="minorHAnsi"/>
          <w:b w:val="0"/>
          <w:sz w:val="22"/>
          <w:szCs w:val="22"/>
        </w:rPr>
        <w:t>wordt ge</w:t>
      </w:r>
      <w:r w:rsidR="00FD7D68" w:rsidRPr="002F767E">
        <w:rPr>
          <w:rFonts w:asciiTheme="minorHAnsi" w:hAnsiTheme="minorHAnsi" w:cstheme="minorHAnsi"/>
          <w:b w:val="0"/>
          <w:sz w:val="22"/>
          <w:szCs w:val="22"/>
        </w:rPr>
        <w:t xml:space="preserve">zet. </w:t>
      </w:r>
      <w:r w:rsidR="003F7ECE" w:rsidRPr="002F767E">
        <w:rPr>
          <w:rFonts w:asciiTheme="minorHAnsi" w:hAnsiTheme="minorHAnsi" w:cstheme="minorHAnsi"/>
          <w:b w:val="0"/>
          <w:sz w:val="22"/>
          <w:szCs w:val="22"/>
        </w:rPr>
        <w:t>Echter, i</w:t>
      </w:r>
      <w:r w:rsidRPr="002F767E">
        <w:rPr>
          <w:rFonts w:asciiTheme="minorHAnsi" w:hAnsiTheme="minorHAnsi" w:cstheme="minorHAnsi"/>
          <w:b w:val="0"/>
          <w:sz w:val="22"/>
          <w:szCs w:val="22"/>
        </w:rPr>
        <w:t>ndien de pintransactie vanaf de ING bank naar Rabobank gaat dan geldt dat betalingen voor 21.00 uur dezelfde werkdag worden gecrediteerd en na 21.00 uur de volgende werkdag.</w:t>
      </w:r>
      <w:r w:rsidRPr="002F767E">
        <w:rPr>
          <w:rStyle w:val="Voetnootmarkering"/>
          <w:rFonts w:asciiTheme="minorHAnsi" w:hAnsiTheme="minorHAnsi" w:cstheme="minorHAnsi"/>
          <w:b w:val="0"/>
          <w:sz w:val="22"/>
          <w:szCs w:val="22"/>
        </w:rPr>
        <w:footnoteReference w:id="48"/>
      </w:r>
      <w:r w:rsidRPr="002F767E">
        <w:rPr>
          <w:rFonts w:asciiTheme="minorHAnsi" w:hAnsiTheme="minorHAnsi" w:cstheme="minorHAnsi"/>
          <w:b w:val="0"/>
          <w:sz w:val="22"/>
          <w:szCs w:val="22"/>
        </w:rPr>
        <w:t xml:space="preserve"> Pintransacties van de ABN Amro bank werken hetzelfde als de ING, alleen ligt de grens op 14.30 uur.</w:t>
      </w:r>
      <w:r w:rsidRPr="002F767E">
        <w:rPr>
          <w:rStyle w:val="Voetnootmarkering"/>
          <w:rFonts w:asciiTheme="minorHAnsi" w:hAnsiTheme="minorHAnsi" w:cstheme="minorHAnsi"/>
          <w:b w:val="0"/>
          <w:sz w:val="22"/>
          <w:szCs w:val="22"/>
        </w:rPr>
        <w:footnoteReference w:id="49"/>
      </w:r>
      <w:r w:rsidRPr="002F767E">
        <w:rPr>
          <w:rFonts w:asciiTheme="minorHAnsi" w:hAnsiTheme="minorHAnsi" w:cstheme="minorHAnsi"/>
          <w:b w:val="0"/>
          <w:sz w:val="22"/>
          <w:szCs w:val="22"/>
        </w:rPr>
        <w:t xml:space="preserve"> Pas op het moment dat de betaling door de bank is verwerkt is de vordering van de winkel op de consument voltooid. </w:t>
      </w:r>
      <w:r w:rsidR="00756554" w:rsidRPr="002F767E">
        <w:rPr>
          <w:rFonts w:asciiTheme="minorHAnsi" w:hAnsiTheme="minorHAnsi" w:cstheme="minorHAnsi"/>
          <w:b w:val="0"/>
          <w:sz w:val="22"/>
          <w:szCs w:val="22"/>
        </w:rPr>
        <w:t>In de tijd dat de</w:t>
      </w:r>
      <w:r w:rsidRPr="002F767E">
        <w:rPr>
          <w:rFonts w:asciiTheme="minorHAnsi" w:hAnsiTheme="minorHAnsi" w:cstheme="minorHAnsi"/>
          <w:b w:val="0"/>
          <w:sz w:val="22"/>
          <w:szCs w:val="22"/>
        </w:rPr>
        <w:t xml:space="preserve"> vordering nog openstaat is deze vatbaar voor verpanding.</w:t>
      </w:r>
      <w:r w:rsidRPr="002F767E">
        <w:rPr>
          <w:rStyle w:val="Voetnootmarkering"/>
          <w:rFonts w:asciiTheme="minorHAnsi" w:hAnsiTheme="minorHAnsi" w:cstheme="minorHAnsi"/>
          <w:b w:val="0"/>
          <w:sz w:val="22"/>
          <w:szCs w:val="22"/>
        </w:rPr>
        <w:footnoteReference w:id="50"/>
      </w:r>
    </w:p>
    <w:p w:rsidR="00A87052" w:rsidRPr="002F767E" w:rsidRDefault="00A87052" w:rsidP="00A87052">
      <w:pPr>
        <w:jc w:val="left"/>
        <w:rPr>
          <w:rFonts w:asciiTheme="minorHAnsi" w:hAnsiTheme="minorHAnsi" w:cstheme="minorHAnsi"/>
          <w:b w:val="0"/>
          <w:sz w:val="22"/>
          <w:szCs w:val="22"/>
        </w:rPr>
      </w:pPr>
    </w:p>
    <w:p w:rsidR="00A87052" w:rsidRPr="00570D50" w:rsidRDefault="00A87052" w:rsidP="00570D50">
      <w:pPr>
        <w:pStyle w:val="Kop2"/>
        <w:spacing w:before="0" w:beforeAutospacing="0" w:after="0" w:afterAutospacing="0"/>
        <w:rPr>
          <w:rFonts w:asciiTheme="minorHAnsi" w:hAnsiTheme="minorHAnsi" w:cstheme="minorHAnsi"/>
          <w:sz w:val="24"/>
          <w:szCs w:val="24"/>
        </w:rPr>
      </w:pPr>
      <w:bookmarkStart w:id="22" w:name="_Toc486246617"/>
      <w:r w:rsidRPr="00570D50">
        <w:rPr>
          <w:rFonts w:asciiTheme="minorHAnsi" w:hAnsiTheme="minorHAnsi" w:cstheme="minorHAnsi"/>
          <w:sz w:val="24"/>
          <w:szCs w:val="24"/>
        </w:rPr>
        <w:t>§2 Verzamelpandakte</w:t>
      </w:r>
      <w:bookmarkEnd w:id="22"/>
    </w:p>
    <w:p w:rsidR="00A87052" w:rsidRPr="002F767E" w:rsidRDefault="00A87052" w:rsidP="00A87052">
      <w:pPr>
        <w:jc w:val="left"/>
        <w:rPr>
          <w:rFonts w:asciiTheme="minorHAnsi" w:hAnsiTheme="minorHAnsi" w:cstheme="minorHAnsi"/>
          <w:b w:val="0"/>
          <w:sz w:val="22"/>
          <w:szCs w:val="22"/>
        </w:rPr>
      </w:pPr>
      <w:r w:rsidRPr="002F767E">
        <w:rPr>
          <w:rFonts w:asciiTheme="minorHAnsi" w:hAnsiTheme="minorHAnsi" w:cstheme="minorHAnsi"/>
          <w:b w:val="0"/>
          <w:sz w:val="22"/>
          <w:szCs w:val="22"/>
        </w:rPr>
        <w:t xml:space="preserve">Maar hoe vindt de verpanding van een pinvordering plaats. Zoals eerder aangehaald maken banken gebruik van zogenoemde verzamelpandakten. Dit doen banken omdat het niet haalbaar is om iedere vordering apart te verpanden. </w:t>
      </w:r>
      <w:r w:rsidR="007A1F1D" w:rsidRPr="002F767E">
        <w:rPr>
          <w:rFonts w:asciiTheme="minorHAnsi" w:hAnsiTheme="minorHAnsi" w:cstheme="minorHAnsi"/>
          <w:b w:val="0"/>
          <w:sz w:val="22"/>
          <w:szCs w:val="22"/>
        </w:rPr>
        <w:t xml:space="preserve">Met een verzamelpandakte kan een bank een pandrecht vestigen op niet nader gespecificeerde vorderingen, de vangnet- of </w:t>
      </w:r>
      <w:r w:rsidR="007A1F1D" w:rsidRPr="002F767E">
        <w:rPr>
          <w:rFonts w:asciiTheme="minorHAnsi" w:hAnsiTheme="minorHAnsi" w:cstheme="minorHAnsi"/>
          <w:b w:val="0"/>
          <w:i/>
          <w:sz w:val="22"/>
          <w:szCs w:val="22"/>
        </w:rPr>
        <w:t>catch-</w:t>
      </w:r>
      <w:proofErr w:type="spellStart"/>
      <w:r w:rsidR="007A1F1D" w:rsidRPr="002F767E">
        <w:rPr>
          <w:rFonts w:asciiTheme="minorHAnsi" w:hAnsiTheme="minorHAnsi" w:cstheme="minorHAnsi"/>
          <w:b w:val="0"/>
          <w:i/>
          <w:sz w:val="22"/>
          <w:szCs w:val="22"/>
        </w:rPr>
        <w:t>all</w:t>
      </w:r>
      <w:proofErr w:type="spellEnd"/>
      <w:r w:rsidR="007A1F1D" w:rsidRPr="002F767E">
        <w:rPr>
          <w:rFonts w:asciiTheme="minorHAnsi" w:hAnsiTheme="minorHAnsi" w:cstheme="minorHAnsi"/>
          <w:b w:val="0"/>
          <w:i/>
          <w:sz w:val="22"/>
          <w:szCs w:val="22"/>
        </w:rPr>
        <w:t>-</w:t>
      </w:r>
      <w:r w:rsidR="007A1F1D" w:rsidRPr="002F767E">
        <w:rPr>
          <w:rFonts w:asciiTheme="minorHAnsi" w:hAnsiTheme="minorHAnsi" w:cstheme="minorHAnsi"/>
          <w:b w:val="0"/>
          <w:sz w:val="22"/>
          <w:szCs w:val="22"/>
        </w:rPr>
        <w:t>clausule.</w:t>
      </w:r>
      <w:r w:rsidR="00EA4E0E" w:rsidRPr="002F767E">
        <w:rPr>
          <w:rFonts w:asciiTheme="minorHAnsi" w:hAnsiTheme="minorHAnsi" w:cstheme="minorHAnsi"/>
          <w:b w:val="0"/>
          <w:sz w:val="22"/>
          <w:szCs w:val="22"/>
        </w:rPr>
        <w:t xml:space="preserve"> I</w:t>
      </w:r>
      <w:r w:rsidRPr="002F767E">
        <w:rPr>
          <w:rFonts w:asciiTheme="minorHAnsi" w:hAnsiTheme="minorHAnsi" w:cstheme="minorHAnsi"/>
          <w:b w:val="0"/>
          <w:sz w:val="22"/>
          <w:szCs w:val="22"/>
        </w:rPr>
        <w:t xml:space="preserve">n </w:t>
      </w:r>
      <w:r w:rsidR="000D4F87" w:rsidRPr="002F767E">
        <w:rPr>
          <w:rFonts w:asciiTheme="minorHAnsi" w:hAnsiTheme="minorHAnsi" w:cstheme="minorHAnsi"/>
          <w:b w:val="0"/>
          <w:sz w:val="22"/>
          <w:szCs w:val="22"/>
        </w:rPr>
        <w:t>een</w:t>
      </w:r>
      <w:r w:rsidRPr="002F767E">
        <w:rPr>
          <w:rFonts w:asciiTheme="minorHAnsi" w:hAnsiTheme="minorHAnsi" w:cstheme="minorHAnsi"/>
          <w:b w:val="0"/>
          <w:sz w:val="22"/>
          <w:szCs w:val="22"/>
        </w:rPr>
        <w:t xml:space="preserve"> verzamelpandakte kunnen </w:t>
      </w:r>
      <w:r w:rsidR="00EA4E0E" w:rsidRPr="002F767E">
        <w:rPr>
          <w:rFonts w:asciiTheme="minorHAnsi" w:hAnsiTheme="minorHAnsi" w:cstheme="minorHAnsi"/>
          <w:b w:val="0"/>
          <w:sz w:val="22"/>
          <w:szCs w:val="22"/>
        </w:rPr>
        <w:t>zowel</w:t>
      </w:r>
      <w:r w:rsidRPr="002F767E">
        <w:rPr>
          <w:rFonts w:asciiTheme="minorHAnsi" w:hAnsiTheme="minorHAnsi" w:cstheme="minorHAnsi"/>
          <w:b w:val="0"/>
          <w:sz w:val="22"/>
          <w:szCs w:val="22"/>
        </w:rPr>
        <w:t xml:space="preserve"> bestaande</w:t>
      </w:r>
      <w:r w:rsidR="00EA4E0E" w:rsidRPr="002F767E">
        <w:rPr>
          <w:rFonts w:asciiTheme="minorHAnsi" w:hAnsiTheme="minorHAnsi" w:cstheme="minorHAnsi"/>
          <w:b w:val="0"/>
          <w:sz w:val="22"/>
          <w:szCs w:val="22"/>
        </w:rPr>
        <w:t xml:space="preserve"> als</w:t>
      </w:r>
      <w:r w:rsidRPr="002F767E">
        <w:rPr>
          <w:rFonts w:asciiTheme="minorHAnsi" w:hAnsiTheme="minorHAnsi" w:cstheme="minorHAnsi"/>
          <w:b w:val="0"/>
          <w:sz w:val="22"/>
          <w:szCs w:val="22"/>
        </w:rPr>
        <w:t xml:space="preserve"> relatief</w:t>
      </w:r>
      <w:r w:rsidR="00EA4E0E" w:rsidRPr="002F767E">
        <w:rPr>
          <w:rFonts w:asciiTheme="minorHAnsi" w:hAnsiTheme="minorHAnsi" w:cstheme="minorHAnsi"/>
          <w:b w:val="0"/>
          <w:sz w:val="22"/>
          <w:szCs w:val="22"/>
        </w:rPr>
        <w:t>- en absoluut</w:t>
      </w:r>
      <w:r w:rsidRPr="002F767E">
        <w:rPr>
          <w:rFonts w:asciiTheme="minorHAnsi" w:hAnsiTheme="minorHAnsi" w:cstheme="minorHAnsi"/>
          <w:b w:val="0"/>
          <w:sz w:val="22"/>
          <w:szCs w:val="22"/>
        </w:rPr>
        <w:t xml:space="preserve"> toekomstige vorderingen worden opgenomen</w:t>
      </w:r>
      <w:r w:rsidR="00EA4E0E" w:rsidRPr="002F767E">
        <w:rPr>
          <w:rFonts w:asciiTheme="minorHAnsi" w:hAnsiTheme="minorHAnsi" w:cstheme="minorHAnsi"/>
          <w:b w:val="0"/>
          <w:sz w:val="22"/>
          <w:szCs w:val="22"/>
        </w:rPr>
        <w:t xml:space="preserve">. Dit is in het arrest </w:t>
      </w:r>
      <w:proofErr w:type="spellStart"/>
      <w:r w:rsidR="00EA4E0E" w:rsidRPr="002F767E">
        <w:rPr>
          <w:rFonts w:asciiTheme="minorHAnsi" w:hAnsiTheme="minorHAnsi" w:cstheme="minorHAnsi"/>
          <w:b w:val="0"/>
          <w:sz w:val="22"/>
          <w:szCs w:val="22"/>
        </w:rPr>
        <w:t>arrest</w:t>
      </w:r>
      <w:proofErr w:type="spellEnd"/>
      <w:r w:rsidR="00EA4E0E" w:rsidRPr="002F767E">
        <w:rPr>
          <w:rFonts w:asciiTheme="minorHAnsi" w:hAnsiTheme="minorHAnsi" w:cstheme="minorHAnsi"/>
          <w:b w:val="0"/>
          <w:sz w:val="22"/>
          <w:szCs w:val="22"/>
        </w:rPr>
        <w:t xml:space="preserve"> </w:t>
      </w:r>
      <w:proofErr w:type="spellStart"/>
      <w:r w:rsidR="00EA4E0E" w:rsidRPr="002F767E">
        <w:rPr>
          <w:rFonts w:asciiTheme="minorHAnsi" w:hAnsiTheme="minorHAnsi" w:cstheme="minorHAnsi"/>
          <w:b w:val="0"/>
          <w:sz w:val="22"/>
          <w:szCs w:val="22"/>
        </w:rPr>
        <w:t>Dix</w:t>
      </w:r>
      <w:proofErr w:type="spellEnd"/>
      <w:r w:rsidR="00EA4E0E" w:rsidRPr="002F767E">
        <w:rPr>
          <w:rFonts w:asciiTheme="minorHAnsi" w:hAnsiTheme="minorHAnsi" w:cstheme="minorHAnsi"/>
          <w:b w:val="0"/>
          <w:sz w:val="22"/>
          <w:szCs w:val="22"/>
        </w:rPr>
        <w:t xml:space="preserve"> q.q./ING door de Hoge Raad bevestigd. De vorderingen worden zodoende van te voren verpand en worden bezwaard met het pandrecht op het moment dat ze ontstaan. De akte zorgt er voor dat al deze </w:t>
      </w:r>
      <w:r w:rsidRPr="002F767E">
        <w:rPr>
          <w:rFonts w:asciiTheme="minorHAnsi" w:hAnsiTheme="minorHAnsi" w:cstheme="minorHAnsi"/>
          <w:b w:val="0"/>
          <w:sz w:val="22"/>
          <w:szCs w:val="22"/>
        </w:rPr>
        <w:t>vorderingen in één keer worden verpand.</w:t>
      </w:r>
      <w:r w:rsidRPr="002F767E">
        <w:rPr>
          <w:rStyle w:val="Voetnootmarkering"/>
          <w:rFonts w:asciiTheme="minorHAnsi" w:hAnsiTheme="minorHAnsi" w:cstheme="minorHAnsi"/>
          <w:b w:val="0"/>
          <w:sz w:val="22"/>
          <w:szCs w:val="22"/>
        </w:rPr>
        <w:footnoteReference w:id="51"/>
      </w:r>
      <w:r w:rsidRPr="002F767E">
        <w:rPr>
          <w:rFonts w:asciiTheme="minorHAnsi" w:hAnsiTheme="minorHAnsi" w:cstheme="minorHAnsi"/>
          <w:b w:val="0"/>
          <w:sz w:val="22"/>
          <w:szCs w:val="22"/>
        </w:rPr>
        <w:t xml:space="preserve"> In de akte zelf is een volmacht voor verpanding opgenomen, waarmee de bank de vorderingen aan zichzelf kan verpanden. Het is verder niet</w:t>
      </w:r>
      <w:r w:rsidR="008976C4" w:rsidRPr="002F767E">
        <w:rPr>
          <w:rFonts w:asciiTheme="minorHAnsi" w:hAnsiTheme="minorHAnsi" w:cstheme="minorHAnsi"/>
          <w:b w:val="0"/>
          <w:sz w:val="22"/>
          <w:szCs w:val="22"/>
        </w:rPr>
        <w:t xml:space="preserve"> nodig om namen van consumenten</w:t>
      </w:r>
      <w:r w:rsidRPr="002F767E">
        <w:rPr>
          <w:rFonts w:asciiTheme="minorHAnsi" w:hAnsiTheme="minorHAnsi" w:cstheme="minorHAnsi"/>
          <w:b w:val="0"/>
          <w:sz w:val="22"/>
          <w:szCs w:val="22"/>
        </w:rPr>
        <w:t xml:space="preserve"> op wie een verpande vordering is gevestigd, te specificeren in de akte. Het is tevens onnodig om de vordering te specificeren. </w:t>
      </w:r>
      <w:r w:rsidR="008976C4" w:rsidRPr="002F767E">
        <w:rPr>
          <w:rFonts w:asciiTheme="minorHAnsi" w:hAnsiTheme="minorHAnsi" w:cstheme="minorHAnsi"/>
          <w:b w:val="0"/>
          <w:sz w:val="22"/>
          <w:szCs w:val="22"/>
        </w:rPr>
        <w:t>De bank zou deze gegevens immers niet kunnen specificeren, omdat het vaak om vorderingen draait die</w:t>
      </w:r>
      <w:r w:rsidR="00F04D6C" w:rsidRPr="002F767E">
        <w:rPr>
          <w:rFonts w:asciiTheme="minorHAnsi" w:hAnsiTheme="minorHAnsi" w:cstheme="minorHAnsi"/>
          <w:b w:val="0"/>
          <w:sz w:val="22"/>
          <w:szCs w:val="22"/>
        </w:rPr>
        <w:t xml:space="preserve"> in de</w:t>
      </w:r>
      <w:r w:rsidR="008976C4" w:rsidRPr="002F767E">
        <w:rPr>
          <w:rFonts w:asciiTheme="minorHAnsi" w:hAnsiTheme="minorHAnsi" w:cstheme="minorHAnsi"/>
          <w:b w:val="0"/>
          <w:sz w:val="22"/>
          <w:szCs w:val="22"/>
        </w:rPr>
        <w:t xml:space="preserve"> toekomst ontstaan</w:t>
      </w:r>
      <w:r w:rsidRPr="002F767E">
        <w:rPr>
          <w:rFonts w:asciiTheme="minorHAnsi" w:hAnsiTheme="minorHAnsi" w:cstheme="minorHAnsi"/>
          <w:b w:val="0"/>
          <w:sz w:val="22"/>
          <w:szCs w:val="22"/>
        </w:rPr>
        <w:t>.</w:t>
      </w:r>
      <w:r w:rsidRPr="002F767E">
        <w:rPr>
          <w:rStyle w:val="Voetnootmarkering"/>
          <w:rFonts w:asciiTheme="minorHAnsi" w:hAnsiTheme="minorHAnsi" w:cstheme="minorHAnsi"/>
          <w:b w:val="0"/>
          <w:sz w:val="22"/>
          <w:szCs w:val="22"/>
        </w:rPr>
        <w:footnoteReference w:id="52"/>
      </w:r>
    </w:p>
    <w:p w:rsidR="00A87052" w:rsidRPr="002F767E" w:rsidRDefault="00A87052" w:rsidP="00A87052">
      <w:pPr>
        <w:jc w:val="left"/>
        <w:rPr>
          <w:rFonts w:asciiTheme="minorHAnsi" w:hAnsiTheme="minorHAnsi" w:cstheme="minorHAnsi"/>
          <w:b w:val="0"/>
          <w:sz w:val="22"/>
          <w:szCs w:val="22"/>
        </w:rPr>
      </w:pPr>
    </w:p>
    <w:p w:rsidR="00A87052" w:rsidRPr="002F767E" w:rsidRDefault="00A87052" w:rsidP="00A87052">
      <w:pPr>
        <w:jc w:val="left"/>
        <w:rPr>
          <w:rFonts w:asciiTheme="minorHAnsi" w:hAnsiTheme="minorHAnsi" w:cstheme="minorHAnsi"/>
          <w:b w:val="0"/>
          <w:sz w:val="22"/>
          <w:szCs w:val="22"/>
        </w:rPr>
      </w:pPr>
      <w:r w:rsidRPr="002F767E">
        <w:rPr>
          <w:rFonts w:asciiTheme="minorHAnsi" w:hAnsiTheme="minorHAnsi" w:cstheme="minorHAnsi"/>
          <w:b w:val="0"/>
          <w:sz w:val="22"/>
          <w:szCs w:val="22"/>
        </w:rPr>
        <w:t xml:space="preserve">Zoals in </w:t>
      </w:r>
      <w:r w:rsidR="00B311CC" w:rsidRPr="002F767E">
        <w:rPr>
          <w:rFonts w:asciiTheme="minorHAnsi" w:hAnsiTheme="minorHAnsi" w:cstheme="minorHAnsi"/>
          <w:b w:val="0"/>
          <w:sz w:val="22"/>
          <w:szCs w:val="22"/>
        </w:rPr>
        <w:t>h</w:t>
      </w:r>
      <w:r w:rsidR="000D4F87" w:rsidRPr="002F767E">
        <w:rPr>
          <w:rFonts w:asciiTheme="minorHAnsi" w:hAnsiTheme="minorHAnsi" w:cstheme="minorHAnsi"/>
          <w:b w:val="0"/>
          <w:sz w:val="22"/>
          <w:szCs w:val="22"/>
        </w:rPr>
        <w:t>oofdstuk</w:t>
      </w:r>
      <w:r w:rsidR="00202B3C" w:rsidRPr="002F767E">
        <w:rPr>
          <w:rFonts w:asciiTheme="minorHAnsi" w:hAnsiTheme="minorHAnsi" w:cstheme="minorHAnsi"/>
          <w:b w:val="0"/>
          <w:sz w:val="22"/>
          <w:szCs w:val="22"/>
        </w:rPr>
        <w:t xml:space="preserve"> 2</w:t>
      </w:r>
      <w:r w:rsidRPr="002F767E">
        <w:rPr>
          <w:rFonts w:asciiTheme="minorHAnsi" w:hAnsiTheme="minorHAnsi" w:cstheme="minorHAnsi"/>
          <w:b w:val="0"/>
          <w:sz w:val="22"/>
          <w:szCs w:val="22"/>
        </w:rPr>
        <w:t xml:space="preserve"> al is benoemd, dient een verzamelpandakte ter registratie bij de Belastingdienst te worden aangeboden overeenkomend met de bepalingen uit de Uitvoeringsregeling Registratiewet om rechtsgeldig te zijn. </w:t>
      </w:r>
      <w:r w:rsidR="00924726" w:rsidRPr="002F767E">
        <w:rPr>
          <w:rFonts w:asciiTheme="minorHAnsi" w:hAnsiTheme="minorHAnsi" w:cstheme="minorHAnsi"/>
          <w:b w:val="0"/>
          <w:sz w:val="22"/>
          <w:szCs w:val="22"/>
        </w:rPr>
        <w:t>In de Uitvoeringsregeling Registratiewet wordt onderscheid gemaakt tussen onderhandse akten en notariële akten. Onderhandse akten dienen volgens de Uitvoeringsregeling bij de Belastingdienst te worden geregistreerd.</w:t>
      </w:r>
      <w:r w:rsidR="00EA6162" w:rsidRPr="002F767E">
        <w:rPr>
          <w:rFonts w:asciiTheme="minorHAnsi" w:hAnsiTheme="minorHAnsi" w:cstheme="minorHAnsi"/>
          <w:b w:val="0"/>
          <w:sz w:val="22"/>
          <w:szCs w:val="22"/>
        </w:rPr>
        <w:t xml:space="preserve"> </w:t>
      </w:r>
      <w:r w:rsidRPr="002F767E">
        <w:rPr>
          <w:rFonts w:asciiTheme="minorHAnsi" w:hAnsiTheme="minorHAnsi" w:cstheme="minorHAnsi"/>
          <w:b w:val="0"/>
          <w:sz w:val="22"/>
          <w:szCs w:val="22"/>
        </w:rPr>
        <w:t>De akte kan persoonlijk</w:t>
      </w:r>
      <w:r w:rsidR="00EA6162" w:rsidRPr="002F767E">
        <w:rPr>
          <w:rFonts w:asciiTheme="minorHAnsi" w:hAnsiTheme="minorHAnsi" w:cstheme="minorHAnsi"/>
          <w:b w:val="0"/>
          <w:sz w:val="22"/>
          <w:szCs w:val="22"/>
        </w:rPr>
        <w:t xml:space="preserve"> bij de Belastingdienst</w:t>
      </w:r>
      <w:r w:rsidRPr="002F767E">
        <w:rPr>
          <w:rFonts w:asciiTheme="minorHAnsi" w:hAnsiTheme="minorHAnsi" w:cstheme="minorHAnsi"/>
          <w:b w:val="0"/>
          <w:sz w:val="22"/>
          <w:szCs w:val="22"/>
        </w:rPr>
        <w:t xml:space="preserve"> worden afgegeven tussen 9.00 en 17.00 uur op werkdagen. De dag waarop de akte wordt afgegeven, wordt aangemerkt als de dag van registratie. Indien de akte na 17.00 uur wordt gebracht geldt de volgende werkdag. Indien de akte met de post wordt gestuurd geldt als dag van registratie de dag waarop de akte door de Belastingdienst is ontvangen.</w:t>
      </w:r>
      <w:r w:rsidRPr="002F767E">
        <w:rPr>
          <w:rStyle w:val="Voetnootmarkering"/>
          <w:rFonts w:asciiTheme="minorHAnsi" w:hAnsiTheme="minorHAnsi" w:cstheme="minorHAnsi"/>
          <w:b w:val="0"/>
          <w:sz w:val="22"/>
          <w:szCs w:val="22"/>
        </w:rPr>
        <w:footnoteReference w:id="53"/>
      </w:r>
      <w:r w:rsidRPr="002F767E">
        <w:rPr>
          <w:rFonts w:asciiTheme="minorHAnsi" w:hAnsiTheme="minorHAnsi" w:cstheme="minorHAnsi"/>
          <w:b w:val="0"/>
          <w:sz w:val="22"/>
          <w:szCs w:val="22"/>
        </w:rPr>
        <w:t xml:space="preserve"> De afdeling voor registratie bij de Belastingdienst is in het weekend en op feestdagen gesloten, zie artikel 12 Uitvoeringsregeling Registratiewet, op die dagen kan er zodoende geen pandrecht op de ontstane vorderingen worden gevestigd. Het zou wel mogelijk zijn om de vorderingen die in het weekend of op feestdagen ontstaan door middel van een authentieke akte bij de notaris te verpanden, artikel 3:239 lid 1 BW. De notaris zal dan zelf wel moeten werken op de betreffende dag.</w:t>
      </w:r>
      <w:r w:rsidRPr="002F767E">
        <w:rPr>
          <w:rStyle w:val="Voetnootmarkering"/>
          <w:rFonts w:asciiTheme="minorHAnsi" w:hAnsiTheme="minorHAnsi" w:cstheme="minorHAnsi"/>
          <w:b w:val="0"/>
          <w:sz w:val="22"/>
          <w:szCs w:val="22"/>
        </w:rPr>
        <w:footnoteReference w:id="54"/>
      </w:r>
    </w:p>
    <w:p w:rsidR="00A87052" w:rsidRPr="002F767E" w:rsidRDefault="00A87052" w:rsidP="00A87052">
      <w:pPr>
        <w:jc w:val="left"/>
        <w:rPr>
          <w:rFonts w:asciiTheme="minorHAnsi" w:hAnsiTheme="minorHAnsi" w:cstheme="minorHAnsi"/>
          <w:b w:val="0"/>
          <w:sz w:val="22"/>
          <w:szCs w:val="22"/>
        </w:rPr>
      </w:pPr>
    </w:p>
    <w:p w:rsidR="00A87052" w:rsidRPr="002F767E" w:rsidRDefault="00A87052" w:rsidP="00A87052">
      <w:pPr>
        <w:jc w:val="left"/>
        <w:rPr>
          <w:rFonts w:asciiTheme="minorHAnsi" w:hAnsiTheme="minorHAnsi" w:cstheme="minorHAnsi"/>
          <w:b w:val="0"/>
          <w:sz w:val="22"/>
          <w:szCs w:val="22"/>
        </w:rPr>
      </w:pPr>
      <w:r w:rsidRPr="002F767E">
        <w:rPr>
          <w:rFonts w:asciiTheme="minorHAnsi" w:hAnsiTheme="minorHAnsi" w:cstheme="minorHAnsi"/>
          <w:b w:val="0"/>
          <w:sz w:val="22"/>
          <w:szCs w:val="22"/>
        </w:rPr>
        <w:t xml:space="preserve">Nadat de registratie van de akte bij de Belastingdienst heeft plaatsgevonden, zal de Belastingdienst de akte per post terugsturen met daarop de plaats en datum van registratie. Het tijdstip van registratie wordt niet vermeld, artikel 13 Uitvoeringsregeling Registratiewet, de registratie geldt daardoor voor de gehele dag. Zodoende vallen alle vorderingen die op de dag van registratie zijn ontstaan onder het pandrecht, tevens vorderingen die na 17:00 zijn ontstaan op bijvoorbeeld koopavond. In het weekend en op feestdagen kunnen vorderingen echter niet worden geregistreerd </w:t>
      </w:r>
      <w:r w:rsidRPr="002F767E">
        <w:rPr>
          <w:rFonts w:asciiTheme="minorHAnsi" w:hAnsiTheme="minorHAnsi" w:cstheme="minorHAnsi"/>
          <w:b w:val="0"/>
          <w:sz w:val="22"/>
          <w:szCs w:val="22"/>
        </w:rPr>
        <w:lastRenderedPageBreak/>
        <w:t>bij de Belastingdienst, artikel 12 Uitvoeringsregeling Registratiewet.</w:t>
      </w:r>
      <w:r w:rsidRPr="002F767E">
        <w:rPr>
          <w:rStyle w:val="Voetnootmarkering"/>
          <w:rFonts w:asciiTheme="minorHAnsi" w:hAnsiTheme="minorHAnsi" w:cstheme="minorHAnsi"/>
          <w:b w:val="0"/>
          <w:sz w:val="22"/>
          <w:szCs w:val="22"/>
        </w:rPr>
        <w:footnoteReference w:id="55"/>
      </w:r>
      <w:r w:rsidRPr="002F767E">
        <w:rPr>
          <w:rFonts w:asciiTheme="minorHAnsi" w:hAnsiTheme="minorHAnsi" w:cstheme="minorHAnsi"/>
          <w:b w:val="0"/>
          <w:sz w:val="22"/>
          <w:szCs w:val="22"/>
        </w:rPr>
        <w:t xml:space="preserve"> Op die dagen ontstaan </w:t>
      </w:r>
      <w:r w:rsidR="00EA6162" w:rsidRPr="002F767E">
        <w:rPr>
          <w:rFonts w:asciiTheme="minorHAnsi" w:hAnsiTheme="minorHAnsi" w:cstheme="minorHAnsi"/>
          <w:b w:val="0"/>
          <w:sz w:val="22"/>
          <w:szCs w:val="22"/>
        </w:rPr>
        <w:t xml:space="preserve">natuurlijk </w:t>
      </w:r>
      <w:r w:rsidRPr="002F767E">
        <w:rPr>
          <w:rFonts w:asciiTheme="minorHAnsi" w:hAnsiTheme="minorHAnsi" w:cstheme="minorHAnsi"/>
          <w:b w:val="0"/>
          <w:sz w:val="22"/>
          <w:szCs w:val="22"/>
        </w:rPr>
        <w:t xml:space="preserve">wel vorderingen, deze vorderingen zullen daarom op maandag of de eerste werkdag na de feestdag worden verpand. Indien het te verwachten is dat de pandhouder failliet gaat na de feestdag of na het weekend, kan er een authentieke via de notaris worden gevestigd. </w:t>
      </w:r>
      <w:r w:rsidR="00EA6162" w:rsidRPr="002F767E">
        <w:rPr>
          <w:rFonts w:asciiTheme="minorHAnsi" w:hAnsiTheme="minorHAnsi" w:cstheme="minorHAnsi"/>
          <w:b w:val="0"/>
          <w:sz w:val="22"/>
          <w:szCs w:val="22"/>
        </w:rPr>
        <w:t>Het gebruik van een verzamelpandakte is dus tevens mogelijk voor het verpanden van</w:t>
      </w:r>
      <w:r w:rsidR="00682624" w:rsidRPr="002F767E">
        <w:rPr>
          <w:rFonts w:asciiTheme="minorHAnsi" w:hAnsiTheme="minorHAnsi" w:cstheme="minorHAnsi"/>
          <w:b w:val="0"/>
          <w:sz w:val="22"/>
          <w:szCs w:val="22"/>
        </w:rPr>
        <w:t xml:space="preserve"> pinvorderingen</w:t>
      </w:r>
      <w:r w:rsidR="00EA6162" w:rsidRPr="002F767E">
        <w:rPr>
          <w:rFonts w:asciiTheme="minorHAnsi" w:hAnsiTheme="minorHAnsi" w:cstheme="minorHAnsi"/>
          <w:b w:val="0"/>
          <w:sz w:val="22"/>
          <w:szCs w:val="22"/>
        </w:rPr>
        <w:t>.</w:t>
      </w:r>
      <w:r w:rsidR="00682624" w:rsidRPr="002F767E">
        <w:rPr>
          <w:rFonts w:asciiTheme="minorHAnsi" w:hAnsiTheme="minorHAnsi" w:cstheme="minorHAnsi"/>
          <w:b w:val="0"/>
          <w:sz w:val="22"/>
          <w:szCs w:val="22"/>
        </w:rPr>
        <w:t xml:space="preserve"> </w:t>
      </w:r>
      <w:r w:rsidRPr="002F767E">
        <w:rPr>
          <w:rFonts w:asciiTheme="minorHAnsi" w:hAnsiTheme="minorHAnsi" w:cstheme="minorHAnsi"/>
          <w:b w:val="0"/>
          <w:sz w:val="22"/>
          <w:szCs w:val="22"/>
        </w:rPr>
        <w:t xml:space="preserve"> </w:t>
      </w:r>
    </w:p>
    <w:p w:rsidR="00A87052" w:rsidRPr="002F767E" w:rsidRDefault="00A87052" w:rsidP="00A87052">
      <w:pPr>
        <w:jc w:val="left"/>
        <w:rPr>
          <w:rFonts w:asciiTheme="minorHAnsi" w:hAnsiTheme="minorHAnsi" w:cstheme="minorHAnsi"/>
          <w:b w:val="0"/>
          <w:sz w:val="22"/>
          <w:szCs w:val="22"/>
        </w:rPr>
      </w:pPr>
    </w:p>
    <w:p w:rsidR="00A87052" w:rsidRPr="00570D50" w:rsidRDefault="00A87052" w:rsidP="00570D50">
      <w:pPr>
        <w:pStyle w:val="Kop2"/>
        <w:spacing w:before="0" w:beforeAutospacing="0" w:after="0" w:afterAutospacing="0"/>
        <w:rPr>
          <w:rFonts w:asciiTheme="minorHAnsi" w:hAnsiTheme="minorHAnsi" w:cstheme="minorHAnsi"/>
          <w:sz w:val="24"/>
          <w:szCs w:val="24"/>
        </w:rPr>
      </w:pPr>
      <w:bookmarkStart w:id="23" w:name="_Toc486246618"/>
      <w:r w:rsidRPr="00570D50">
        <w:rPr>
          <w:rFonts w:asciiTheme="minorHAnsi" w:hAnsiTheme="minorHAnsi" w:cstheme="minorHAnsi"/>
          <w:sz w:val="24"/>
          <w:szCs w:val="24"/>
        </w:rPr>
        <w:t>§</w:t>
      </w:r>
      <w:r w:rsidR="006E2964" w:rsidRPr="00570D50">
        <w:rPr>
          <w:rFonts w:asciiTheme="minorHAnsi" w:hAnsiTheme="minorHAnsi" w:cstheme="minorHAnsi"/>
          <w:sz w:val="24"/>
          <w:szCs w:val="24"/>
        </w:rPr>
        <w:t>3 Concluderend</w:t>
      </w:r>
      <w:bookmarkEnd w:id="23"/>
    </w:p>
    <w:p w:rsidR="00C65E35" w:rsidRPr="002F767E" w:rsidRDefault="00FF017F" w:rsidP="00A87052">
      <w:pPr>
        <w:jc w:val="left"/>
        <w:rPr>
          <w:rFonts w:asciiTheme="minorHAnsi" w:hAnsiTheme="minorHAnsi" w:cstheme="minorHAnsi"/>
          <w:b w:val="0"/>
          <w:sz w:val="22"/>
          <w:szCs w:val="22"/>
        </w:rPr>
      </w:pPr>
      <w:r w:rsidRPr="002F767E">
        <w:rPr>
          <w:rFonts w:asciiTheme="minorHAnsi" w:hAnsiTheme="minorHAnsi" w:cstheme="minorHAnsi"/>
          <w:b w:val="0"/>
          <w:sz w:val="22"/>
          <w:szCs w:val="22"/>
        </w:rPr>
        <w:t xml:space="preserve">Vorderingen die worden voldaan door middel van pinbetalingen zijn vatbaar voor verpanding. </w:t>
      </w:r>
      <w:r w:rsidR="00A87052" w:rsidRPr="002F767E">
        <w:rPr>
          <w:rFonts w:asciiTheme="minorHAnsi" w:hAnsiTheme="minorHAnsi" w:cstheme="minorHAnsi"/>
          <w:b w:val="0"/>
          <w:sz w:val="22"/>
          <w:szCs w:val="22"/>
        </w:rPr>
        <w:t xml:space="preserve">Als een pinbetaling van de consument is gecrediteerd op de bankrekening van de schoenenwinkel wordt de vordering </w:t>
      </w:r>
      <w:r w:rsidR="00C65E35" w:rsidRPr="002F767E">
        <w:rPr>
          <w:rFonts w:asciiTheme="minorHAnsi" w:hAnsiTheme="minorHAnsi" w:cstheme="minorHAnsi"/>
          <w:b w:val="0"/>
          <w:sz w:val="22"/>
          <w:szCs w:val="22"/>
        </w:rPr>
        <w:t>voldaan</w:t>
      </w:r>
      <w:r w:rsidR="00A87052" w:rsidRPr="002F767E">
        <w:rPr>
          <w:rFonts w:asciiTheme="minorHAnsi" w:hAnsiTheme="minorHAnsi" w:cstheme="minorHAnsi"/>
          <w:b w:val="0"/>
          <w:sz w:val="22"/>
          <w:szCs w:val="22"/>
        </w:rPr>
        <w:t xml:space="preserve">, tot </w:t>
      </w:r>
      <w:r w:rsidR="00E453F3" w:rsidRPr="002F767E">
        <w:rPr>
          <w:rFonts w:asciiTheme="minorHAnsi" w:hAnsiTheme="minorHAnsi" w:cstheme="minorHAnsi"/>
          <w:b w:val="0"/>
          <w:sz w:val="22"/>
          <w:szCs w:val="22"/>
        </w:rPr>
        <w:t>het moment van voltooiing</w:t>
      </w:r>
      <w:r w:rsidR="00A87052" w:rsidRPr="002F767E">
        <w:rPr>
          <w:rFonts w:asciiTheme="minorHAnsi" w:hAnsiTheme="minorHAnsi" w:cstheme="minorHAnsi"/>
          <w:b w:val="0"/>
          <w:sz w:val="22"/>
          <w:szCs w:val="22"/>
        </w:rPr>
        <w:t xml:space="preserve"> is de vordering vatbaar voor verpanding. De vordering ontstaat op het moment dat de consument de door de winkel aangeboden schoenen aanvaard en bij de kassa afrekent. Zo lang de betaling van de consument niet is gecrediteerd op de bankrekening van de winkel is er een vordering.</w:t>
      </w:r>
      <w:r w:rsidR="00C65E35" w:rsidRPr="002F767E">
        <w:rPr>
          <w:rFonts w:asciiTheme="minorHAnsi" w:hAnsiTheme="minorHAnsi" w:cstheme="minorHAnsi"/>
          <w:b w:val="0"/>
          <w:sz w:val="22"/>
          <w:szCs w:val="22"/>
        </w:rPr>
        <w:t xml:space="preserve"> Banken verwerken pinbetalingen alleen op werkdagen en het verschilt per bank of </w:t>
      </w:r>
      <w:r w:rsidR="005E2BAE" w:rsidRPr="002F767E">
        <w:rPr>
          <w:rFonts w:asciiTheme="minorHAnsi" w:hAnsiTheme="minorHAnsi" w:cstheme="minorHAnsi"/>
          <w:b w:val="0"/>
          <w:sz w:val="22"/>
          <w:szCs w:val="22"/>
        </w:rPr>
        <w:t>dat</w:t>
      </w:r>
      <w:r w:rsidR="00C65E35" w:rsidRPr="002F767E">
        <w:rPr>
          <w:rFonts w:asciiTheme="minorHAnsi" w:hAnsiTheme="minorHAnsi" w:cstheme="minorHAnsi"/>
          <w:b w:val="0"/>
          <w:sz w:val="22"/>
          <w:szCs w:val="22"/>
        </w:rPr>
        <w:t xml:space="preserve"> op dezelfde of de volgende werkdag is. </w:t>
      </w:r>
      <w:r w:rsidR="00745CE5" w:rsidRPr="002F767E">
        <w:rPr>
          <w:rFonts w:asciiTheme="minorHAnsi" w:hAnsiTheme="minorHAnsi" w:cstheme="minorHAnsi"/>
          <w:b w:val="0"/>
          <w:sz w:val="22"/>
          <w:szCs w:val="22"/>
        </w:rPr>
        <w:t>Een vordering blijft in het weekend dus langer openstaan en dus vatbaar voor verpanding.</w:t>
      </w:r>
    </w:p>
    <w:p w:rsidR="00C65E35" w:rsidRPr="002F767E" w:rsidRDefault="00C65E35" w:rsidP="00A87052">
      <w:pPr>
        <w:jc w:val="left"/>
        <w:rPr>
          <w:rFonts w:asciiTheme="minorHAnsi" w:hAnsiTheme="minorHAnsi" w:cstheme="minorHAnsi"/>
          <w:b w:val="0"/>
          <w:sz w:val="22"/>
          <w:szCs w:val="22"/>
        </w:rPr>
      </w:pPr>
    </w:p>
    <w:p w:rsidR="00A87052" w:rsidRPr="002F767E" w:rsidRDefault="00A87052" w:rsidP="00A87052">
      <w:pPr>
        <w:jc w:val="left"/>
        <w:rPr>
          <w:rFonts w:asciiTheme="minorHAnsi" w:hAnsiTheme="minorHAnsi" w:cstheme="minorHAnsi"/>
          <w:b w:val="0"/>
          <w:sz w:val="22"/>
          <w:szCs w:val="22"/>
        </w:rPr>
      </w:pPr>
      <w:r w:rsidRPr="002F767E">
        <w:rPr>
          <w:rFonts w:asciiTheme="minorHAnsi" w:hAnsiTheme="minorHAnsi" w:cstheme="minorHAnsi"/>
          <w:b w:val="0"/>
          <w:sz w:val="22"/>
          <w:szCs w:val="22"/>
        </w:rPr>
        <w:t xml:space="preserve">De verpanding van </w:t>
      </w:r>
      <w:r w:rsidR="00C65E35" w:rsidRPr="002F767E">
        <w:rPr>
          <w:rFonts w:asciiTheme="minorHAnsi" w:hAnsiTheme="minorHAnsi" w:cstheme="minorHAnsi"/>
          <w:b w:val="0"/>
          <w:sz w:val="22"/>
          <w:szCs w:val="22"/>
        </w:rPr>
        <w:t>een pin</w:t>
      </w:r>
      <w:r w:rsidRPr="002F767E">
        <w:rPr>
          <w:rFonts w:asciiTheme="minorHAnsi" w:hAnsiTheme="minorHAnsi" w:cstheme="minorHAnsi"/>
          <w:b w:val="0"/>
          <w:sz w:val="22"/>
          <w:szCs w:val="22"/>
        </w:rPr>
        <w:t>vordering vindt plaats door middel van verzamelpandakten om zodoende zo snel en zoveel mogelijk pandrechten te kunnen vestigen. Een verzamelpandakte verpand in één keer alle vorderingen die</w:t>
      </w:r>
      <w:r w:rsidR="00E453F3" w:rsidRPr="002F767E">
        <w:rPr>
          <w:rFonts w:asciiTheme="minorHAnsi" w:hAnsiTheme="minorHAnsi" w:cstheme="minorHAnsi"/>
          <w:b w:val="0"/>
          <w:sz w:val="22"/>
          <w:szCs w:val="22"/>
        </w:rPr>
        <w:t xml:space="preserve"> op</w:t>
      </w:r>
      <w:r w:rsidRPr="002F767E">
        <w:rPr>
          <w:rFonts w:asciiTheme="minorHAnsi" w:hAnsiTheme="minorHAnsi" w:cstheme="minorHAnsi"/>
          <w:b w:val="0"/>
          <w:sz w:val="22"/>
          <w:szCs w:val="22"/>
        </w:rPr>
        <w:t xml:space="preserve"> de dag van registratie van de </w:t>
      </w:r>
      <w:proofErr w:type="spellStart"/>
      <w:r w:rsidRPr="002F767E">
        <w:rPr>
          <w:rFonts w:asciiTheme="minorHAnsi" w:hAnsiTheme="minorHAnsi" w:cstheme="minorHAnsi"/>
          <w:b w:val="0"/>
          <w:sz w:val="22"/>
          <w:szCs w:val="22"/>
        </w:rPr>
        <w:t>pandakte</w:t>
      </w:r>
      <w:proofErr w:type="spellEnd"/>
      <w:r w:rsidRPr="002F767E">
        <w:rPr>
          <w:rFonts w:asciiTheme="minorHAnsi" w:hAnsiTheme="minorHAnsi" w:cstheme="minorHAnsi"/>
          <w:b w:val="0"/>
          <w:sz w:val="22"/>
          <w:szCs w:val="22"/>
        </w:rPr>
        <w:t xml:space="preserve"> ontstaan. Vorderingen die op feestdagen of in weekenden ontstaan zullen de eerstvolgende werkdag via een verzamelpandakte worden verpand. Het nadeel van het verpanden van (pin)vorderingen is dat de vorderingen maar korte tijd bestaan en dat door voltooiing ervan de pandrechten teniet gaan.</w:t>
      </w:r>
    </w:p>
    <w:p w:rsidR="00066854" w:rsidRDefault="00066854" w:rsidP="00164E92">
      <w:pPr>
        <w:jc w:val="left"/>
        <w:rPr>
          <w:rFonts w:asciiTheme="minorHAnsi" w:hAnsiTheme="minorHAnsi" w:cstheme="minorHAnsi"/>
          <w:b w:val="0"/>
          <w:sz w:val="20"/>
        </w:rPr>
      </w:pPr>
    </w:p>
    <w:p w:rsidR="00066854" w:rsidRDefault="00066854" w:rsidP="00164E92">
      <w:pPr>
        <w:jc w:val="left"/>
        <w:rPr>
          <w:rFonts w:asciiTheme="minorHAnsi" w:hAnsiTheme="minorHAnsi" w:cstheme="minorHAnsi"/>
          <w:b w:val="0"/>
          <w:sz w:val="20"/>
        </w:rPr>
      </w:pPr>
    </w:p>
    <w:p w:rsidR="00066854" w:rsidRDefault="00066854" w:rsidP="00164E92">
      <w:pPr>
        <w:jc w:val="left"/>
        <w:rPr>
          <w:rFonts w:asciiTheme="minorHAnsi" w:hAnsiTheme="minorHAnsi" w:cstheme="minorHAnsi"/>
          <w:b w:val="0"/>
          <w:sz w:val="20"/>
        </w:rPr>
      </w:pPr>
    </w:p>
    <w:p w:rsidR="00066854" w:rsidRDefault="00066854" w:rsidP="00164E92">
      <w:pPr>
        <w:jc w:val="left"/>
        <w:rPr>
          <w:rFonts w:asciiTheme="minorHAnsi" w:hAnsiTheme="minorHAnsi" w:cstheme="minorHAnsi"/>
          <w:b w:val="0"/>
          <w:sz w:val="20"/>
        </w:rPr>
      </w:pPr>
    </w:p>
    <w:p w:rsidR="00066854" w:rsidRDefault="00066854" w:rsidP="00164E92">
      <w:pPr>
        <w:jc w:val="left"/>
        <w:rPr>
          <w:rFonts w:asciiTheme="minorHAnsi" w:hAnsiTheme="minorHAnsi" w:cstheme="minorHAnsi"/>
          <w:b w:val="0"/>
          <w:sz w:val="20"/>
        </w:rPr>
      </w:pPr>
    </w:p>
    <w:p w:rsidR="00066854" w:rsidRDefault="00066854" w:rsidP="00164E92">
      <w:pPr>
        <w:jc w:val="left"/>
        <w:rPr>
          <w:rFonts w:asciiTheme="minorHAnsi" w:hAnsiTheme="minorHAnsi" w:cstheme="minorHAnsi"/>
          <w:b w:val="0"/>
          <w:sz w:val="20"/>
        </w:rPr>
      </w:pPr>
    </w:p>
    <w:p w:rsidR="00066854" w:rsidRDefault="00066854" w:rsidP="00164E92">
      <w:pPr>
        <w:jc w:val="left"/>
        <w:rPr>
          <w:rFonts w:asciiTheme="minorHAnsi" w:hAnsiTheme="minorHAnsi" w:cstheme="minorHAnsi"/>
          <w:b w:val="0"/>
          <w:sz w:val="20"/>
        </w:rPr>
      </w:pPr>
    </w:p>
    <w:p w:rsidR="00066854" w:rsidRDefault="00066854" w:rsidP="00164E92">
      <w:pPr>
        <w:jc w:val="left"/>
        <w:rPr>
          <w:rFonts w:asciiTheme="minorHAnsi" w:hAnsiTheme="minorHAnsi" w:cstheme="minorHAnsi"/>
          <w:b w:val="0"/>
          <w:sz w:val="20"/>
        </w:rPr>
      </w:pPr>
    </w:p>
    <w:p w:rsidR="00066854" w:rsidRDefault="00066854" w:rsidP="00164E92">
      <w:pPr>
        <w:jc w:val="left"/>
        <w:rPr>
          <w:rFonts w:asciiTheme="minorHAnsi" w:hAnsiTheme="minorHAnsi" w:cstheme="minorHAnsi"/>
          <w:b w:val="0"/>
          <w:sz w:val="20"/>
        </w:rPr>
      </w:pPr>
    </w:p>
    <w:p w:rsidR="00066854" w:rsidRDefault="00066854" w:rsidP="00164E92">
      <w:pPr>
        <w:jc w:val="left"/>
        <w:rPr>
          <w:rFonts w:asciiTheme="minorHAnsi" w:hAnsiTheme="minorHAnsi" w:cstheme="minorHAnsi"/>
          <w:b w:val="0"/>
          <w:sz w:val="20"/>
        </w:rPr>
      </w:pPr>
    </w:p>
    <w:p w:rsidR="00066854" w:rsidRDefault="00066854" w:rsidP="00164E92">
      <w:pPr>
        <w:jc w:val="left"/>
        <w:rPr>
          <w:rFonts w:asciiTheme="minorHAnsi" w:hAnsiTheme="minorHAnsi" w:cstheme="minorHAnsi"/>
          <w:b w:val="0"/>
          <w:sz w:val="20"/>
        </w:rPr>
      </w:pPr>
    </w:p>
    <w:p w:rsidR="00C7626E" w:rsidRDefault="00C7626E" w:rsidP="00164E92">
      <w:pPr>
        <w:jc w:val="left"/>
        <w:rPr>
          <w:rFonts w:asciiTheme="minorHAnsi" w:hAnsiTheme="minorHAnsi" w:cstheme="minorHAnsi"/>
          <w:b w:val="0"/>
          <w:sz w:val="20"/>
        </w:rPr>
      </w:pPr>
    </w:p>
    <w:p w:rsidR="00C7626E" w:rsidRDefault="00C7626E" w:rsidP="00164E92">
      <w:pPr>
        <w:jc w:val="left"/>
        <w:rPr>
          <w:rFonts w:asciiTheme="minorHAnsi" w:hAnsiTheme="minorHAnsi" w:cstheme="minorHAnsi"/>
          <w:b w:val="0"/>
          <w:sz w:val="20"/>
        </w:rPr>
      </w:pPr>
    </w:p>
    <w:p w:rsidR="002F767E" w:rsidRDefault="002F767E">
      <w:pPr>
        <w:rPr>
          <w:rFonts w:asciiTheme="majorHAnsi" w:eastAsiaTheme="majorEastAsia" w:hAnsiTheme="majorHAnsi" w:cstheme="majorBidi"/>
          <w:b w:val="0"/>
          <w:bCs w:val="0"/>
          <w:color w:val="365F91" w:themeColor="accent1" w:themeShade="BF"/>
          <w:sz w:val="36"/>
          <w:szCs w:val="28"/>
        </w:rPr>
      </w:pPr>
      <w:r>
        <w:rPr>
          <w:sz w:val="36"/>
        </w:rPr>
        <w:br w:type="page"/>
      </w:r>
    </w:p>
    <w:p w:rsidR="00C7626E" w:rsidRPr="00914D82" w:rsidRDefault="00C7626E" w:rsidP="007E5391">
      <w:pPr>
        <w:pStyle w:val="Kop1"/>
        <w:rPr>
          <w:sz w:val="36"/>
        </w:rPr>
      </w:pPr>
      <w:bookmarkStart w:id="24" w:name="_Toc486246619"/>
      <w:r w:rsidRPr="00914D82">
        <w:rPr>
          <w:sz w:val="36"/>
        </w:rPr>
        <w:lastRenderedPageBreak/>
        <w:t xml:space="preserve">Hoofdstuk </w:t>
      </w:r>
      <w:r w:rsidR="00202B3C" w:rsidRPr="00914D82">
        <w:rPr>
          <w:sz w:val="36"/>
        </w:rPr>
        <w:t>4</w:t>
      </w:r>
      <w:bookmarkEnd w:id="24"/>
    </w:p>
    <w:p w:rsidR="00C7626E" w:rsidRPr="00914D82" w:rsidRDefault="00C7626E" w:rsidP="007E5391">
      <w:pPr>
        <w:pStyle w:val="Kop4"/>
        <w:rPr>
          <w:b/>
          <w:sz w:val="26"/>
          <w:szCs w:val="26"/>
        </w:rPr>
      </w:pPr>
      <w:r w:rsidRPr="00914D82">
        <w:rPr>
          <w:sz w:val="26"/>
          <w:szCs w:val="26"/>
        </w:rPr>
        <w:t xml:space="preserve">- </w:t>
      </w:r>
      <w:r w:rsidR="00073290" w:rsidRPr="00914D82">
        <w:rPr>
          <w:sz w:val="26"/>
          <w:szCs w:val="26"/>
        </w:rPr>
        <w:t>De wettelijke regels omtrent verrekening</w:t>
      </w:r>
      <w:r w:rsidRPr="00914D82">
        <w:rPr>
          <w:sz w:val="26"/>
          <w:szCs w:val="26"/>
        </w:rPr>
        <w:t xml:space="preserve"> -</w:t>
      </w:r>
    </w:p>
    <w:p w:rsidR="00C7626E" w:rsidRDefault="00C7626E" w:rsidP="00164E92">
      <w:pPr>
        <w:jc w:val="left"/>
        <w:rPr>
          <w:rFonts w:asciiTheme="minorHAnsi" w:hAnsiTheme="minorHAnsi" w:cstheme="minorHAnsi"/>
          <w:b w:val="0"/>
          <w:sz w:val="20"/>
        </w:rPr>
      </w:pPr>
    </w:p>
    <w:p w:rsidR="00B311CC" w:rsidRPr="00C743FB" w:rsidRDefault="00B311CC" w:rsidP="00164E92">
      <w:pPr>
        <w:jc w:val="left"/>
        <w:rPr>
          <w:rFonts w:asciiTheme="minorHAnsi" w:hAnsiTheme="minorHAnsi" w:cstheme="minorHAnsi"/>
          <w:b w:val="0"/>
          <w:sz w:val="22"/>
        </w:rPr>
      </w:pPr>
      <w:r w:rsidRPr="00C743FB">
        <w:rPr>
          <w:rFonts w:asciiTheme="minorHAnsi" w:hAnsiTheme="minorHAnsi" w:cstheme="minorHAnsi"/>
          <w:b w:val="0"/>
          <w:sz w:val="22"/>
        </w:rPr>
        <w:t>In voorgaande hoofdstukken is naar voren gekomen wat het pandrecht is, hoe het pandrecht gevestigd kan worden en dat pinvorderingen vatbaar zijn voor verpanding. Echter, in de casus staat niet alleen het pandrecht centraal, maar gaat het geschil in kwestie erover of de Rabobank mag verrekenen in het zicht van een faillissement. De link tussen het mogen verrekenen in het zicht van een faillissement en het pandrecht is dat het hebben van een pandrecht een vereiste is om te mogen verrekenen in het zicht van een faillisseme</w:t>
      </w:r>
      <w:r w:rsidR="00202B3C" w:rsidRPr="00C743FB">
        <w:rPr>
          <w:rFonts w:asciiTheme="minorHAnsi" w:hAnsiTheme="minorHAnsi" w:cstheme="minorHAnsi"/>
          <w:b w:val="0"/>
          <w:sz w:val="22"/>
        </w:rPr>
        <w:t>nt, hierover meer in hoofdstuk 5</w:t>
      </w:r>
      <w:r w:rsidRPr="00C743FB">
        <w:rPr>
          <w:rFonts w:asciiTheme="minorHAnsi" w:hAnsiTheme="minorHAnsi" w:cstheme="minorHAnsi"/>
          <w:b w:val="0"/>
          <w:sz w:val="22"/>
        </w:rPr>
        <w:t>.</w:t>
      </w:r>
      <w:r w:rsidR="005C4483" w:rsidRPr="00C743FB">
        <w:rPr>
          <w:rFonts w:asciiTheme="minorHAnsi" w:hAnsiTheme="minorHAnsi" w:cstheme="minorHAnsi"/>
          <w:b w:val="0"/>
          <w:sz w:val="22"/>
        </w:rPr>
        <w:t xml:space="preserve"> Wat precies verrekenen is en hoe dit wettelijk is geregeld komt in dit hoofdstuk aan de orde.</w:t>
      </w:r>
    </w:p>
    <w:p w:rsidR="00B311CC" w:rsidRPr="00C743FB" w:rsidRDefault="00B311CC" w:rsidP="00164E92">
      <w:pPr>
        <w:jc w:val="left"/>
        <w:rPr>
          <w:rFonts w:asciiTheme="minorHAnsi" w:hAnsiTheme="minorHAnsi" w:cstheme="minorHAnsi"/>
          <w:b w:val="0"/>
          <w:sz w:val="22"/>
        </w:rPr>
      </w:pPr>
    </w:p>
    <w:p w:rsidR="00C743FB" w:rsidRDefault="00777539" w:rsidP="00777539">
      <w:pPr>
        <w:jc w:val="left"/>
        <w:rPr>
          <w:rFonts w:asciiTheme="minorHAnsi" w:hAnsiTheme="minorHAnsi" w:cstheme="minorHAnsi"/>
          <w:b w:val="0"/>
          <w:sz w:val="22"/>
        </w:rPr>
      </w:pPr>
      <w:r w:rsidRPr="00C743FB">
        <w:rPr>
          <w:rFonts w:asciiTheme="minorHAnsi" w:hAnsiTheme="minorHAnsi" w:cstheme="minorHAnsi"/>
          <w:b w:val="0"/>
          <w:sz w:val="22"/>
        </w:rPr>
        <w:t xml:space="preserve">De </w:t>
      </w:r>
      <w:r w:rsidR="00F013DD" w:rsidRPr="00C743FB">
        <w:rPr>
          <w:rFonts w:asciiTheme="minorHAnsi" w:hAnsiTheme="minorHAnsi" w:cstheme="minorHAnsi"/>
          <w:b w:val="0"/>
          <w:sz w:val="22"/>
        </w:rPr>
        <w:t>winkel</w:t>
      </w:r>
      <w:r w:rsidRPr="00C743FB">
        <w:rPr>
          <w:rFonts w:asciiTheme="minorHAnsi" w:hAnsiTheme="minorHAnsi" w:cstheme="minorHAnsi"/>
          <w:b w:val="0"/>
          <w:sz w:val="22"/>
        </w:rPr>
        <w:t xml:space="preserve"> in de casus </w:t>
      </w:r>
      <w:r w:rsidR="00F013DD" w:rsidRPr="00C743FB">
        <w:rPr>
          <w:rFonts w:asciiTheme="minorHAnsi" w:hAnsiTheme="minorHAnsi" w:cstheme="minorHAnsi"/>
          <w:b w:val="0"/>
          <w:sz w:val="22"/>
        </w:rPr>
        <w:t xml:space="preserve">heeft een rekening courant bij de Rabobank. Een rekening courant is een geldlening waarbij de lening en de binnenkomende gelden constant met elkaar worden verrekend. </w:t>
      </w:r>
      <w:r w:rsidR="008641C9" w:rsidRPr="00C743FB">
        <w:rPr>
          <w:rFonts w:asciiTheme="minorHAnsi" w:hAnsiTheme="minorHAnsi" w:cstheme="minorHAnsi"/>
          <w:b w:val="0"/>
          <w:sz w:val="22"/>
        </w:rPr>
        <w:t xml:space="preserve">Kortgezegd zorgt </w:t>
      </w:r>
      <w:r w:rsidR="00F013DD" w:rsidRPr="00C743FB">
        <w:rPr>
          <w:rFonts w:asciiTheme="minorHAnsi" w:hAnsiTheme="minorHAnsi" w:cstheme="minorHAnsi"/>
          <w:b w:val="0"/>
          <w:sz w:val="22"/>
        </w:rPr>
        <w:t>een rekening courant ervoor dat schulden jegens elkaar niet afzonderlijk worden afgerekend, maar met elkaar worden verrekend</w:t>
      </w:r>
      <w:r w:rsidR="00E35CA4" w:rsidRPr="00C743FB">
        <w:rPr>
          <w:rFonts w:asciiTheme="minorHAnsi" w:hAnsiTheme="minorHAnsi" w:cstheme="minorHAnsi"/>
          <w:b w:val="0"/>
          <w:sz w:val="22"/>
        </w:rPr>
        <w:t xml:space="preserve">. Wat verrekenen precies inhoudt kan overzichtelijke worden gemaakt met een voorbeeld: </w:t>
      </w:r>
      <w:r w:rsidR="00E35CA4" w:rsidRPr="00C743FB">
        <w:rPr>
          <w:rFonts w:asciiTheme="minorHAnsi" w:hAnsiTheme="minorHAnsi" w:cstheme="minorHAnsi"/>
          <w:b w:val="0"/>
          <w:sz w:val="22"/>
        </w:rPr>
        <w:tab/>
      </w:r>
    </w:p>
    <w:p w:rsidR="00571B73" w:rsidRPr="00C743FB" w:rsidRDefault="00E35CA4" w:rsidP="00C743FB">
      <w:pPr>
        <w:ind w:firstLine="708"/>
        <w:jc w:val="left"/>
        <w:rPr>
          <w:rFonts w:asciiTheme="minorHAnsi" w:hAnsiTheme="minorHAnsi" w:cstheme="minorHAnsi"/>
          <w:b w:val="0"/>
          <w:sz w:val="22"/>
        </w:rPr>
      </w:pPr>
      <w:r w:rsidRPr="00C743FB">
        <w:rPr>
          <w:rFonts w:asciiTheme="minorHAnsi" w:hAnsiTheme="minorHAnsi" w:cstheme="minorHAnsi"/>
          <w:b w:val="0"/>
          <w:i/>
          <w:sz w:val="22"/>
        </w:rPr>
        <w:t xml:space="preserve">Wanneer Arie 150 euro van Piet te goed heeft en Piet 100 euro </w:t>
      </w:r>
      <w:r w:rsidR="00C743FB">
        <w:rPr>
          <w:rFonts w:asciiTheme="minorHAnsi" w:hAnsiTheme="minorHAnsi" w:cstheme="minorHAnsi"/>
          <w:b w:val="0"/>
          <w:i/>
          <w:sz w:val="22"/>
        </w:rPr>
        <w:t xml:space="preserve">van Arie, dan kan Arie ervoor </w:t>
      </w:r>
      <w:r w:rsidR="00C743FB">
        <w:rPr>
          <w:rFonts w:asciiTheme="minorHAnsi" w:hAnsiTheme="minorHAnsi" w:cstheme="minorHAnsi"/>
          <w:b w:val="0"/>
          <w:i/>
          <w:sz w:val="22"/>
        </w:rPr>
        <w:tab/>
      </w:r>
      <w:r w:rsidRPr="00C743FB">
        <w:rPr>
          <w:rFonts w:asciiTheme="minorHAnsi" w:hAnsiTheme="minorHAnsi" w:cstheme="minorHAnsi"/>
          <w:b w:val="0"/>
          <w:i/>
          <w:sz w:val="22"/>
        </w:rPr>
        <w:t xml:space="preserve">kiezen om Piet 100 euro te geven en kan Piet ervoor kiezen </w:t>
      </w:r>
      <w:r w:rsidR="00C743FB">
        <w:rPr>
          <w:rFonts w:asciiTheme="minorHAnsi" w:hAnsiTheme="minorHAnsi" w:cstheme="minorHAnsi"/>
          <w:b w:val="0"/>
          <w:i/>
          <w:sz w:val="22"/>
        </w:rPr>
        <w:t xml:space="preserve">om Arie 150 euro te geven. De </w:t>
      </w:r>
      <w:r w:rsidR="00C743FB">
        <w:rPr>
          <w:rFonts w:asciiTheme="minorHAnsi" w:hAnsiTheme="minorHAnsi" w:cstheme="minorHAnsi"/>
          <w:b w:val="0"/>
          <w:i/>
          <w:sz w:val="22"/>
        </w:rPr>
        <w:tab/>
      </w:r>
      <w:r w:rsidRPr="00C743FB">
        <w:rPr>
          <w:rFonts w:asciiTheme="minorHAnsi" w:hAnsiTheme="minorHAnsi" w:cstheme="minorHAnsi"/>
          <w:b w:val="0"/>
          <w:i/>
          <w:sz w:val="22"/>
        </w:rPr>
        <w:t>makkelijkste manier om dit op te lossen is</w:t>
      </w:r>
      <w:r w:rsidR="00B05B86" w:rsidRPr="00C743FB">
        <w:rPr>
          <w:rFonts w:asciiTheme="minorHAnsi" w:hAnsiTheme="minorHAnsi" w:cstheme="minorHAnsi"/>
          <w:b w:val="0"/>
          <w:i/>
          <w:sz w:val="22"/>
        </w:rPr>
        <w:t xml:space="preserve"> om de vorderingen die Arie en Piet op elkaar </w:t>
      </w:r>
      <w:r w:rsidR="00C743FB">
        <w:rPr>
          <w:rFonts w:asciiTheme="minorHAnsi" w:hAnsiTheme="minorHAnsi" w:cstheme="minorHAnsi"/>
          <w:b w:val="0"/>
          <w:i/>
          <w:sz w:val="22"/>
        </w:rPr>
        <w:tab/>
        <w:t xml:space="preserve">hebben, met </w:t>
      </w:r>
      <w:r w:rsidR="00B05B86" w:rsidRPr="00C743FB">
        <w:rPr>
          <w:rFonts w:asciiTheme="minorHAnsi" w:hAnsiTheme="minorHAnsi" w:cstheme="minorHAnsi"/>
          <w:b w:val="0"/>
          <w:i/>
          <w:sz w:val="22"/>
        </w:rPr>
        <w:t xml:space="preserve">elkaar te verrekenen. Dit wordt bewerkstelligd </w:t>
      </w:r>
      <w:r w:rsidRPr="00C743FB">
        <w:rPr>
          <w:rFonts w:asciiTheme="minorHAnsi" w:hAnsiTheme="minorHAnsi" w:cstheme="minorHAnsi"/>
          <w:b w:val="0"/>
          <w:i/>
          <w:sz w:val="22"/>
        </w:rPr>
        <w:t>als Piet 50 euro aan Arie geeft.</w:t>
      </w:r>
      <w:r w:rsidRPr="00C743FB">
        <w:rPr>
          <w:rFonts w:asciiTheme="minorHAnsi" w:hAnsiTheme="minorHAnsi" w:cstheme="minorHAnsi"/>
          <w:b w:val="0"/>
          <w:sz w:val="22"/>
        </w:rPr>
        <w:t xml:space="preserve"> </w:t>
      </w:r>
    </w:p>
    <w:p w:rsidR="00F013DD" w:rsidRPr="00C743FB" w:rsidRDefault="00E35CA4" w:rsidP="00777539">
      <w:pPr>
        <w:jc w:val="left"/>
        <w:rPr>
          <w:rFonts w:asciiTheme="minorHAnsi" w:hAnsiTheme="minorHAnsi" w:cstheme="minorHAnsi"/>
          <w:b w:val="0"/>
          <w:sz w:val="22"/>
        </w:rPr>
      </w:pPr>
      <w:r w:rsidRPr="00C743FB">
        <w:rPr>
          <w:rFonts w:asciiTheme="minorHAnsi" w:hAnsiTheme="minorHAnsi" w:cstheme="minorHAnsi"/>
          <w:b w:val="0"/>
          <w:sz w:val="22"/>
        </w:rPr>
        <w:t xml:space="preserve">Verrekening is </w:t>
      </w:r>
      <w:r w:rsidR="00FA5F86" w:rsidRPr="00C743FB">
        <w:rPr>
          <w:rFonts w:asciiTheme="minorHAnsi" w:hAnsiTheme="minorHAnsi" w:cstheme="minorHAnsi"/>
          <w:b w:val="0"/>
          <w:sz w:val="22"/>
        </w:rPr>
        <w:t>kortgezegd</w:t>
      </w:r>
      <w:r w:rsidRPr="00C743FB">
        <w:rPr>
          <w:rFonts w:asciiTheme="minorHAnsi" w:hAnsiTheme="minorHAnsi" w:cstheme="minorHAnsi"/>
          <w:b w:val="0"/>
          <w:sz w:val="22"/>
        </w:rPr>
        <w:t xml:space="preserve"> het tegen elkaar wegstrepen van vorderingen.</w:t>
      </w:r>
    </w:p>
    <w:p w:rsidR="00F013DD" w:rsidRPr="00C743FB" w:rsidRDefault="00F013DD" w:rsidP="00777539">
      <w:pPr>
        <w:jc w:val="left"/>
        <w:rPr>
          <w:rFonts w:asciiTheme="minorHAnsi" w:hAnsiTheme="minorHAnsi" w:cstheme="minorHAnsi"/>
          <w:b w:val="0"/>
          <w:sz w:val="22"/>
        </w:rPr>
      </w:pPr>
    </w:p>
    <w:p w:rsidR="00777539" w:rsidRPr="00570D50" w:rsidRDefault="0021579F" w:rsidP="00570D50">
      <w:pPr>
        <w:pStyle w:val="Kop2"/>
        <w:spacing w:before="0" w:beforeAutospacing="0" w:after="0" w:afterAutospacing="0"/>
        <w:rPr>
          <w:rFonts w:asciiTheme="minorHAnsi" w:hAnsiTheme="minorHAnsi" w:cstheme="minorHAnsi"/>
          <w:sz w:val="24"/>
          <w:szCs w:val="24"/>
        </w:rPr>
      </w:pPr>
      <w:bookmarkStart w:id="25" w:name="_Toc486246620"/>
      <w:r w:rsidRPr="00570D50">
        <w:rPr>
          <w:rFonts w:asciiTheme="minorHAnsi" w:hAnsiTheme="minorHAnsi" w:cstheme="minorHAnsi"/>
          <w:sz w:val="24"/>
          <w:szCs w:val="24"/>
        </w:rPr>
        <w:t>§1 Verrekening</w:t>
      </w:r>
      <w:bookmarkEnd w:id="25"/>
    </w:p>
    <w:p w:rsidR="00D42311" w:rsidRPr="00C743FB" w:rsidRDefault="00D31FE1" w:rsidP="00777539">
      <w:pPr>
        <w:jc w:val="left"/>
        <w:rPr>
          <w:rFonts w:asciiTheme="minorHAnsi" w:hAnsiTheme="minorHAnsi" w:cstheme="minorHAnsi"/>
          <w:b w:val="0"/>
          <w:sz w:val="22"/>
        </w:rPr>
      </w:pPr>
      <w:r w:rsidRPr="00C743FB">
        <w:rPr>
          <w:rFonts w:asciiTheme="minorHAnsi" w:hAnsiTheme="minorHAnsi" w:cstheme="minorHAnsi"/>
          <w:b w:val="0"/>
          <w:sz w:val="22"/>
        </w:rPr>
        <w:t xml:space="preserve">Zoals hierboven benoemd is verrekening het door twee </w:t>
      </w:r>
      <w:r w:rsidR="00A845B3" w:rsidRPr="00C743FB">
        <w:rPr>
          <w:rFonts w:asciiTheme="minorHAnsi" w:hAnsiTheme="minorHAnsi" w:cstheme="minorHAnsi"/>
          <w:b w:val="0"/>
          <w:sz w:val="22"/>
        </w:rPr>
        <w:t>partijen</w:t>
      </w:r>
      <w:r w:rsidRPr="00C743FB">
        <w:rPr>
          <w:rFonts w:asciiTheme="minorHAnsi" w:hAnsiTheme="minorHAnsi" w:cstheme="minorHAnsi"/>
          <w:b w:val="0"/>
          <w:sz w:val="22"/>
        </w:rPr>
        <w:t xml:space="preserve"> </w:t>
      </w:r>
      <w:r w:rsidR="00A845B3" w:rsidRPr="00C743FB">
        <w:rPr>
          <w:rFonts w:asciiTheme="minorHAnsi" w:hAnsiTheme="minorHAnsi" w:cstheme="minorHAnsi"/>
          <w:b w:val="0"/>
          <w:sz w:val="22"/>
        </w:rPr>
        <w:t xml:space="preserve">wederkerig </w:t>
      </w:r>
      <w:r w:rsidRPr="00C743FB">
        <w:rPr>
          <w:rFonts w:asciiTheme="minorHAnsi" w:hAnsiTheme="minorHAnsi" w:cstheme="minorHAnsi"/>
          <w:b w:val="0"/>
          <w:sz w:val="22"/>
        </w:rPr>
        <w:t xml:space="preserve">laten </w:t>
      </w:r>
      <w:r w:rsidR="00A845B3" w:rsidRPr="00C743FB">
        <w:rPr>
          <w:rFonts w:asciiTheme="minorHAnsi" w:hAnsiTheme="minorHAnsi" w:cstheme="minorHAnsi"/>
          <w:b w:val="0"/>
          <w:sz w:val="22"/>
        </w:rPr>
        <w:t xml:space="preserve">vervallen van vorderingen die zij op elkaar hebben. Dit is voor de partijen efficiënt, het biedt </w:t>
      </w:r>
      <w:r w:rsidR="00962978" w:rsidRPr="00C743FB">
        <w:rPr>
          <w:rFonts w:asciiTheme="minorHAnsi" w:hAnsiTheme="minorHAnsi" w:cstheme="minorHAnsi"/>
          <w:b w:val="0"/>
          <w:sz w:val="22"/>
        </w:rPr>
        <w:t xml:space="preserve">hen </w:t>
      </w:r>
      <w:r w:rsidR="00A845B3" w:rsidRPr="00C743FB">
        <w:rPr>
          <w:rFonts w:asciiTheme="minorHAnsi" w:hAnsiTheme="minorHAnsi" w:cstheme="minorHAnsi"/>
          <w:b w:val="0"/>
          <w:sz w:val="22"/>
        </w:rPr>
        <w:t>zekerheid</w:t>
      </w:r>
      <w:r w:rsidR="00962978" w:rsidRPr="00C743FB">
        <w:rPr>
          <w:rFonts w:asciiTheme="minorHAnsi" w:hAnsiTheme="minorHAnsi" w:cstheme="minorHAnsi"/>
          <w:b w:val="0"/>
          <w:sz w:val="22"/>
        </w:rPr>
        <w:t xml:space="preserve"> tot betaling en er wordt in de praktijk enorm veel </w:t>
      </w:r>
      <w:r w:rsidR="000E67A4" w:rsidRPr="00C743FB">
        <w:rPr>
          <w:rFonts w:asciiTheme="minorHAnsi" w:hAnsiTheme="minorHAnsi" w:cstheme="minorHAnsi"/>
          <w:b w:val="0"/>
          <w:sz w:val="22"/>
        </w:rPr>
        <w:t xml:space="preserve">gebruik van gemaakt. Echter, in de praktijk wordt verrekening veelal toegepast zonder dat er daadwerkelijk een beroep op wordt gedaan. </w:t>
      </w:r>
      <w:r w:rsidR="00B923BE" w:rsidRPr="00C743FB">
        <w:rPr>
          <w:rFonts w:asciiTheme="minorHAnsi" w:hAnsiTheme="minorHAnsi" w:cstheme="minorHAnsi"/>
          <w:b w:val="0"/>
          <w:sz w:val="22"/>
        </w:rPr>
        <w:t>Verrekening wordt gewoonlijk gedaan met geldvorderingen, maar andere soort vorderingen kunnen tevens verrekend worden. Volgens artikel 6:127 lid 2 BW is dit mogelijk indien beide prestaties ‘aan elkaar beantwoorden’.</w:t>
      </w:r>
      <w:r w:rsidR="002C76CF" w:rsidRPr="00C743FB">
        <w:rPr>
          <w:rFonts w:asciiTheme="minorHAnsi" w:hAnsiTheme="minorHAnsi" w:cstheme="minorHAnsi"/>
          <w:b w:val="0"/>
          <w:sz w:val="22"/>
        </w:rPr>
        <w:t xml:space="preserve"> Om te kunnen verrekenen is het niet noodzakelijk dat de vorderingen van partijen gelijk zijn qua omvang, indien er verschil in omvang zit </w:t>
      </w:r>
      <w:r w:rsidR="000F58C8" w:rsidRPr="00C743FB">
        <w:rPr>
          <w:rFonts w:asciiTheme="minorHAnsi" w:hAnsiTheme="minorHAnsi" w:cstheme="minorHAnsi"/>
          <w:b w:val="0"/>
          <w:sz w:val="22"/>
        </w:rPr>
        <w:t>verdwijnen de schulden tot hun gezamenlijke uitkomst.</w:t>
      </w:r>
    </w:p>
    <w:p w:rsidR="00D42311" w:rsidRPr="00C743FB" w:rsidRDefault="00D42311" w:rsidP="00777539">
      <w:pPr>
        <w:jc w:val="left"/>
        <w:rPr>
          <w:rFonts w:asciiTheme="minorHAnsi" w:hAnsiTheme="minorHAnsi" w:cstheme="minorHAnsi"/>
          <w:b w:val="0"/>
          <w:sz w:val="22"/>
        </w:rPr>
      </w:pPr>
    </w:p>
    <w:p w:rsidR="00D31FE1" w:rsidRPr="00C743FB" w:rsidRDefault="00200DDA" w:rsidP="00777539">
      <w:pPr>
        <w:jc w:val="left"/>
        <w:rPr>
          <w:rFonts w:asciiTheme="minorHAnsi" w:hAnsiTheme="minorHAnsi" w:cstheme="minorHAnsi"/>
          <w:b w:val="0"/>
          <w:sz w:val="22"/>
        </w:rPr>
      </w:pPr>
      <w:r w:rsidRPr="00C743FB">
        <w:rPr>
          <w:rFonts w:asciiTheme="minorHAnsi" w:hAnsiTheme="minorHAnsi" w:cstheme="minorHAnsi"/>
          <w:b w:val="0"/>
          <w:sz w:val="22"/>
        </w:rPr>
        <w:t xml:space="preserve">De wettelijke bepalingen omtrent verrekening hebben een aanvullend karakter. Dit wil zeggen dat er zelf door partijen bepaald mag worden of-, en onder welke voorwaarden er verrekend mag worden. </w:t>
      </w:r>
      <w:r w:rsidR="00BE5B96" w:rsidRPr="00C743FB">
        <w:rPr>
          <w:rFonts w:asciiTheme="minorHAnsi" w:hAnsiTheme="minorHAnsi" w:cstheme="minorHAnsi"/>
          <w:b w:val="0"/>
          <w:sz w:val="22"/>
        </w:rPr>
        <w:t xml:space="preserve">Zodoende kan er in </w:t>
      </w:r>
      <w:r w:rsidR="00530197" w:rsidRPr="00C743FB">
        <w:rPr>
          <w:rFonts w:asciiTheme="minorHAnsi" w:hAnsiTheme="minorHAnsi" w:cstheme="minorHAnsi"/>
          <w:b w:val="0"/>
          <w:sz w:val="22"/>
        </w:rPr>
        <w:t xml:space="preserve">een overeenkomst tussen partijen worden afgesproken dat men alleen mag verrekenen middels een aanzegging op schrift, of dat </w:t>
      </w:r>
      <w:r w:rsidR="002F3FA8" w:rsidRPr="00C743FB">
        <w:rPr>
          <w:rFonts w:asciiTheme="minorHAnsi" w:hAnsiTheme="minorHAnsi" w:cstheme="minorHAnsi"/>
          <w:b w:val="0"/>
          <w:sz w:val="22"/>
        </w:rPr>
        <w:t>niet opeisbare geldvorderingen tevens vatbaar zijn voor verreken</w:t>
      </w:r>
      <w:r w:rsidR="00984D5C" w:rsidRPr="00C743FB">
        <w:rPr>
          <w:rFonts w:asciiTheme="minorHAnsi" w:hAnsiTheme="minorHAnsi" w:cstheme="minorHAnsi"/>
          <w:b w:val="0"/>
          <w:sz w:val="22"/>
        </w:rPr>
        <w:t>ing.</w:t>
      </w:r>
      <w:r w:rsidR="00984D5C" w:rsidRPr="00C743FB">
        <w:rPr>
          <w:rStyle w:val="Voetnootmarkering"/>
          <w:rFonts w:asciiTheme="minorHAnsi" w:hAnsiTheme="minorHAnsi" w:cstheme="minorHAnsi"/>
          <w:b w:val="0"/>
          <w:sz w:val="22"/>
        </w:rPr>
        <w:footnoteReference w:id="56"/>
      </w:r>
    </w:p>
    <w:p w:rsidR="00B923BE" w:rsidRPr="00C743FB" w:rsidRDefault="00B923BE" w:rsidP="00622147">
      <w:pPr>
        <w:jc w:val="left"/>
        <w:rPr>
          <w:rFonts w:asciiTheme="minorHAnsi" w:hAnsiTheme="minorHAnsi" w:cstheme="minorHAnsi"/>
          <w:b w:val="0"/>
          <w:sz w:val="22"/>
        </w:rPr>
      </w:pPr>
    </w:p>
    <w:p w:rsidR="00A442DD" w:rsidRPr="00C743FB" w:rsidRDefault="00A442DD" w:rsidP="00A442DD">
      <w:pPr>
        <w:jc w:val="left"/>
        <w:rPr>
          <w:rFonts w:asciiTheme="minorHAnsi" w:hAnsiTheme="minorHAnsi" w:cstheme="minorHAnsi"/>
          <w:b w:val="0"/>
          <w:sz w:val="22"/>
          <w:u w:val="single"/>
        </w:rPr>
      </w:pPr>
      <w:r w:rsidRPr="00C743FB">
        <w:rPr>
          <w:rFonts w:asciiTheme="minorHAnsi" w:hAnsiTheme="minorHAnsi" w:cstheme="minorHAnsi"/>
          <w:b w:val="0"/>
          <w:sz w:val="22"/>
          <w:u w:val="single"/>
        </w:rPr>
        <w:t xml:space="preserve">§1.1 </w:t>
      </w:r>
      <w:r w:rsidR="00824E03" w:rsidRPr="00C743FB">
        <w:rPr>
          <w:rFonts w:asciiTheme="minorHAnsi" w:hAnsiTheme="minorHAnsi" w:cstheme="minorHAnsi"/>
          <w:b w:val="0"/>
          <w:sz w:val="22"/>
          <w:u w:val="single"/>
        </w:rPr>
        <w:t>Bevoegdheid tot verrekening</w:t>
      </w:r>
    </w:p>
    <w:p w:rsidR="00E43D5E" w:rsidRPr="00C743FB" w:rsidRDefault="0077424D" w:rsidP="00622147">
      <w:pPr>
        <w:jc w:val="left"/>
        <w:rPr>
          <w:rFonts w:asciiTheme="minorHAnsi" w:hAnsiTheme="minorHAnsi" w:cstheme="minorHAnsi"/>
          <w:b w:val="0"/>
          <w:sz w:val="22"/>
        </w:rPr>
      </w:pPr>
      <w:r w:rsidRPr="00C743FB">
        <w:rPr>
          <w:rFonts w:asciiTheme="minorHAnsi" w:hAnsiTheme="minorHAnsi" w:cstheme="minorHAnsi"/>
          <w:b w:val="0"/>
          <w:sz w:val="22"/>
        </w:rPr>
        <w:t xml:space="preserve">Voor lange tijd is het onduidelijk geweest of voor het </w:t>
      </w:r>
      <w:r w:rsidR="007B77E0" w:rsidRPr="00C743FB">
        <w:rPr>
          <w:rFonts w:asciiTheme="minorHAnsi" w:hAnsiTheme="minorHAnsi" w:cstheme="minorHAnsi"/>
          <w:b w:val="0"/>
          <w:sz w:val="22"/>
        </w:rPr>
        <w:t>kunnen verrekenen</w:t>
      </w:r>
      <w:r w:rsidRPr="00C743FB">
        <w:rPr>
          <w:rFonts w:asciiTheme="minorHAnsi" w:hAnsiTheme="minorHAnsi" w:cstheme="minorHAnsi"/>
          <w:b w:val="0"/>
          <w:sz w:val="22"/>
        </w:rPr>
        <w:t xml:space="preserve"> een beroep op verrekening moet worden gedaan. </w:t>
      </w:r>
      <w:r w:rsidR="00F72B7E" w:rsidRPr="00C743FB">
        <w:rPr>
          <w:rFonts w:asciiTheme="minorHAnsi" w:hAnsiTheme="minorHAnsi" w:cstheme="minorHAnsi"/>
          <w:b w:val="0"/>
          <w:sz w:val="22"/>
        </w:rPr>
        <w:t>Volgens dhr. Klomp is</w:t>
      </w:r>
      <w:r w:rsidR="00F72B7E" w:rsidRPr="00C743FB">
        <w:rPr>
          <w:rFonts w:asciiTheme="minorHAnsi" w:hAnsiTheme="minorHAnsi" w:cstheme="minorHAnsi"/>
          <w:sz w:val="22"/>
        </w:rPr>
        <w:t xml:space="preserve"> </w:t>
      </w:r>
      <w:r w:rsidR="00F72B7E" w:rsidRPr="00C743FB">
        <w:rPr>
          <w:rFonts w:asciiTheme="minorHAnsi" w:hAnsiTheme="minorHAnsi" w:cstheme="minorHAnsi"/>
          <w:b w:val="0"/>
          <w:sz w:val="22"/>
        </w:rPr>
        <w:t xml:space="preserve">een vereiste voor verrekening dat een van de partijen jegens de andere partij bekendmaakt dat hij een beroep op verrekening doet. </w:t>
      </w:r>
      <w:r w:rsidR="000456D0" w:rsidRPr="00C743FB">
        <w:rPr>
          <w:rFonts w:asciiTheme="minorHAnsi" w:hAnsiTheme="minorHAnsi" w:cstheme="minorHAnsi"/>
          <w:b w:val="0"/>
          <w:sz w:val="22"/>
        </w:rPr>
        <w:t xml:space="preserve">Het staat een partij vrij om zijn verrekeningsbevoegdheid te gebruiken, deze bevoegdheid is namelijk een </w:t>
      </w:r>
      <w:proofErr w:type="spellStart"/>
      <w:r w:rsidR="000456D0" w:rsidRPr="00C743FB">
        <w:rPr>
          <w:rFonts w:asciiTheme="minorHAnsi" w:hAnsiTheme="minorHAnsi" w:cstheme="minorHAnsi"/>
          <w:b w:val="0"/>
          <w:sz w:val="22"/>
        </w:rPr>
        <w:t>wilsrecht</w:t>
      </w:r>
      <w:proofErr w:type="spellEnd"/>
      <w:r w:rsidR="000456D0" w:rsidRPr="00C743FB">
        <w:rPr>
          <w:rFonts w:asciiTheme="minorHAnsi" w:hAnsiTheme="minorHAnsi" w:cstheme="minorHAnsi"/>
          <w:b w:val="0"/>
          <w:sz w:val="22"/>
        </w:rPr>
        <w:t xml:space="preserve">. </w:t>
      </w:r>
      <w:r w:rsidR="00FD3995" w:rsidRPr="00C743FB">
        <w:rPr>
          <w:rFonts w:asciiTheme="minorHAnsi" w:hAnsiTheme="minorHAnsi" w:cstheme="minorHAnsi"/>
          <w:b w:val="0"/>
          <w:sz w:val="22"/>
        </w:rPr>
        <w:t xml:space="preserve">In de wet wordt een onderscheid gemaakt tussen de verrekeningsbevoegdheid en verrekening zelf. </w:t>
      </w:r>
      <w:r w:rsidR="00DE6B1C" w:rsidRPr="00C743FB">
        <w:rPr>
          <w:rFonts w:asciiTheme="minorHAnsi" w:hAnsiTheme="minorHAnsi" w:cstheme="minorHAnsi"/>
          <w:b w:val="0"/>
          <w:sz w:val="22"/>
        </w:rPr>
        <w:t xml:space="preserve">Voorafgaand aan het verrekenen bestaat de verrekeningsbevoegdheid </w:t>
      </w:r>
      <w:r w:rsidR="009B5493" w:rsidRPr="00C743FB">
        <w:rPr>
          <w:rFonts w:asciiTheme="minorHAnsi" w:hAnsiTheme="minorHAnsi" w:cstheme="minorHAnsi"/>
          <w:b w:val="0"/>
          <w:sz w:val="22"/>
        </w:rPr>
        <w:t xml:space="preserve">van partijen </w:t>
      </w:r>
      <w:r w:rsidR="00DE6B1C" w:rsidRPr="00C743FB">
        <w:rPr>
          <w:rFonts w:asciiTheme="minorHAnsi" w:hAnsiTheme="minorHAnsi" w:cstheme="minorHAnsi"/>
          <w:b w:val="0"/>
          <w:sz w:val="22"/>
        </w:rPr>
        <w:t>immers al.</w:t>
      </w:r>
      <w:r w:rsidR="00307636" w:rsidRPr="00C743FB">
        <w:rPr>
          <w:rStyle w:val="Voetnootmarkering"/>
          <w:rFonts w:asciiTheme="minorHAnsi" w:hAnsiTheme="minorHAnsi" w:cstheme="minorHAnsi"/>
          <w:b w:val="0"/>
          <w:sz w:val="22"/>
        </w:rPr>
        <w:footnoteReference w:id="57"/>
      </w:r>
      <w:r w:rsidR="00DE6B1C" w:rsidRPr="00C743FB">
        <w:rPr>
          <w:rFonts w:asciiTheme="minorHAnsi" w:hAnsiTheme="minorHAnsi" w:cstheme="minorHAnsi"/>
          <w:b w:val="0"/>
          <w:sz w:val="22"/>
        </w:rPr>
        <w:t xml:space="preserve"> </w:t>
      </w:r>
    </w:p>
    <w:p w:rsidR="00F759F2" w:rsidRPr="00C743FB" w:rsidRDefault="00F759F2" w:rsidP="00622147">
      <w:pPr>
        <w:jc w:val="left"/>
        <w:rPr>
          <w:rFonts w:asciiTheme="minorHAnsi" w:hAnsiTheme="minorHAnsi" w:cstheme="minorHAnsi"/>
          <w:b w:val="0"/>
          <w:sz w:val="22"/>
        </w:rPr>
      </w:pPr>
    </w:p>
    <w:p w:rsidR="00F759F2" w:rsidRPr="00C743FB" w:rsidRDefault="00F759F2" w:rsidP="00622147">
      <w:pPr>
        <w:jc w:val="left"/>
        <w:rPr>
          <w:rFonts w:asciiTheme="minorHAnsi" w:hAnsiTheme="minorHAnsi" w:cstheme="minorHAnsi"/>
          <w:b w:val="0"/>
          <w:sz w:val="22"/>
        </w:rPr>
      </w:pPr>
      <w:r w:rsidRPr="00C743FB">
        <w:rPr>
          <w:rFonts w:asciiTheme="minorHAnsi" w:hAnsiTheme="minorHAnsi" w:cstheme="minorHAnsi"/>
          <w:b w:val="0"/>
          <w:sz w:val="22"/>
        </w:rPr>
        <w:lastRenderedPageBreak/>
        <w:t xml:space="preserve">De verrekeningsbevoegdheid bevat een aantal rechtsgevolgen, zelfs als er geen beroep op verrekening is gedaan. </w:t>
      </w:r>
      <w:r w:rsidR="009243B0" w:rsidRPr="00C743FB">
        <w:rPr>
          <w:rFonts w:asciiTheme="minorHAnsi" w:hAnsiTheme="minorHAnsi" w:cstheme="minorHAnsi"/>
          <w:b w:val="0"/>
          <w:sz w:val="22"/>
        </w:rPr>
        <w:t xml:space="preserve">Ten eerste kan de bevoegdheid niet teniet gaan indien de oorzaak niet is te wijten aan de </w:t>
      </w:r>
      <w:proofErr w:type="spellStart"/>
      <w:r w:rsidR="009243B0" w:rsidRPr="00C743FB">
        <w:rPr>
          <w:rFonts w:asciiTheme="minorHAnsi" w:hAnsiTheme="minorHAnsi" w:cstheme="minorHAnsi"/>
          <w:b w:val="0"/>
          <w:sz w:val="22"/>
        </w:rPr>
        <w:t>verrekeningsbevoegde</w:t>
      </w:r>
      <w:proofErr w:type="spellEnd"/>
      <w:r w:rsidR="009243B0" w:rsidRPr="00C743FB">
        <w:rPr>
          <w:rFonts w:asciiTheme="minorHAnsi" w:hAnsiTheme="minorHAnsi" w:cstheme="minorHAnsi"/>
          <w:b w:val="0"/>
          <w:sz w:val="22"/>
        </w:rPr>
        <w:t xml:space="preserve"> partij. </w:t>
      </w:r>
      <w:r w:rsidR="005E765D" w:rsidRPr="00C743FB">
        <w:rPr>
          <w:rFonts w:asciiTheme="minorHAnsi" w:hAnsiTheme="minorHAnsi" w:cstheme="minorHAnsi"/>
          <w:b w:val="0"/>
          <w:sz w:val="22"/>
        </w:rPr>
        <w:t xml:space="preserve">Oorzaken </w:t>
      </w:r>
      <w:r w:rsidR="00DD0DC6" w:rsidRPr="00C743FB">
        <w:rPr>
          <w:rFonts w:asciiTheme="minorHAnsi" w:hAnsiTheme="minorHAnsi" w:cstheme="minorHAnsi"/>
          <w:b w:val="0"/>
          <w:sz w:val="22"/>
        </w:rPr>
        <w:t>die liggen bij</w:t>
      </w:r>
      <w:r w:rsidR="005E765D" w:rsidRPr="00C743FB">
        <w:rPr>
          <w:rFonts w:asciiTheme="minorHAnsi" w:hAnsiTheme="minorHAnsi" w:cstheme="minorHAnsi"/>
          <w:b w:val="0"/>
          <w:sz w:val="22"/>
        </w:rPr>
        <w:t xml:space="preserve"> de wederpartij of door tijdsverloop kunnen de verrekeningsbevoegdheid dus niet aantasten. </w:t>
      </w:r>
      <w:r w:rsidR="00DD0DC6" w:rsidRPr="00C743FB">
        <w:rPr>
          <w:rFonts w:asciiTheme="minorHAnsi" w:hAnsiTheme="minorHAnsi" w:cstheme="minorHAnsi"/>
          <w:b w:val="0"/>
          <w:sz w:val="22"/>
        </w:rPr>
        <w:t>De bevoegdheid tot verrekening gaat wel verloren indien de bevoegde partij zelf zijn prestatie verricht, waardoor verrekening niet meer openstaat.</w:t>
      </w:r>
      <w:r w:rsidR="00762683" w:rsidRPr="00C743FB">
        <w:rPr>
          <w:rStyle w:val="Voetnootmarkering"/>
          <w:rFonts w:asciiTheme="minorHAnsi" w:hAnsiTheme="minorHAnsi" w:cstheme="minorHAnsi"/>
          <w:b w:val="0"/>
          <w:sz w:val="22"/>
        </w:rPr>
        <w:footnoteReference w:id="58"/>
      </w:r>
    </w:p>
    <w:p w:rsidR="00115A47" w:rsidRPr="00C743FB" w:rsidRDefault="00115A47" w:rsidP="00622147">
      <w:pPr>
        <w:jc w:val="left"/>
        <w:rPr>
          <w:rFonts w:asciiTheme="minorHAnsi" w:hAnsiTheme="minorHAnsi" w:cstheme="minorHAnsi"/>
          <w:b w:val="0"/>
          <w:sz w:val="22"/>
          <w:highlight w:val="yellow"/>
        </w:rPr>
      </w:pPr>
    </w:p>
    <w:p w:rsidR="00F64EA6" w:rsidRPr="00570D50" w:rsidRDefault="00B85D53" w:rsidP="00570D50">
      <w:pPr>
        <w:pStyle w:val="Kop2"/>
        <w:spacing w:before="0" w:beforeAutospacing="0" w:after="0" w:afterAutospacing="0"/>
        <w:rPr>
          <w:rFonts w:asciiTheme="minorHAnsi" w:hAnsiTheme="minorHAnsi" w:cstheme="minorHAnsi"/>
          <w:sz w:val="24"/>
          <w:szCs w:val="24"/>
        </w:rPr>
      </w:pPr>
      <w:bookmarkStart w:id="26" w:name="_Toc486246621"/>
      <w:r w:rsidRPr="00570D50">
        <w:rPr>
          <w:rFonts w:asciiTheme="minorHAnsi" w:hAnsiTheme="minorHAnsi" w:cstheme="minorHAnsi"/>
          <w:sz w:val="24"/>
          <w:szCs w:val="24"/>
        </w:rPr>
        <w:t>§2 Voorwaarden voor verrekening</w:t>
      </w:r>
      <w:bookmarkEnd w:id="26"/>
    </w:p>
    <w:p w:rsidR="006C6FCF" w:rsidRPr="00C743FB" w:rsidRDefault="00DA6EE1" w:rsidP="00777539">
      <w:pPr>
        <w:jc w:val="left"/>
        <w:rPr>
          <w:rFonts w:asciiTheme="minorHAnsi" w:hAnsiTheme="minorHAnsi" w:cstheme="minorHAnsi"/>
          <w:b w:val="0"/>
          <w:sz w:val="22"/>
        </w:rPr>
      </w:pPr>
      <w:r w:rsidRPr="00C743FB">
        <w:rPr>
          <w:rFonts w:asciiTheme="minorHAnsi" w:hAnsiTheme="minorHAnsi" w:cstheme="minorHAnsi"/>
          <w:b w:val="0"/>
          <w:sz w:val="22"/>
        </w:rPr>
        <w:t>De grondslag voor v</w:t>
      </w:r>
      <w:r w:rsidR="00777539" w:rsidRPr="00C743FB">
        <w:rPr>
          <w:rFonts w:asciiTheme="minorHAnsi" w:hAnsiTheme="minorHAnsi" w:cstheme="minorHAnsi"/>
          <w:b w:val="0"/>
          <w:sz w:val="22"/>
        </w:rPr>
        <w:t>errekening</w:t>
      </w:r>
      <w:r w:rsidRPr="00C743FB">
        <w:rPr>
          <w:rFonts w:asciiTheme="minorHAnsi" w:hAnsiTheme="minorHAnsi" w:cstheme="minorHAnsi"/>
          <w:b w:val="0"/>
          <w:sz w:val="22"/>
        </w:rPr>
        <w:t xml:space="preserve"> ligt in artikel 6:127 BW</w:t>
      </w:r>
      <w:r w:rsidR="00777539" w:rsidRPr="00C743FB">
        <w:rPr>
          <w:rFonts w:asciiTheme="minorHAnsi" w:hAnsiTheme="minorHAnsi" w:cstheme="minorHAnsi"/>
          <w:b w:val="0"/>
          <w:sz w:val="22"/>
        </w:rPr>
        <w:t xml:space="preserve">. </w:t>
      </w:r>
      <w:r w:rsidRPr="00C743FB">
        <w:rPr>
          <w:rFonts w:asciiTheme="minorHAnsi" w:hAnsiTheme="minorHAnsi" w:cstheme="minorHAnsi"/>
          <w:b w:val="0"/>
          <w:sz w:val="22"/>
        </w:rPr>
        <w:t>Dit wetsartikel zegt dat o</w:t>
      </w:r>
      <w:r w:rsidR="00777539" w:rsidRPr="00C743FB">
        <w:rPr>
          <w:rFonts w:asciiTheme="minorHAnsi" w:hAnsiTheme="minorHAnsi" w:cstheme="minorHAnsi"/>
          <w:b w:val="0"/>
          <w:sz w:val="22"/>
        </w:rPr>
        <w:t xml:space="preserve">m voor verrekening in aanmerking te komen er aan een aantal voorwaarden voldaan </w:t>
      </w:r>
      <w:r w:rsidR="00266916" w:rsidRPr="00C743FB">
        <w:rPr>
          <w:rFonts w:asciiTheme="minorHAnsi" w:hAnsiTheme="minorHAnsi" w:cstheme="minorHAnsi"/>
          <w:b w:val="0"/>
          <w:sz w:val="22"/>
        </w:rPr>
        <w:t>moet</w:t>
      </w:r>
      <w:r w:rsidR="00777539" w:rsidRPr="00C743FB">
        <w:rPr>
          <w:rFonts w:asciiTheme="minorHAnsi" w:hAnsiTheme="minorHAnsi" w:cstheme="minorHAnsi"/>
          <w:b w:val="0"/>
          <w:sz w:val="22"/>
        </w:rPr>
        <w:t xml:space="preserve"> worden. Ten eerste dienen partijen elkaars schuldenaar </w:t>
      </w:r>
      <w:r w:rsidR="00CD7EC8" w:rsidRPr="00C743FB">
        <w:rPr>
          <w:rFonts w:asciiTheme="minorHAnsi" w:hAnsiTheme="minorHAnsi" w:cstheme="minorHAnsi"/>
          <w:b w:val="0"/>
          <w:sz w:val="22"/>
        </w:rPr>
        <w:t xml:space="preserve">en schuldeiser </w:t>
      </w:r>
      <w:r w:rsidR="00777539" w:rsidRPr="00C743FB">
        <w:rPr>
          <w:rFonts w:asciiTheme="minorHAnsi" w:hAnsiTheme="minorHAnsi" w:cstheme="minorHAnsi"/>
          <w:b w:val="0"/>
          <w:sz w:val="22"/>
        </w:rPr>
        <w:t xml:space="preserve">te zijn, de schuld moet wederkerig zijn. </w:t>
      </w:r>
      <w:r w:rsidR="00CD7EC8" w:rsidRPr="00C743FB">
        <w:rPr>
          <w:rFonts w:asciiTheme="minorHAnsi" w:hAnsiTheme="minorHAnsi" w:cstheme="minorHAnsi"/>
          <w:b w:val="0"/>
          <w:sz w:val="22"/>
        </w:rPr>
        <w:t>Hier wordt niet aan voldaan indien de vordering en de schuld in gescheiden vermogens vallen</w:t>
      </w:r>
      <w:r w:rsidR="00950CED" w:rsidRPr="00C743FB">
        <w:rPr>
          <w:rFonts w:asciiTheme="minorHAnsi" w:hAnsiTheme="minorHAnsi" w:cstheme="minorHAnsi"/>
          <w:b w:val="0"/>
          <w:sz w:val="22"/>
        </w:rPr>
        <w:t xml:space="preserve">, of als een van de partijen in </w:t>
      </w:r>
      <w:r w:rsidR="00F67F71" w:rsidRPr="00C743FB">
        <w:rPr>
          <w:rFonts w:asciiTheme="minorHAnsi" w:hAnsiTheme="minorHAnsi" w:cstheme="minorHAnsi"/>
          <w:b w:val="0"/>
          <w:sz w:val="22"/>
        </w:rPr>
        <w:t>andere</w:t>
      </w:r>
      <w:r w:rsidR="00950CED" w:rsidRPr="00C743FB">
        <w:rPr>
          <w:rFonts w:asciiTheme="minorHAnsi" w:hAnsiTheme="minorHAnsi" w:cstheme="minorHAnsi"/>
          <w:b w:val="0"/>
          <w:sz w:val="22"/>
        </w:rPr>
        <w:t xml:space="preserve"> hoedanigheid is</w:t>
      </w:r>
      <w:r w:rsidR="00CD7EC8" w:rsidRPr="00C743FB">
        <w:rPr>
          <w:rFonts w:asciiTheme="minorHAnsi" w:hAnsiTheme="minorHAnsi" w:cstheme="minorHAnsi"/>
          <w:b w:val="0"/>
          <w:sz w:val="22"/>
        </w:rPr>
        <w:t xml:space="preserve">. </w:t>
      </w:r>
      <w:r w:rsidR="00B55261" w:rsidRPr="00C743FB">
        <w:rPr>
          <w:rFonts w:asciiTheme="minorHAnsi" w:hAnsiTheme="minorHAnsi" w:cstheme="minorHAnsi"/>
          <w:b w:val="0"/>
          <w:sz w:val="22"/>
        </w:rPr>
        <w:t xml:space="preserve">Het gescheiden vermogen </w:t>
      </w:r>
      <w:r w:rsidR="00CD7EC8" w:rsidRPr="00C743FB">
        <w:rPr>
          <w:rFonts w:asciiTheme="minorHAnsi" w:hAnsiTheme="minorHAnsi" w:cstheme="minorHAnsi"/>
          <w:b w:val="0"/>
          <w:sz w:val="22"/>
        </w:rPr>
        <w:t xml:space="preserve">speelt </w:t>
      </w:r>
      <w:r w:rsidR="00CE265B" w:rsidRPr="00C743FB">
        <w:rPr>
          <w:rFonts w:asciiTheme="minorHAnsi" w:hAnsiTheme="minorHAnsi" w:cstheme="minorHAnsi"/>
          <w:b w:val="0"/>
          <w:sz w:val="22"/>
        </w:rPr>
        <w:t>bijvoorbeeld als de ene vordering in het privé vermogen van een erfgenaam valt en de andere vordering tot de beneficiair aanvaarde nalatenschap.</w:t>
      </w:r>
      <w:r w:rsidR="00CE265B" w:rsidRPr="00C743FB">
        <w:rPr>
          <w:rStyle w:val="Voetnootmarkering"/>
          <w:rFonts w:asciiTheme="minorHAnsi" w:hAnsiTheme="minorHAnsi" w:cstheme="minorHAnsi"/>
          <w:b w:val="0"/>
          <w:sz w:val="22"/>
        </w:rPr>
        <w:footnoteReference w:id="59"/>
      </w:r>
      <w:r w:rsidR="00642518" w:rsidRPr="00C743FB">
        <w:rPr>
          <w:rFonts w:asciiTheme="minorHAnsi" w:hAnsiTheme="minorHAnsi" w:cstheme="minorHAnsi"/>
          <w:b w:val="0"/>
          <w:sz w:val="22"/>
        </w:rPr>
        <w:t xml:space="preserve"> </w:t>
      </w:r>
      <w:r w:rsidR="00CE265B" w:rsidRPr="00C743FB">
        <w:rPr>
          <w:rStyle w:val="Voetnootmarkering"/>
          <w:rFonts w:asciiTheme="minorHAnsi" w:hAnsiTheme="minorHAnsi" w:cstheme="minorHAnsi"/>
          <w:b w:val="0"/>
          <w:sz w:val="22"/>
        </w:rPr>
        <w:footnoteReference w:id="60"/>
      </w:r>
      <w:r w:rsidR="00950CED" w:rsidRPr="00C743FB">
        <w:rPr>
          <w:rFonts w:asciiTheme="minorHAnsi" w:hAnsiTheme="minorHAnsi" w:cstheme="minorHAnsi"/>
          <w:b w:val="0"/>
          <w:sz w:val="22"/>
        </w:rPr>
        <w:t xml:space="preserve"> </w:t>
      </w:r>
      <w:r w:rsidR="00F67F71" w:rsidRPr="00C743FB">
        <w:rPr>
          <w:rFonts w:asciiTheme="minorHAnsi" w:hAnsiTheme="minorHAnsi" w:cstheme="minorHAnsi"/>
          <w:b w:val="0"/>
          <w:sz w:val="22"/>
        </w:rPr>
        <w:t>H</w:t>
      </w:r>
      <w:r w:rsidR="00B55261" w:rsidRPr="00C743FB">
        <w:rPr>
          <w:rFonts w:asciiTheme="minorHAnsi" w:hAnsiTheme="minorHAnsi" w:cstheme="minorHAnsi"/>
          <w:b w:val="0"/>
          <w:sz w:val="22"/>
        </w:rPr>
        <w:t xml:space="preserve">et verschil in hoedanigheid </w:t>
      </w:r>
      <w:r w:rsidR="00F67F71" w:rsidRPr="00C743FB">
        <w:rPr>
          <w:rFonts w:asciiTheme="minorHAnsi" w:hAnsiTheme="minorHAnsi" w:cstheme="minorHAnsi"/>
          <w:b w:val="0"/>
          <w:sz w:val="22"/>
        </w:rPr>
        <w:t xml:space="preserve">zit hem in het feit dat een hoofdelijk schuldenaar niet kan verrekenen met een medeschuldenaar. Dit </w:t>
      </w:r>
      <w:r w:rsidR="00B55261" w:rsidRPr="00C743FB">
        <w:rPr>
          <w:rFonts w:asciiTheme="minorHAnsi" w:hAnsiTheme="minorHAnsi" w:cstheme="minorHAnsi"/>
          <w:b w:val="0"/>
          <w:sz w:val="22"/>
        </w:rPr>
        <w:t>speelt bij</w:t>
      </w:r>
      <w:r w:rsidR="00950CED" w:rsidRPr="00C743FB">
        <w:rPr>
          <w:rFonts w:asciiTheme="minorHAnsi" w:hAnsiTheme="minorHAnsi" w:cstheme="minorHAnsi"/>
          <w:b w:val="0"/>
          <w:sz w:val="22"/>
        </w:rPr>
        <w:t xml:space="preserve"> een </w:t>
      </w:r>
      <w:r w:rsidR="00B55261" w:rsidRPr="00C743FB">
        <w:rPr>
          <w:rFonts w:asciiTheme="minorHAnsi" w:hAnsiTheme="minorHAnsi" w:cstheme="minorHAnsi"/>
          <w:b w:val="0"/>
          <w:sz w:val="22"/>
        </w:rPr>
        <w:t>vruchtgebruiker</w:t>
      </w:r>
      <w:r w:rsidR="00950CED" w:rsidRPr="00C743FB">
        <w:rPr>
          <w:rFonts w:asciiTheme="minorHAnsi" w:hAnsiTheme="minorHAnsi" w:cstheme="minorHAnsi"/>
          <w:b w:val="0"/>
          <w:sz w:val="22"/>
        </w:rPr>
        <w:t xml:space="preserve"> </w:t>
      </w:r>
      <w:r w:rsidR="00B55261" w:rsidRPr="00C743FB">
        <w:rPr>
          <w:rFonts w:asciiTheme="minorHAnsi" w:hAnsiTheme="minorHAnsi" w:cstheme="minorHAnsi"/>
          <w:b w:val="0"/>
          <w:sz w:val="22"/>
        </w:rPr>
        <w:t>of een gevolmachtigde van een vordering.</w:t>
      </w:r>
    </w:p>
    <w:p w:rsidR="006C6FCF" w:rsidRPr="00C743FB" w:rsidRDefault="006C6FCF" w:rsidP="00777539">
      <w:pPr>
        <w:jc w:val="left"/>
        <w:rPr>
          <w:rFonts w:asciiTheme="minorHAnsi" w:hAnsiTheme="minorHAnsi" w:cstheme="minorHAnsi"/>
          <w:b w:val="0"/>
          <w:sz w:val="22"/>
        </w:rPr>
      </w:pPr>
    </w:p>
    <w:p w:rsidR="000360BE" w:rsidRPr="00C743FB" w:rsidRDefault="00777539" w:rsidP="00777539">
      <w:pPr>
        <w:jc w:val="left"/>
        <w:rPr>
          <w:rFonts w:asciiTheme="minorHAnsi" w:hAnsiTheme="minorHAnsi" w:cstheme="minorHAnsi"/>
          <w:b w:val="0"/>
          <w:sz w:val="22"/>
        </w:rPr>
      </w:pPr>
      <w:r w:rsidRPr="00C743FB">
        <w:rPr>
          <w:rFonts w:asciiTheme="minorHAnsi" w:hAnsiTheme="minorHAnsi" w:cstheme="minorHAnsi"/>
          <w:b w:val="0"/>
          <w:sz w:val="22"/>
        </w:rPr>
        <w:t xml:space="preserve">Ten tweede </w:t>
      </w:r>
      <w:r w:rsidR="003068D4" w:rsidRPr="00C743FB">
        <w:rPr>
          <w:rFonts w:asciiTheme="minorHAnsi" w:hAnsiTheme="minorHAnsi" w:cstheme="minorHAnsi"/>
          <w:b w:val="0"/>
          <w:sz w:val="22"/>
        </w:rPr>
        <w:t>mogen</w:t>
      </w:r>
      <w:r w:rsidRPr="00C743FB">
        <w:rPr>
          <w:rFonts w:asciiTheme="minorHAnsi" w:hAnsiTheme="minorHAnsi" w:cstheme="minorHAnsi"/>
          <w:b w:val="0"/>
          <w:sz w:val="22"/>
        </w:rPr>
        <w:t xml:space="preserve"> een schuldenaar</w:t>
      </w:r>
      <w:r w:rsidR="003068D4" w:rsidRPr="00C743FB">
        <w:rPr>
          <w:rFonts w:asciiTheme="minorHAnsi" w:hAnsiTheme="minorHAnsi" w:cstheme="minorHAnsi"/>
          <w:b w:val="0"/>
          <w:sz w:val="22"/>
        </w:rPr>
        <w:t xml:space="preserve"> en schuldeiser</w:t>
      </w:r>
      <w:r w:rsidRPr="00C743FB">
        <w:rPr>
          <w:rFonts w:asciiTheme="minorHAnsi" w:hAnsiTheme="minorHAnsi" w:cstheme="minorHAnsi"/>
          <w:b w:val="0"/>
          <w:sz w:val="22"/>
        </w:rPr>
        <w:t xml:space="preserve"> niet minderjarig zijn, onder curatele staan of failliet zijn. De schuldenaar</w:t>
      </w:r>
      <w:r w:rsidR="003068D4" w:rsidRPr="00C743FB">
        <w:rPr>
          <w:rFonts w:asciiTheme="minorHAnsi" w:hAnsiTheme="minorHAnsi" w:cstheme="minorHAnsi"/>
          <w:b w:val="0"/>
          <w:sz w:val="22"/>
        </w:rPr>
        <w:t xml:space="preserve"> en schuldeiser</w:t>
      </w:r>
      <w:r w:rsidRPr="00C743FB">
        <w:rPr>
          <w:rFonts w:asciiTheme="minorHAnsi" w:hAnsiTheme="minorHAnsi" w:cstheme="minorHAnsi"/>
          <w:b w:val="0"/>
          <w:sz w:val="22"/>
        </w:rPr>
        <w:t xml:space="preserve"> moet</w:t>
      </w:r>
      <w:r w:rsidR="003068D4" w:rsidRPr="00C743FB">
        <w:rPr>
          <w:rFonts w:asciiTheme="minorHAnsi" w:hAnsiTheme="minorHAnsi" w:cstheme="minorHAnsi"/>
          <w:b w:val="0"/>
          <w:sz w:val="22"/>
        </w:rPr>
        <w:t>en</w:t>
      </w:r>
      <w:r w:rsidRPr="00C743FB">
        <w:rPr>
          <w:rFonts w:asciiTheme="minorHAnsi" w:hAnsiTheme="minorHAnsi" w:cstheme="minorHAnsi"/>
          <w:b w:val="0"/>
          <w:sz w:val="22"/>
        </w:rPr>
        <w:t xml:space="preserve"> dus bevoegd zijn. Ten derde dienen de vorderingen gelijksoortig te zijn, bijvoorbeeld allebei een geldvordering. </w:t>
      </w:r>
      <w:r w:rsidR="00690C3E" w:rsidRPr="00C743FB">
        <w:rPr>
          <w:rFonts w:asciiTheme="minorHAnsi" w:hAnsiTheme="minorHAnsi" w:cstheme="minorHAnsi"/>
          <w:b w:val="0"/>
          <w:sz w:val="22"/>
        </w:rPr>
        <w:t xml:space="preserve">De prestaties </w:t>
      </w:r>
      <w:r w:rsidR="002D4CCB" w:rsidRPr="00C743FB">
        <w:rPr>
          <w:rFonts w:asciiTheme="minorHAnsi" w:hAnsiTheme="minorHAnsi" w:cstheme="minorHAnsi"/>
          <w:b w:val="0"/>
          <w:sz w:val="22"/>
        </w:rPr>
        <w:t xml:space="preserve">en schulden </w:t>
      </w:r>
      <w:r w:rsidR="00690C3E" w:rsidRPr="00C743FB">
        <w:rPr>
          <w:rFonts w:asciiTheme="minorHAnsi" w:hAnsiTheme="minorHAnsi" w:cstheme="minorHAnsi"/>
          <w:b w:val="0"/>
          <w:sz w:val="22"/>
        </w:rPr>
        <w:t>dienen namelijk aan elkaar te beantwoorden. Prestaties beantwoorden aan elkaar wanneer het dezelfde kwaliteit en dezelfde soort is. Het hoeft niet dezelfde hoeveelheid te zijn om te kunnen verrekenen, er wordt dan namelijk verrekend tot het gemeenschappelijk beloop.</w:t>
      </w:r>
      <w:r w:rsidR="000C3480" w:rsidRPr="00C743FB">
        <w:rPr>
          <w:rStyle w:val="Voetnootmarkering"/>
          <w:rFonts w:asciiTheme="minorHAnsi" w:hAnsiTheme="minorHAnsi" w:cstheme="minorHAnsi"/>
          <w:b w:val="0"/>
          <w:sz w:val="22"/>
        </w:rPr>
        <w:footnoteReference w:id="61"/>
      </w:r>
      <w:r w:rsidR="00690C3E" w:rsidRPr="00C743FB">
        <w:rPr>
          <w:rFonts w:asciiTheme="minorHAnsi" w:hAnsiTheme="minorHAnsi" w:cstheme="minorHAnsi"/>
          <w:b w:val="0"/>
          <w:sz w:val="22"/>
        </w:rPr>
        <w:t xml:space="preserve"> </w:t>
      </w:r>
    </w:p>
    <w:p w:rsidR="000360BE" w:rsidRPr="00C743FB" w:rsidRDefault="000360BE" w:rsidP="00777539">
      <w:pPr>
        <w:jc w:val="left"/>
        <w:rPr>
          <w:rFonts w:asciiTheme="minorHAnsi" w:hAnsiTheme="minorHAnsi" w:cstheme="minorHAnsi"/>
          <w:b w:val="0"/>
          <w:sz w:val="22"/>
        </w:rPr>
      </w:pPr>
    </w:p>
    <w:p w:rsidR="00777539" w:rsidRPr="00C743FB" w:rsidRDefault="00777539" w:rsidP="00777539">
      <w:pPr>
        <w:jc w:val="left"/>
        <w:rPr>
          <w:rFonts w:asciiTheme="minorHAnsi" w:hAnsiTheme="minorHAnsi" w:cstheme="minorHAnsi"/>
          <w:b w:val="0"/>
          <w:sz w:val="22"/>
        </w:rPr>
      </w:pPr>
      <w:r w:rsidRPr="00C743FB">
        <w:rPr>
          <w:rFonts w:asciiTheme="minorHAnsi" w:hAnsiTheme="minorHAnsi" w:cstheme="minorHAnsi"/>
          <w:b w:val="0"/>
          <w:sz w:val="22"/>
        </w:rPr>
        <w:t>Tot slot dient de vordering waarmee verrekening gaat plaatsvinden opeisbaar te zijn.</w:t>
      </w:r>
      <w:r w:rsidRPr="00C743FB">
        <w:rPr>
          <w:rStyle w:val="Voetnootmarkering"/>
          <w:rFonts w:asciiTheme="minorHAnsi" w:hAnsiTheme="minorHAnsi" w:cstheme="minorHAnsi"/>
          <w:b w:val="0"/>
          <w:sz w:val="22"/>
        </w:rPr>
        <w:footnoteReference w:id="62"/>
      </w:r>
      <w:r w:rsidRPr="00C743FB">
        <w:rPr>
          <w:rFonts w:asciiTheme="minorHAnsi" w:hAnsiTheme="minorHAnsi" w:cstheme="minorHAnsi"/>
          <w:b w:val="0"/>
          <w:sz w:val="22"/>
        </w:rPr>
        <w:t xml:space="preserve"> </w:t>
      </w:r>
      <w:r w:rsidRPr="00C743FB">
        <w:rPr>
          <w:rStyle w:val="Voetnootmarkering"/>
          <w:rFonts w:asciiTheme="minorHAnsi" w:hAnsiTheme="minorHAnsi" w:cstheme="minorHAnsi"/>
          <w:b w:val="0"/>
          <w:sz w:val="22"/>
        </w:rPr>
        <w:footnoteReference w:id="63"/>
      </w:r>
      <w:r w:rsidR="00B72BF7" w:rsidRPr="00C743FB">
        <w:rPr>
          <w:rFonts w:asciiTheme="minorHAnsi" w:hAnsiTheme="minorHAnsi" w:cstheme="minorHAnsi"/>
          <w:b w:val="0"/>
          <w:sz w:val="22"/>
        </w:rPr>
        <w:t xml:space="preserve"> Indien er een termijn is afgesproken, een natuurlijke verbintenis loopt of </w:t>
      </w:r>
      <w:r w:rsidR="001A0213" w:rsidRPr="00C743FB">
        <w:rPr>
          <w:rFonts w:asciiTheme="minorHAnsi" w:hAnsiTheme="minorHAnsi" w:cstheme="minorHAnsi"/>
          <w:b w:val="0"/>
          <w:sz w:val="22"/>
        </w:rPr>
        <w:t xml:space="preserve">er </w:t>
      </w:r>
      <w:r w:rsidR="00B72BF7" w:rsidRPr="00C743FB">
        <w:rPr>
          <w:rFonts w:asciiTheme="minorHAnsi" w:hAnsiTheme="minorHAnsi" w:cstheme="minorHAnsi"/>
          <w:b w:val="0"/>
          <w:sz w:val="22"/>
        </w:rPr>
        <w:t xml:space="preserve">wordt beroept op een opschortingsrecht, dan is er sprake van niet-opeisbaarheid. </w:t>
      </w:r>
      <w:r w:rsidR="00B25C56" w:rsidRPr="00C743FB">
        <w:rPr>
          <w:rFonts w:asciiTheme="minorHAnsi" w:hAnsiTheme="minorHAnsi" w:cstheme="minorHAnsi"/>
          <w:b w:val="0"/>
          <w:sz w:val="22"/>
        </w:rPr>
        <w:t xml:space="preserve">Let op, </w:t>
      </w:r>
      <w:r w:rsidR="001A0213" w:rsidRPr="00C743FB">
        <w:rPr>
          <w:rFonts w:asciiTheme="minorHAnsi" w:hAnsiTheme="minorHAnsi" w:cstheme="minorHAnsi"/>
          <w:b w:val="0"/>
          <w:sz w:val="22"/>
        </w:rPr>
        <w:t xml:space="preserve">alleen </w:t>
      </w:r>
      <w:r w:rsidR="00B25C56" w:rsidRPr="00C743FB">
        <w:rPr>
          <w:rFonts w:asciiTheme="minorHAnsi" w:hAnsiTheme="minorHAnsi" w:cstheme="minorHAnsi"/>
          <w:b w:val="0"/>
          <w:sz w:val="22"/>
        </w:rPr>
        <w:t xml:space="preserve">de vordering </w:t>
      </w:r>
      <w:r w:rsidR="001A0213" w:rsidRPr="00C743FB">
        <w:rPr>
          <w:rFonts w:asciiTheme="minorHAnsi" w:hAnsiTheme="minorHAnsi" w:cstheme="minorHAnsi"/>
          <w:b w:val="0"/>
          <w:sz w:val="22"/>
        </w:rPr>
        <w:t>dient</w:t>
      </w:r>
      <w:r w:rsidR="00B25C56" w:rsidRPr="00C743FB">
        <w:rPr>
          <w:rFonts w:asciiTheme="minorHAnsi" w:hAnsiTheme="minorHAnsi" w:cstheme="minorHAnsi"/>
          <w:b w:val="0"/>
          <w:sz w:val="22"/>
        </w:rPr>
        <w:t xml:space="preserve"> opeisbaar</w:t>
      </w:r>
      <w:r w:rsidR="001A0213" w:rsidRPr="00C743FB">
        <w:rPr>
          <w:rFonts w:asciiTheme="minorHAnsi" w:hAnsiTheme="minorHAnsi" w:cstheme="minorHAnsi"/>
          <w:b w:val="0"/>
          <w:sz w:val="22"/>
        </w:rPr>
        <w:t xml:space="preserve"> te</w:t>
      </w:r>
      <w:r w:rsidR="00D52FBC" w:rsidRPr="00C743FB">
        <w:rPr>
          <w:rFonts w:asciiTheme="minorHAnsi" w:hAnsiTheme="minorHAnsi" w:cstheme="minorHAnsi"/>
          <w:b w:val="0"/>
          <w:sz w:val="22"/>
        </w:rPr>
        <w:t xml:space="preserve"> zijn om te kunnen verrekenen,</w:t>
      </w:r>
      <w:r w:rsidR="00B25C56" w:rsidRPr="00C743FB">
        <w:rPr>
          <w:rFonts w:asciiTheme="minorHAnsi" w:hAnsiTheme="minorHAnsi" w:cstheme="minorHAnsi"/>
          <w:b w:val="0"/>
          <w:sz w:val="22"/>
        </w:rPr>
        <w:t xml:space="preserve"> de schul</w:t>
      </w:r>
      <w:r w:rsidR="00D9596F" w:rsidRPr="00C743FB">
        <w:rPr>
          <w:rFonts w:asciiTheme="minorHAnsi" w:hAnsiTheme="minorHAnsi" w:cstheme="minorHAnsi"/>
          <w:b w:val="0"/>
          <w:sz w:val="22"/>
        </w:rPr>
        <w:t>d hoeft niet opeisbaar te zijn.</w:t>
      </w:r>
      <w:r w:rsidR="009D0505" w:rsidRPr="00C743FB">
        <w:rPr>
          <w:rStyle w:val="Voetnootmarkering"/>
          <w:rFonts w:asciiTheme="minorHAnsi" w:hAnsiTheme="minorHAnsi" w:cstheme="minorHAnsi"/>
          <w:b w:val="0"/>
          <w:sz w:val="22"/>
        </w:rPr>
        <w:footnoteReference w:id="64"/>
      </w:r>
    </w:p>
    <w:p w:rsidR="0093531A" w:rsidRPr="00C743FB" w:rsidRDefault="0093531A" w:rsidP="00777539">
      <w:pPr>
        <w:jc w:val="left"/>
        <w:rPr>
          <w:rFonts w:asciiTheme="minorHAnsi" w:hAnsiTheme="minorHAnsi" w:cstheme="minorHAnsi"/>
          <w:b w:val="0"/>
          <w:sz w:val="22"/>
        </w:rPr>
      </w:pPr>
    </w:p>
    <w:p w:rsidR="0093531A" w:rsidRPr="00C743FB" w:rsidRDefault="0093531A" w:rsidP="00777539">
      <w:pPr>
        <w:jc w:val="left"/>
        <w:rPr>
          <w:rFonts w:asciiTheme="minorHAnsi" w:hAnsiTheme="minorHAnsi" w:cstheme="minorHAnsi"/>
          <w:b w:val="0"/>
          <w:sz w:val="22"/>
        </w:rPr>
      </w:pPr>
      <w:r w:rsidRPr="00C743FB">
        <w:rPr>
          <w:rFonts w:asciiTheme="minorHAnsi" w:hAnsiTheme="minorHAnsi" w:cstheme="minorHAnsi"/>
          <w:b w:val="0"/>
          <w:sz w:val="22"/>
        </w:rPr>
        <w:t xml:space="preserve">Om de verrekening te starten is </w:t>
      </w:r>
      <w:r w:rsidR="00924092" w:rsidRPr="00C743FB">
        <w:rPr>
          <w:rFonts w:asciiTheme="minorHAnsi" w:hAnsiTheme="minorHAnsi" w:cstheme="minorHAnsi"/>
          <w:b w:val="0"/>
          <w:sz w:val="22"/>
        </w:rPr>
        <w:t xml:space="preserve">zoals eerder aangegeven een beroep op verrekening nodig. </w:t>
      </w:r>
      <w:r w:rsidR="00CC6F4B" w:rsidRPr="00C743FB">
        <w:rPr>
          <w:rFonts w:asciiTheme="minorHAnsi" w:hAnsiTheme="minorHAnsi" w:cstheme="minorHAnsi"/>
          <w:b w:val="0"/>
          <w:sz w:val="22"/>
        </w:rPr>
        <w:t>Het</w:t>
      </w:r>
      <w:r w:rsidR="00924092" w:rsidRPr="00C743FB">
        <w:rPr>
          <w:rFonts w:asciiTheme="minorHAnsi" w:hAnsiTheme="minorHAnsi" w:cstheme="minorHAnsi"/>
          <w:b w:val="0"/>
          <w:sz w:val="22"/>
        </w:rPr>
        <w:t xml:space="preserve"> beroep op </w:t>
      </w:r>
      <w:r w:rsidR="00CC6F4B" w:rsidRPr="00C743FB">
        <w:rPr>
          <w:rFonts w:asciiTheme="minorHAnsi" w:hAnsiTheme="minorHAnsi" w:cstheme="minorHAnsi"/>
          <w:b w:val="0"/>
          <w:sz w:val="22"/>
        </w:rPr>
        <w:t xml:space="preserve">verrekening wordt aan de wederpartij bekendgemaakt middels </w:t>
      </w:r>
      <w:r w:rsidRPr="00C743FB">
        <w:rPr>
          <w:rFonts w:asciiTheme="minorHAnsi" w:hAnsiTheme="minorHAnsi" w:cstheme="minorHAnsi"/>
          <w:b w:val="0"/>
          <w:sz w:val="22"/>
        </w:rPr>
        <w:t>een verklaring. De</w:t>
      </w:r>
      <w:r w:rsidR="00192A2F" w:rsidRPr="00C743FB">
        <w:rPr>
          <w:rFonts w:asciiTheme="minorHAnsi" w:hAnsiTheme="minorHAnsi" w:cstheme="minorHAnsi"/>
          <w:b w:val="0"/>
          <w:sz w:val="22"/>
        </w:rPr>
        <w:t>ze</w:t>
      </w:r>
      <w:r w:rsidRPr="00C743FB">
        <w:rPr>
          <w:rFonts w:asciiTheme="minorHAnsi" w:hAnsiTheme="minorHAnsi" w:cstheme="minorHAnsi"/>
          <w:b w:val="0"/>
          <w:sz w:val="22"/>
        </w:rPr>
        <w:t xml:space="preserve"> verklaring is </w:t>
      </w:r>
      <w:proofErr w:type="spellStart"/>
      <w:r w:rsidRPr="00C743FB">
        <w:rPr>
          <w:rFonts w:asciiTheme="minorHAnsi" w:hAnsiTheme="minorHAnsi" w:cstheme="minorHAnsi"/>
          <w:b w:val="0"/>
          <w:sz w:val="22"/>
        </w:rPr>
        <w:t>vormvrij</w:t>
      </w:r>
      <w:proofErr w:type="spellEnd"/>
      <w:r w:rsidRPr="00C743FB">
        <w:rPr>
          <w:rFonts w:asciiTheme="minorHAnsi" w:hAnsiTheme="minorHAnsi" w:cstheme="minorHAnsi"/>
          <w:b w:val="0"/>
          <w:sz w:val="22"/>
        </w:rPr>
        <w:t xml:space="preserve">, artikel 3:37 BW, en kan zodoende zowel mondeling als schriftelijke worden gegeven. </w:t>
      </w:r>
      <w:r w:rsidR="00695334" w:rsidRPr="00C743FB">
        <w:rPr>
          <w:rFonts w:asciiTheme="minorHAnsi" w:hAnsiTheme="minorHAnsi" w:cstheme="minorHAnsi"/>
          <w:b w:val="0"/>
          <w:sz w:val="22"/>
        </w:rPr>
        <w:t xml:space="preserve">Tevens kan de verklaring door gedragingen geschieden, de zogenoemde stilzwijgende </w:t>
      </w:r>
      <w:proofErr w:type="spellStart"/>
      <w:r w:rsidR="00695334" w:rsidRPr="00C743FB">
        <w:rPr>
          <w:rFonts w:asciiTheme="minorHAnsi" w:hAnsiTheme="minorHAnsi" w:cstheme="minorHAnsi"/>
          <w:b w:val="0"/>
          <w:sz w:val="22"/>
        </w:rPr>
        <w:t>verrekeningsverklaring</w:t>
      </w:r>
      <w:proofErr w:type="spellEnd"/>
      <w:r w:rsidR="00695334" w:rsidRPr="00C743FB">
        <w:rPr>
          <w:rFonts w:asciiTheme="minorHAnsi" w:hAnsiTheme="minorHAnsi" w:cstheme="minorHAnsi"/>
          <w:b w:val="0"/>
          <w:sz w:val="22"/>
        </w:rPr>
        <w:t xml:space="preserve">. </w:t>
      </w:r>
      <w:r w:rsidR="00352C2D" w:rsidRPr="00C743FB">
        <w:rPr>
          <w:rFonts w:asciiTheme="minorHAnsi" w:hAnsiTheme="minorHAnsi" w:cstheme="minorHAnsi"/>
          <w:b w:val="0"/>
          <w:sz w:val="22"/>
        </w:rPr>
        <w:t>D</w:t>
      </w:r>
      <w:r w:rsidR="00E14388" w:rsidRPr="00C743FB">
        <w:rPr>
          <w:rFonts w:asciiTheme="minorHAnsi" w:hAnsiTheme="minorHAnsi" w:cstheme="minorHAnsi"/>
          <w:b w:val="0"/>
          <w:sz w:val="22"/>
        </w:rPr>
        <w:t xml:space="preserve">e </w:t>
      </w:r>
      <w:proofErr w:type="spellStart"/>
      <w:r w:rsidR="00E14388" w:rsidRPr="00C743FB">
        <w:rPr>
          <w:rFonts w:asciiTheme="minorHAnsi" w:hAnsiTheme="minorHAnsi" w:cstheme="minorHAnsi"/>
          <w:b w:val="0"/>
          <w:sz w:val="22"/>
        </w:rPr>
        <w:t>verrekeningsverklaring</w:t>
      </w:r>
      <w:proofErr w:type="spellEnd"/>
      <w:r w:rsidR="00E14388" w:rsidRPr="00C743FB">
        <w:rPr>
          <w:rFonts w:asciiTheme="minorHAnsi" w:hAnsiTheme="minorHAnsi" w:cstheme="minorHAnsi"/>
          <w:b w:val="0"/>
          <w:sz w:val="22"/>
        </w:rPr>
        <w:t xml:space="preserve"> </w:t>
      </w:r>
      <w:r w:rsidR="00352C2D" w:rsidRPr="00C743FB">
        <w:rPr>
          <w:rFonts w:asciiTheme="minorHAnsi" w:hAnsiTheme="minorHAnsi" w:cstheme="minorHAnsi"/>
          <w:b w:val="0"/>
          <w:sz w:val="22"/>
        </w:rPr>
        <w:t xml:space="preserve">dient aan de wederpartij gericht te zijn. </w:t>
      </w:r>
      <w:r w:rsidR="00DB084B" w:rsidRPr="00C743FB">
        <w:rPr>
          <w:rFonts w:asciiTheme="minorHAnsi" w:hAnsiTheme="minorHAnsi" w:cstheme="minorHAnsi"/>
          <w:b w:val="0"/>
          <w:sz w:val="22"/>
        </w:rPr>
        <w:t>Uit de verklaring moet tevens</w:t>
      </w:r>
      <w:r w:rsidR="00E14388" w:rsidRPr="00C743FB">
        <w:rPr>
          <w:rFonts w:asciiTheme="minorHAnsi" w:hAnsiTheme="minorHAnsi" w:cstheme="minorHAnsi"/>
          <w:b w:val="0"/>
          <w:sz w:val="22"/>
        </w:rPr>
        <w:t xml:space="preserve"> blijken welke verbintenissen zijn betrokken bij de verrekening</w:t>
      </w:r>
      <w:r w:rsidR="00397EF7" w:rsidRPr="00C743FB">
        <w:rPr>
          <w:rFonts w:asciiTheme="minorHAnsi" w:hAnsiTheme="minorHAnsi" w:cstheme="minorHAnsi"/>
          <w:b w:val="0"/>
          <w:sz w:val="22"/>
        </w:rPr>
        <w:t>, artikel 6:137 BW.</w:t>
      </w:r>
      <w:r w:rsidR="00397EF7" w:rsidRPr="00C743FB">
        <w:rPr>
          <w:rStyle w:val="Voetnootmarkering"/>
          <w:rFonts w:asciiTheme="minorHAnsi" w:hAnsiTheme="minorHAnsi" w:cstheme="minorHAnsi"/>
          <w:b w:val="0"/>
          <w:sz w:val="22"/>
        </w:rPr>
        <w:footnoteReference w:id="65"/>
      </w:r>
    </w:p>
    <w:p w:rsidR="00777539" w:rsidRPr="00C743FB" w:rsidRDefault="00777539" w:rsidP="00777539">
      <w:pPr>
        <w:jc w:val="left"/>
        <w:rPr>
          <w:rFonts w:asciiTheme="minorHAnsi" w:hAnsiTheme="minorHAnsi" w:cstheme="minorHAnsi"/>
          <w:b w:val="0"/>
          <w:sz w:val="22"/>
        </w:rPr>
      </w:pPr>
    </w:p>
    <w:p w:rsidR="00777539" w:rsidRPr="00570D50" w:rsidRDefault="0040362A" w:rsidP="00570D50">
      <w:pPr>
        <w:pStyle w:val="Kop2"/>
        <w:spacing w:before="0" w:beforeAutospacing="0" w:after="0" w:afterAutospacing="0"/>
        <w:rPr>
          <w:rFonts w:asciiTheme="minorHAnsi" w:hAnsiTheme="minorHAnsi" w:cstheme="minorHAnsi"/>
          <w:sz w:val="24"/>
          <w:szCs w:val="24"/>
        </w:rPr>
      </w:pPr>
      <w:bookmarkStart w:id="27" w:name="_Toc486246622"/>
      <w:r w:rsidRPr="00570D50">
        <w:rPr>
          <w:rFonts w:asciiTheme="minorHAnsi" w:hAnsiTheme="minorHAnsi" w:cstheme="minorHAnsi"/>
          <w:sz w:val="24"/>
          <w:szCs w:val="24"/>
        </w:rPr>
        <w:t>§3</w:t>
      </w:r>
      <w:r w:rsidR="00777539" w:rsidRPr="00570D50">
        <w:rPr>
          <w:rFonts w:asciiTheme="minorHAnsi" w:hAnsiTheme="minorHAnsi" w:cstheme="minorHAnsi"/>
          <w:sz w:val="24"/>
          <w:szCs w:val="24"/>
        </w:rPr>
        <w:t xml:space="preserve"> Rekening courant</w:t>
      </w:r>
      <w:bookmarkEnd w:id="27"/>
    </w:p>
    <w:p w:rsidR="00777539" w:rsidRPr="00C743FB" w:rsidRDefault="00777539" w:rsidP="00777539">
      <w:pPr>
        <w:jc w:val="left"/>
        <w:rPr>
          <w:rFonts w:asciiTheme="minorHAnsi" w:hAnsiTheme="minorHAnsi" w:cstheme="minorHAnsi"/>
          <w:b w:val="0"/>
          <w:sz w:val="22"/>
        </w:rPr>
      </w:pPr>
      <w:r w:rsidRPr="00C743FB">
        <w:rPr>
          <w:rFonts w:asciiTheme="minorHAnsi" w:hAnsiTheme="minorHAnsi" w:cstheme="minorHAnsi"/>
          <w:b w:val="0"/>
          <w:sz w:val="22"/>
        </w:rPr>
        <w:t xml:space="preserve">De bank in de casus heeft een rekening courant gevestigd en zal op basis daarvan verrekenen. Verrekening via een rekening courant zorgt ervoor dat schulden jegens elkaar niet afzonderlijk worden afgerekend, maar met elkaar worden verrekend. Een rekening courant wordt overeengekomen als men verwacht dat in de toekomst over en weer meerdere vorderingen zullen </w:t>
      </w:r>
      <w:r w:rsidRPr="00C743FB">
        <w:rPr>
          <w:rFonts w:asciiTheme="minorHAnsi" w:hAnsiTheme="minorHAnsi" w:cstheme="minorHAnsi"/>
          <w:b w:val="0"/>
          <w:sz w:val="22"/>
        </w:rPr>
        <w:lastRenderedPageBreak/>
        <w:t>ontstaan. Anders dan bij de normale verrekening werkt een rekening courant van rechtswege, artikel 6:140 BW. Echter, dit betekent niet dat de hierboven genoemde voorwaarden niet gelden voor verrekening volgens de rekening courant.</w:t>
      </w:r>
      <w:r w:rsidRPr="00C743FB">
        <w:rPr>
          <w:rStyle w:val="Voetnootmarkering"/>
          <w:rFonts w:asciiTheme="minorHAnsi" w:hAnsiTheme="minorHAnsi" w:cstheme="minorHAnsi"/>
          <w:b w:val="0"/>
          <w:sz w:val="22"/>
        </w:rPr>
        <w:footnoteReference w:id="66"/>
      </w:r>
      <w:r w:rsidRPr="00C743FB">
        <w:rPr>
          <w:rFonts w:asciiTheme="minorHAnsi" w:hAnsiTheme="minorHAnsi" w:cstheme="minorHAnsi"/>
          <w:b w:val="0"/>
          <w:sz w:val="22"/>
        </w:rPr>
        <w:t xml:space="preserve"> </w:t>
      </w:r>
      <w:r w:rsidR="008E735F" w:rsidRPr="00C743FB">
        <w:rPr>
          <w:rFonts w:asciiTheme="minorHAnsi" w:hAnsiTheme="minorHAnsi" w:cstheme="minorHAnsi"/>
          <w:b w:val="0"/>
          <w:sz w:val="22"/>
        </w:rPr>
        <w:t xml:space="preserve">Het enige dat niet geldt voor de rekening courant is dat er geen beroep op verrekening hoeft te worden gedaan. </w:t>
      </w:r>
      <w:r w:rsidRPr="00C743FB">
        <w:rPr>
          <w:rFonts w:asciiTheme="minorHAnsi" w:hAnsiTheme="minorHAnsi" w:cstheme="minorHAnsi"/>
          <w:b w:val="0"/>
          <w:sz w:val="22"/>
        </w:rPr>
        <w:t>Verrekening in een rekening courant maakt het voor partijen dus gemakkelijker om te verrekenen, maar voor verrekening in het zicht van een faillissement gelden weer andere regels en zal er</w:t>
      </w:r>
      <w:r w:rsidR="00A2206E" w:rsidRPr="00C743FB">
        <w:rPr>
          <w:rFonts w:asciiTheme="minorHAnsi" w:hAnsiTheme="minorHAnsi" w:cstheme="minorHAnsi"/>
          <w:b w:val="0"/>
          <w:sz w:val="22"/>
        </w:rPr>
        <w:t xml:space="preserve"> wel</w:t>
      </w:r>
      <w:r w:rsidRPr="00C743FB">
        <w:rPr>
          <w:rFonts w:asciiTheme="minorHAnsi" w:hAnsiTheme="minorHAnsi" w:cstheme="minorHAnsi"/>
          <w:b w:val="0"/>
          <w:sz w:val="22"/>
        </w:rPr>
        <w:t xml:space="preserve"> een beroep op verrekening moeten worden gedaan</w:t>
      </w:r>
      <w:r w:rsidR="00202B3C" w:rsidRPr="00C743FB">
        <w:rPr>
          <w:rFonts w:asciiTheme="minorHAnsi" w:hAnsiTheme="minorHAnsi" w:cstheme="minorHAnsi"/>
          <w:b w:val="0"/>
          <w:sz w:val="22"/>
        </w:rPr>
        <w:t>, zie hoofdstuk 5</w:t>
      </w:r>
      <w:r w:rsidRPr="00C743FB">
        <w:rPr>
          <w:rFonts w:asciiTheme="minorHAnsi" w:hAnsiTheme="minorHAnsi" w:cstheme="minorHAnsi"/>
          <w:b w:val="0"/>
          <w:sz w:val="22"/>
        </w:rPr>
        <w:t>.</w:t>
      </w:r>
    </w:p>
    <w:p w:rsidR="00777539" w:rsidRPr="00C743FB" w:rsidRDefault="00777539" w:rsidP="00777539">
      <w:pPr>
        <w:jc w:val="left"/>
        <w:rPr>
          <w:rFonts w:asciiTheme="minorHAnsi" w:hAnsiTheme="minorHAnsi" w:cstheme="minorHAnsi"/>
          <w:b w:val="0"/>
          <w:sz w:val="22"/>
        </w:rPr>
      </w:pPr>
    </w:p>
    <w:p w:rsidR="00AD3A42" w:rsidRPr="00570D50" w:rsidRDefault="00AD3A42" w:rsidP="00570D50">
      <w:pPr>
        <w:pStyle w:val="Kop2"/>
        <w:spacing w:before="0" w:beforeAutospacing="0" w:after="0" w:afterAutospacing="0"/>
        <w:rPr>
          <w:rFonts w:asciiTheme="minorHAnsi" w:hAnsiTheme="minorHAnsi" w:cstheme="minorHAnsi"/>
          <w:sz w:val="24"/>
          <w:szCs w:val="24"/>
        </w:rPr>
      </w:pPr>
      <w:bookmarkStart w:id="28" w:name="_Toc486246623"/>
      <w:r w:rsidRPr="00570D50">
        <w:rPr>
          <w:rFonts w:asciiTheme="minorHAnsi" w:hAnsiTheme="minorHAnsi" w:cstheme="minorHAnsi"/>
          <w:sz w:val="24"/>
          <w:szCs w:val="24"/>
        </w:rPr>
        <w:t>§4 Concluderend</w:t>
      </w:r>
      <w:bookmarkEnd w:id="28"/>
    </w:p>
    <w:p w:rsidR="00E03527" w:rsidRPr="00C743FB" w:rsidRDefault="00C75043" w:rsidP="00777539">
      <w:pPr>
        <w:jc w:val="left"/>
        <w:rPr>
          <w:rFonts w:asciiTheme="minorHAnsi" w:hAnsiTheme="minorHAnsi" w:cstheme="minorHAnsi"/>
          <w:b w:val="0"/>
          <w:sz w:val="22"/>
        </w:rPr>
      </w:pPr>
      <w:r w:rsidRPr="00C743FB">
        <w:rPr>
          <w:rFonts w:asciiTheme="minorHAnsi" w:hAnsiTheme="minorHAnsi" w:cstheme="minorHAnsi"/>
          <w:b w:val="0"/>
          <w:sz w:val="22"/>
        </w:rPr>
        <w:t>Verrekenen is het door twee partijen wederkerig laten vervallen van vorderingen die zij op elkaar hebben</w:t>
      </w:r>
      <w:r w:rsidR="00AF5EF4" w:rsidRPr="00C743FB">
        <w:rPr>
          <w:rFonts w:asciiTheme="minorHAnsi" w:hAnsiTheme="minorHAnsi" w:cstheme="minorHAnsi"/>
          <w:b w:val="0"/>
          <w:sz w:val="22"/>
        </w:rPr>
        <w:t xml:space="preserve">. </w:t>
      </w:r>
      <w:r w:rsidR="006B3F12" w:rsidRPr="00C743FB">
        <w:rPr>
          <w:rFonts w:asciiTheme="minorHAnsi" w:hAnsiTheme="minorHAnsi" w:cstheme="minorHAnsi"/>
          <w:b w:val="0"/>
          <w:sz w:val="22"/>
        </w:rPr>
        <w:t>E</w:t>
      </w:r>
      <w:r w:rsidR="00E03527" w:rsidRPr="00C743FB">
        <w:rPr>
          <w:rFonts w:asciiTheme="minorHAnsi" w:hAnsiTheme="minorHAnsi" w:cstheme="minorHAnsi"/>
          <w:b w:val="0"/>
          <w:sz w:val="22"/>
        </w:rPr>
        <w:t xml:space="preserve">en vereiste voor verrekening </w:t>
      </w:r>
      <w:r w:rsidR="004D5367" w:rsidRPr="00C743FB">
        <w:rPr>
          <w:rFonts w:asciiTheme="minorHAnsi" w:hAnsiTheme="minorHAnsi" w:cstheme="minorHAnsi"/>
          <w:b w:val="0"/>
          <w:sz w:val="22"/>
        </w:rPr>
        <w:t xml:space="preserve">is </w:t>
      </w:r>
      <w:r w:rsidR="00E03527" w:rsidRPr="00C743FB">
        <w:rPr>
          <w:rFonts w:asciiTheme="minorHAnsi" w:hAnsiTheme="minorHAnsi" w:cstheme="minorHAnsi"/>
          <w:b w:val="0"/>
          <w:sz w:val="22"/>
        </w:rPr>
        <w:t>dat een van de partijen jegens de andere partij bekendmaakt dat hij een beroep op verrekening doet.</w:t>
      </w:r>
      <w:r w:rsidR="006B3F12" w:rsidRPr="00C743FB">
        <w:rPr>
          <w:rFonts w:asciiTheme="minorHAnsi" w:hAnsiTheme="minorHAnsi" w:cstheme="minorHAnsi"/>
          <w:b w:val="0"/>
          <w:sz w:val="22"/>
        </w:rPr>
        <w:t xml:space="preserve"> Dit</w:t>
      </w:r>
      <w:r w:rsidR="00E03527" w:rsidRPr="00C743FB">
        <w:rPr>
          <w:rFonts w:asciiTheme="minorHAnsi" w:hAnsiTheme="minorHAnsi" w:cstheme="minorHAnsi"/>
          <w:b w:val="0"/>
          <w:sz w:val="22"/>
        </w:rPr>
        <w:t xml:space="preserve"> beroep op verrekening wordt aan de wederpartij bekendgemaakt middels een verklaring.</w:t>
      </w:r>
      <w:r w:rsidR="00B447E2" w:rsidRPr="00C743FB">
        <w:rPr>
          <w:rFonts w:asciiTheme="minorHAnsi" w:hAnsiTheme="minorHAnsi" w:cstheme="minorHAnsi"/>
          <w:b w:val="0"/>
          <w:sz w:val="22"/>
        </w:rPr>
        <w:t xml:space="preserve"> </w:t>
      </w:r>
      <w:r w:rsidR="00F92A44" w:rsidRPr="00C743FB">
        <w:rPr>
          <w:rFonts w:asciiTheme="minorHAnsi" w:hAnsiTheme="minorHAnsi" w:cstheme="minorHAnsi"/>
          <w:b w:val="0"/>
          <w:sz w:val="22"/>
        </w:rPr>
        <w:t xml:space="preserve">Zo een verklaring is </w:t>
      </w:r>
      <w:proofErr w:type="spellStart"/>
      <w:r w:rsidR="00F92A44" w:rsidRPr="00C743FB">
        <w:rPr>
          <w:rFonts w:asciiTheme="minorHAnsi" w:hAnsiTheme="minorHAnsi" w:cstheme="minorHAnsi"/>
          <w:b w:val="0"/>
          <w:sz w:val="22"/>
        </w:rPr>
        <w:t>vormvrij</w:t>
      </w:r>
      <w:proofErr w:type="spellEnd"/>
      <w:r w:rsidR="00F92A44" w:rsidRPr="00C743FB">
        <w:rPr>
          <w:rFonts w:asciiTheme="minorHAnsi" w:hAnsiTheme="minorHAnsi" w:cstheme="minorHAnsi"/>
          <w:b w:val="0"/>
          <w:sz w:val="22"/>
        </w:rPr>
        <w:t xml:space="preserve"> en kan tevens middels een gedraging worden voldaan. </w:t>
      </w:r>
      <w:r w:rsidR="00C935A0" w:rsidRPr="00C743FB">
        <w:rPr>
          <w:rFonts w:asciiTheme="minorHAnsi" w:hAnsiTheme="minorHAnsi" w:cstheme="minorHAnsi"/>
          <w:b w:val="0"/>
          <w:sz w:val="22"/>
        </w:rPr>
        <w:t xml:space="preserve">De Rabobank in de casus maakt gebruik van verrekening om </w:t>
      </w:r>
      <w:r w:rsidR="000C45A3" w:rsidRPr="00C743FB">
        <w:rPr>
          <w:rFonts w:asciiTheme="minorHAnsi" w:hAnsiTheme="minorHAnsi" w:cstheme="minorHAnsi"/>
          <w:b w:val="0"/>
          <w:sz w:val="22"/>
        </w:rPr>
        <w:t>een</w:t>
      </w:r>
      <w:r w:rsidR="00C935A0" w:rsidRPr="00C743FB">
        <w:rPr>
          <w:rFonts w:asciiTheme="minorHAnsi" w:hAnsiTheme="minorHAnsi" w:cstheme="minorHAnsi"/>
          <w:b w:val="0"/>
          <w:sz w:val="22"/>
        </w:rPr>
        <w:t xml:space="preserve"> rekening courant, die de winkel bij haar heeft, van te voldoen. </w:t>
      </w:r>
      <w:r w:rsidR="00C63A5E" w:rsidRPr="00C743FB">
        <w:rPr>
          <w:rFonts w:asciiTheme="minorHAnsi" w:hAnsiTheme="minorHAnsi" w:cstheme="minorHAnsi"/>
          <w:b w:val="0"/>
          <w:sz w:val="22"/>
        </w:rPr>
        <w:t xml:space="preserve">Verrekening </w:t>
      </w:r>
      <w:r w:rsidR="00CB73FF" w:rsidRPr="00C743FB">
        <w:rPr>
          <w:rFonts w:asciiTheme="minorHAnsi" w:hAnsiTheme="minorHAnsi" w:cstheme="minorHAnsi"/>
          <w:b w:val="0"/>
          <w:sz w:val="22"/>
        </w:rPr>
        <w:t>middels een rekening courant bevat</w:t>
      </w:r>
      <w:r w:rsidR="00C63A5E" w:rsidRPr="00C743FB">
        <w:rPr>
          <w:rFonts w:asciiTheme="minorHAnsi" w:hAnsiTheme="minorHAnsi" w:cstheme="minorHAnsi"/>
          <w:b w:val="0"/>
          <w:sz w:val="22"/>
        </w:rPr>
        <w:t xml:space="preserve"> echter een uitzondering op de normale </w:t>
      </w:r>
      <w:proofErr w:type="spellStart"/>
      <w:r w:rsidR="00C63A5E" w:rsidRPr="00C743FB">
        <w:rPr>
          <w:rFonts w:asciiTheme="minorHAnsi" w:hAnsiTheme="minorHAnsi" w:cstheme="minorHAnsi"/>
          <w:b w:val="0"/>
          <w:sz w:val="22"/>
        </w:rPr>
        <w:t>verrekeningsregels</w:t>
      </w:r>
      <w:proofErr w:type="spellEnd"/>
      <w:r w:rsidR="00C63A5E" w:rsidRPr="00C743FB">
        <w:rPr>
          <w:rFonts w:asciiTheme="minorHAnsi" w:hAnsiTheme="minorHAnsi" w:cstheme="minorHAnsi"/>
          <w:b w:val="0"/>
          <w:sz w:val="22"/>
        </w:rPr>
        <w:t xml:space="preserve">. </w:t>
      </w:r>
      <w:r w:rsidR="00212F5B" w:rsidRPr="00C743FB">
        <w:rPr>
          <w:rFonts w:asciiTheme="minorHAnsi" w:hAnsiTheme="minorHAnsi" w:cstheme="minorHAnsi"/>
          <w:b w:val="0"/>
          <w:sz w:val="22"/>
        </w:rPr>
        <w:t xml:space="preserve">Verrekening via een rekening courant werkt namelijk van rechtswege. Er hoeft </w:t>
      </w:r>
      <w:r w:rsidR="000C45A3" w:rsidRPr="00C743FB">
        <w:rPr>
          <w:rFonts w:asciiTheme="minorHAnsi" w:hAnsiTheme="minorHAnsi" w:cstheme="minorHAnsi"/>
          <w:b w:val="0"/>
          <w:sz w:val="22"/>
        </w:rPr>
        <w:t>zodoende</w:t>
      </w:r>
      <w:r w:rsidR="00212F5B" w:rsidRPr="00C743FB">
        <w:rPr>
          <w:rFonts w:asciiTheme="minorHAnsi" w:hAnsiTheme="minorHAnsi" w:cstheme="minorHAnsi"/>
          <w:b w:val="0"/>
          <w:sz w:val="22"/>
        </w:rPr>
        <w:t xml:space="preserve"> geen beroep op verrekening te worden gedaan door de Rabobank. De andere voorwaarden gelden natuurlijk wel</w:t>
      </w:r>
      <w:r w:rsidR="003068D4" w:rsidRPr="00C743FB">
        <w:rPr>
          <w:rFonts w:asciiTheme="minorHAnsi" w:hAnsiTheme="minorHAnsi" w:cstheme="minorHAnsi"/>
          <w:b w:val="0"/>
          <w:sz w:val="22"/>
        </w:rPr>
        <w:t>, zo dienen partijen elkaars schuldeiser en schuldenaar te zijn, moet</w:t>
      </w:r>
      <w:r w:rsidR="000E27C7" w:rsidRPr="00C743FB">
        <w:rPr>
          <w:rFonts w:asciiTheme="minorHAnsi" w:hAnsiTheme="minorHAnsi" w:cstheme="minorHAnsi"/>
          <w:b w:val="0"/>
          <w:sz w:val="22"/>
        </w:rPr>
        <w:t>en</w:t>
      </w:r>
      <w:r w:rsidR="003068D4" w:rsidRPr="00C743FB">
        <w:rPr>
          <w:rFonts w:asciiTheme="minorHAnsi" w:hAnsiTheme="minorHAnsi" w:cstheme="minorHAnsi"/>
          <w:b w:val="0"/>
          <w:sz w:val="22"/>
        </w:rPr>
        <w:t xml:space="preserve"> de partijen bevoegd zijn, </w:t>
      </w:r>
      <w:r w:rsidR="000E27C7" w:rsidRPr="00C743FB">
        <w:rPr>
          <w:rFonts w:asciiTheme="minorHAnsi" w:hAnsiTheme="minorHAnsi" w:cstheme="minorHAnsi"/>
          <w:b w:val="0"/>
          <w:sz w:val="22"/>
        </w:rPr>
        <w:t>dienen de prestaties aan elkaar te beantwoorden en dient de vordering opeisbaar te zijn</w:t>
      </w:r>
      <w:r w:rsidR="00212F5B" w:rsidRPr="00C743FB">
        <w:rPr>
          <w:rFonts w:asciiTheme="minorHAnsi" w:hAnsiTheme="minorHAnsi" w:cstheme="minorHAnsi"/>
          <w:b w:val="0"/>
          <w:sz w:val="22"/>
        </w:rPr>
        <w:t>. Voor verrekening in het zicht van een faillissement gelden echte</w:t>
      </w:r>
      <w:r w:rsidR="00202B3C" w:rsidRPr="00C743FB">
        <w:rPr>
          <w:rFonts w:asciiTheme="minorHAnsi" w:hAnsiTheme="minorHAnsi" w:cstheme="minorHAnsi"/>
          <w:b w:val="0"/>
          <w:sz w:val="22"/>
        </w:rPr>
        <w:t>r andere regels, zie hoofdstuk 5</w:t>
      </w:r>
      <w:r w:rsidR="00212F5B" w:rsidRPr="00C743FB">
        <w:rPr>
          <w:rFonts w:asciiTheme="minorHAnsi" w:hAnsiTheme="minorHAnsi" w:cstheme="minorHAnsi"/>
          <w:b w:val="0"/>
          <w:sz w:val="22"/>
        </w:rPr>
        <w:t>.</w:t>
      </w:r>
    </w:p>
    <w:p w:rsidR="00E03527" w:rsidRDefault="00E03527"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777539" w:rsidRDefault="00777539" w:rsidP="00777539">
      <w:pPr>
        <w:jc w:val="left"/>
        <w:rPr>
          <w:rFonts w:asciiTheme="minorHAnsi" w:hAnsiTheme="minorHAnsi" w:cstheme="minorHAnsi"/>
          <w:b w:val="0"/>
          <w:sz w:val="20"/>
        </w:rPr>
      </w:pPr>
    </w:p>
    <w:p w:rsidR="00890149" w:rsidRDefault="00890149" w:rsidP="00777539">
      <w:pPr>
        <w:jc w:val="left"/>
        <w:rPr>
          <w:rFonts w:asciiTheme="minorHAnsi" w:hAnsiTheme="minorHAnsi" w:cstheme="minorHAnsi"/>
          <w:b w:val="0"/>
          <w:sz w:val="20"/>
        </w:rPr>
      </w:pPr>
    </w:p>
    <w:p w:rsidR="00890149" w:rsidRDefault="00890149" w:rsidP="00777539">
      <w:pPr>
        <w:jc w:val="left"/>
        <w:rPr>
          <w:rFonts w:asciiTheme="minorHAnsi" w:hAnsiTheme="minorHAnsi" w:cstheme="minorHAnsi"/>
          <w:b w:val="0"/>
          <w:sz w:val="20"/>
        </w:rPr>
      </w:pPr>
    </w:p>
    <w:p w:rsidR="00890149" w:rsidRDefault="00890149" w:rsidP="00777539">
      <w:pPr>
        <w:jc w:val="left"/>
        <w:rPr>
          <w:rFonts w:asciiTheme="minorHAnsi" w:hAnsiTheme="minorHAnsi" w:cstheme="minorHAnsi"/>
          <w:b w:val="0"/>
          <w:sz w:val="20"/>
        </w:rPr>
      </w:pPr>
    </w:p>
    <w:p w:rsidR="00890149" w:rsidRDefault="00890149" w:rsidP="00777539">
      <w:pPr>
        <w:jc w:val="left"/>
        <w:rPr>
          <w:rFonts w:asciiTheme="minorHAnsi" w:hAnsiTheme="minorHAnsi" w:cstheme="minorHAnsi"/>
          <w:b w:val="0"/>
          <w:sz w:val="20"/>
        </w:rPr>
      </w:pPr>
    </w:p>
    <w:p w:rsidR="00890149" w:rsidRDefault="00890149" w:rsidP="00777539">
      <w:pPr>
        <w:jc w:val="left"/>
        <w:rPr>
          <w:rFonts w:asciiTheme="minorHAnsi" w:hAnsiTheme="minorHAnsi" w:cstheme="minorHAnsi"/>
          <w:b w:val="0"/>
          <w:sz w:val="20"/>
        </w:rPr>
      </w:pPr>
    </w:p>
    <w:p w:rsidR="00890149" w:rsidRDefault="00890149" w:rsidP="00777539">
      <w:pPr>
        <w:jc w:val="left"/>
        <w:rPr>
          <w:rFonts w:asciiTheme="minorHAnsi" w:hAnsiTheme="minorHAnsi" w:cstheme="minorHAnsi"/>
          <w:b w:val="0"/>
          <w:sz w:val="20"/>
        </w:rPr>
      </w:pPr>
    </w:p>
    <w:p w:rsidR="00890149" w:rsidRDefault="00890149" w:rsidP="00777539">
      <w:pPr>
        <w:jc w:val="left"/>
        <w:rPr>
          <w:rFonts w:asciiTheme="minorHAnsi" w:hAnsiTheme="minorHAnsi" w:cstheme="minorHAnsi"/>
          <w:b w:val="0"/>
          <w:sz w:val="20"/>
        </w:rPr>
      </w:pPr>
    </w:p>
    <w:p w:rsidR="00777539" w:rsidRPr="00914D82" w:rsidRDefault="00202B3C" w:rsidP="007E5391">
      <w:pPr>
        <w:pStyle w:val="Kop1"/>
        <w:rPr>
          <w:sz w:val="36"/>
        </w:rPr>
      </w:pPr>
      <w:bookmarkStart w:id="29" w:name="_Toc486246624"/>
      <w:r w:rsidRPr="00914D82">
        <w:rPr>
          <w:sz w:val="36"/>
        </w:rPr>
        <w:lastRenderedPageBreak/>
        <w:t>Hoofdstuk 5</w:t>
      </w:r>
      <w:bookmarkEnd w:id="29"/>
    </w:p>
    <w:p w:rsidR="00777539" w:rsidRPr="00914D82" w:rsidRDefault="000C0A37" w:rsidP="000C0A37">
      <w:pPr>
        <w:pStyle w:val="Kop4"/>
        <w:rPr>
          <w:sz w:val="26"/>
          <w:szCs w:val="26"/>
        </w:rPr>
      </w:pPr>
      <w:r w:rsidRPr="00914D82">
        <w:rPr>
          <w:sz w:val="26"/>
          <w:szCs w:val="26"/>
        </w:rPr>
        <w:t xml:space="preserve">- </w:t>
      </w:r>
      <w:r w:rsidR="007D33F4" w:rsidRPr="00914D82">
        <w:rPr>
          <w:sz w:val="26"/>
          <w:szCs w:val="26"/>
        </w:rPr>
        <w:t>De</w:t>
      </w:r>
      <w:r w:rsidRPr="00914D82">
        <w:rPr>
          <w:sz w:val="26"/>
          <w:szCs w:val="26"/>
        </w:rPr>
        <w:t xml:space="preserve"> wettelijk</w:t>
      </w:r>
      <w:r w:rsidR="007D33F4" w:rsidRPr="00914D82">
        <w:rPr>
          <w:sz w:val="26"/>
          <w:szCs w:val="26"/>
        </w:rPr>
        <w:t>e</w:t>
      </w:r>
      <w:r w:rsidRPr="00914D82">
        <w:rPr>
          <w:b/>
          <w:sz w:val="26"/>
          <w:szCs w:val="26"/>
        </w:rPr>
        <w:t xml:space="preserve"> </w:t>
      </w:r>
      <w:r w:rsidR="007D33F4" w:rsidRPr="00914D82">
        <w:rPr>
          <w:sz w:val="26"/>
          <w:szCs w:val="26"/>
        </w:rPr>
        <w:t>regels</w:t>
      </w:r>
      <w:r w:rsidRPr="00914D82">
        <w:rPr>
          <w:sz w:val="26"/>
          <w:szCs w:val="26"/>
        </w:rPr>
        <w:t xml:space="preserve"> omtrent verrekenen in </w:t>
      </w:r>
      <w:r w:rsidR="007D33F4" w:rsidRPr="00914D82">
        <w:rPr>
          <w:sz w:val="26"/>
          <w:szCs w:val="26"/>
        </w:rPr>
        <w:t>het zicht van een faillissement</w:t>
      </w:r>
      <w:r w:rsidRPr="00914D82">
        <w:rPr>
          <w:sz w:val="26"/>
          <w:szCs w:val="26"/>
        </w:rPr>
        <w:t xml:space="preserve"> -</w:t>
      </w:r>
    </w:p>
    <w:p w:rsidR="007436AE" w:rsidRDefault="007436AE" w:rsidP="00777539">
      <w:pPr>
        <w:jc w:val="left"/>
        <w:rPr>
          <w:rFonts w:asciiTheme="minorHAnsi" w:hAnsiTheme="minorHAnsi" w:cstheme="minorHAnsi"/>
          <w:b w:val="0"/>
          <w:sz w:val="20"/>
        </w:rPr>
      </w:pPr>
    </w:p>
    <w:p w:rsidR="002B2F0C" w:rsidRPr="00C743FB" w:rsidRDefault="00202B3C"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In hoofdstuk 4</w:t>
      </w:r>
      <w:r w:rsidR="007436AE" w:rsidRPr="00C743FB">
        <w:rPr>
          <w:rFonts w:asciiTheme="minorHAnsi" w:hAnsiTheme="minorHAnsi" w:cstheme="minorHAnsi"/>
          <w:b w:val="0"/>
          <w:sz w:val="22"/>
          <w:szCs w:val="22"/>
        </w:rPr>
        <w:t xml:space="preserve"> is besproken wat verrekenen is en wat de voorwaarden zijn om tot verrekening over te kunnen gaan. </w:t>
      </w:r>
      <w:r w:rsidR="002B2F0C" w:rsidRPr="00C743FB">
        <w:rPr>
          <w:rFonts w:asciiTheme="minorHAnsi" w:hAnsiTheme="minorHAnsi" w:cstheme="minorHAnsi"/>
          <w:b w:val="0"/>
          <w:sz w:val="22"/>
          <w:szCs w:val="22"/>
        </w:rPr>
        <w:t>Daarnaast is specifiek het verrekenen via een rekening courant aangekaart. Dit is immers de wijze waarop verrekening in de casus plaatsvindt. Gebleken is dat er normaliter een beroep op verrekening dient te worden gedaan om er gebruik van te kunnen maken. Echter, indien men een rekening courant heeft vindt verrekening van rechtswege plaats. Dit komt door het karakter van de rekening courant, het is immers een geldlening waarbij de lening en de binnenkomende gelden constant met elkaar verrekend worden. Kortom, als men een rekening courant heeft, hoeft er geen beroep op verrekening gedaan te worden.</w:t>
      </w:r>
    </w:p>
    <w:p w:rsidR="002B2F0C" w:rsidRPr="00C743FB" w:rsidRDefault="002B2F0C" w:rsidP="00777539">
      <w:pPr>
        <w:jc w:val="left"/>
        <w:rPr>
          <w:rFonts w:asciiTheme="minorHAnsi" w:hAnsiTheme="minorHAnsi" w:cstheme="minorHAnsi"/>
          <w:b w:val="0"/>
          <w:sz w:val="22"/>
          <w:szCs w:val="22"/>
        </w:rPr>
      </w:pPr>
    </w:p>
    <w:p w:rsidR="00943B73" w:rsidRPr="00C743FB" w:rsidRDefault="005A0964"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In dit hoofdstuk wordt ingegaan op het verrekenen in het zicht van een faillissement. Dit is immers de situatie waarin de Rabobank in de casus </w:t>
      </w:r>
      <w:r w:rsidR="007A2CE7" w:rsidRPr="00C743FB">
        <w:rPr>
          <w:rFonts w:asciiTheme="minorHAnsi" w:hAnsiTheme="minorHAnsi" w:cstheme="minorHAnsi"/>
          <w:b w:val="0"/>
          <w:sz w:val="22"/>
          <w:szCs w:val="22"/>
        </w:rPr>
        <w:t>zicht heeft bevonden</w:t>
      </w:r>
      <w:r w:rsidR="00B86192" w:rsidRPr="00C743FB">
        <w:rPr>
          <w:rFonts w:asciiTheme="minorHAnsi" w:hAnsiTheme="minorHAnsi" w:cstheme="minorHAnsi"/>
          <w:b w:val="0"/>
          <w:sz w:val="22"/>
          <w:szCs w:val="22"/>
        </w:rPr>
        <w:t xml:space="preserve">. </w:t>
      </w:r>
      <w:r w:rsidR="00F6375C" w:rsidRPr="00C743FB">
        <w:rPr>
          <w:rFonts w:asciiTheme="minorHAnsi" w:hAnsiTheme="minorHAnsi" w:cstheme="minorHAnsi"/>
          <w:b w:val="0"/>
          <w:sz w:val="22"/>
          <w:szCs w:val="22"/>
        </w:rPr>
        <w:t>De schoenenwinkel in de casus gaat namelijk failliet, waardoor de probleemsituatie met betrekking tot het verrekenen van de rekening courant is ontstaan. Uit</w:t>
      </w:r>
      <w:r w:rsidR="007A2CE7" w:rsidRPr="00C743FB">
        <w:rPr>
          <w:rFonts w:asciiTheme="minorHAnsi" w:hAnsiTheme="minorHAnsi" w:cstheme="minorHAnsi"/>
          <w:b w:val="0"/>
          <w:sz w:val="22"/>
          <w:szCs w:val="22"/>
        </w:rPr>
        <w:t xml:space="preserve"> dit hoofdstuk</w:t>
      </w:r>
      <w:r w:rsidR="00F6375C" w:rsidRPr="00C743FB">
        <w:rPr>
          <w:rFonts w:asciiTheme="minorHAnsi" w:hAnsiTheme="minorHAnsi" w:cstheme="minorHAnsi"/>
          <w:b w:val="0"/>
          <w:sz w:val="22"/>
          <w:szCs w:val="22"/>
        </w:rPr>
        <w:t xml:space="preserve"> zal</w:t>
      </w:r>
      <w:r w:rsidR="007A2CE7" w:rsidRPr="00C743FB">
        <w:rPr>
          <w:rFonts w:asciiTheme="minorHAnsi" w:hAnsiTheme="minorHAnsi" w:cstheme="minorHAnsi"/>
          <w:b w:val="0"/>
          <w:sz w:val="22"/>
          <w:szCs w:val="22"/>
        </w:rPr>
        <w:t xml:space="preserve"> </w:t>
      </w:r>
      <w:r w:rsidRPr="00C743FB">
        <w:rPr>
          <w:rFonts w:asciiTheme="minorHAnsi" w:hAnsiTheme="minorHAnsi" w:cstheme="minorHAnsi"/>
          <w:b w:val="0"/>
          <w:sz w:val="22"/>
          <w:szCs w:val="22"/>
        </w:rPr>
        <w:t>blijken dat er voor verrekening</w:t>
      </w:r>
      <w:r w:rsidR="00F6375C" w:rsidRPr="00C743FB">
        <w:rPr>
          <w:rFonts w:asciiTheme="minorHAnsi" w:hAnsiTheme="minorHAnsi" w:cstheme="minorHAnsi"/>
          <w:b w:val="0"/>
          <w:sz w:val="22"/>
          <w:szCs w:val="22"/>
        </w:rPr>
        <w:t xml:space="preserve"> in het zicht van een faillissement</w:t>
      </w:r>
      <w:r w:rsidRPr="00C743FB">
        <w:rPr>
          <w:rFonts w:asciiTheme="minorHAnsi" w:hAnsiTheme="minorHAnsi" w:cstheme="minorHAnsi"/>
          <w:b w:val="0"/>
          <w:sz w:val="22"/>
          <w:szCs w:val="22"/>
        </w:rPr>
        <w:t xml:space="preserve"> </w:t>
      </w:r>
      <w:r w:rsidR="00B86192" w:rsidRPr="00C743FB">
        <w:rPr>
          <w:rFonts w:asciiTheme="minorHAnsi" w:hAnsiTheme="minorHAnsi" w:cstheme="minorHAnsi"/>
          <w:b w:val="0"/>
          <w:sz w:val="22"/>
          <w:szCs w:val="22"/>
        </w:rPr>
        <w:t xml:space="preserve">specifieke regels gelden, afwijkend van de regels voor verrekening buiten een faillissement. </w:t>
      </w:r>
      <w:r w:rsidR="007A2CE7" w:rsidRPr="00C743FB">
        <w:rPr>
          <w:rFonts w:asciiTheme="minorHAnsi" w:hAnsiTheme="minorHAnsi" w:cstheme="minorHAnsi"/>
          <w:b w:val="0"/>
          <w:sz w:val="22"/>
          <w:szCs w:val="22"/>
        </w:rPr>
        <w:t xml:space="preserve">Alvorens er wordt ingegaan </w:t>
      </w:r>
      <w:r w:rsidR="00943B73" w:rsidRPr="00C743FB">
        <w:rPr>
          <w:rFonts w:asciiTheme="minorHAnsi" w:hAnsiTheme="minorHAnsi" w:cstheme="minorHAnsi"/>
          <w:b w:val="0"/>
          <w:sz w:val="22"/>
          <w:szCs w:val="22"/>
        </w:rPr>
        <w:t xml:space="preserve">op de wet zal eerst het arrest worden behandeld dat leidend is omtrent het verrekenen in het zicht van een faillissement, het arrest </w:t>
      </w:r>
      <w:r w:rsidR="006D18D0" w:rsidRPr="00C743FB">
        <w:rPr>
          <w:rFonts w:asciiTheme="minorHAnsi" w:hAnsiTheme="minorHAnsi" w:cstheme="minorHAnsi"/>
          <w:b w:val="0"/>
          <w:sz w:val="22"/>
          <w:szCs w:val="22"/>
        </w:rPr>
        <w:t xml:space="preserve">Mulder q.q./CLBN. </w:t>
      </w:r>
      <w:r w:rsidR="00943B73" w:rsidRPr="00C743FB">
        <w:rPr>
          <w:rFonts w:asciiTheme="minorHAnsi" w:hAnsiTheme="minorHAnsi" w:cstheme="minorHAnsi"/>
          <w:b w:val="0"/>
          <w:sz w:val="22"/>
          <w:szCs w:val="22"/>
        </w:rPr>
        <w:t xml:space="preserve">Vervolgens zal er worden ingegaan op het theoretische verhaal omtrent faillissement en het verrekenen in het zicht van een faillissement. </w:t>
      </w:r>
    </w:p>
    <w:p w:rsidR="006D18D0" w:rsidRPr="00C743FB" w:rsidRDefault="006D18D0" w:rsidP="00777539">
      <w:pPr>
        <w:jc w:val="left"/>
        <w:rPr>
          <w:rFonts w:asciiTheme="minorHAnsi" w:hAnsiTheme="minorHAnsi" w:cstheme="minorHAnsi"/>
          <w:b w:val="0"/>
          <w:sz w:val="22"/>
          <w:szCs w:val="22"/>
        </w:rPr>
      </w:pPr>
    </w:p>
    <w:p w:rsidR="006D18D0" w:rsidRPr="00570D50" w:rsidRDefault="006D18D0" w:rsidP="00570D50">
      <w:pPr>
        <w:pStyle w:val="Kop2"/>
        <w:spacing w:before="0" w:beforeAutospacing="0" w:after="0" w:afterAutospacing="0"/>
        <w:rPr>
          <w:rFonts w:asciiTheme="minorHAnsi" w:hAnsiTheme="minorHAnsi" w:cstheme="minorHAnsi"/>
          <w:sz w:val="24"/>
          <w:szCs w:val="24"/>
        </w:rPr>
      </w:pPr>
      <w:bookmarkStart w:id="30" w:name="_Toc486246625"/>
      <w:r w:rsidRPr="00570D50">
        <w:rPr>
          <w:rFonts w:asciiTheme="minorHAnsi" w:hAnsiTheme="minorHAnsi" w:cstheme="minorHAnsi"/>
          <w:sz w:val="24"/>
          <w:szCs w:val="24"/>
        </w:rPr>
        <w:t>§1 Arrest Mulder</w:t>
      </w:r>
      <w:bookmarkEnd w:id="30"/>
    </w:p>
    <w:p w:rsidR="006D18D0" w:rsidRPr="00C743FB" w:rsidRDefault="006D18D0" w:rsidP="006D18D0">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Het arrest Mulder q.q./CLBN staat centraal in dit onderzoek en schept duidelijkheid in de mogelijkheden tot verrekening in het zicht van een faillissement. Dit arrest wijst uit dat een bank bevoegd is tot verrekening in het zicht van een faillissement indien hij een pandrecht op de betreffende vorderingen heeft gevestigd. Zodoende mogen </w:t>
      </w:r>
      <w:r w:rsidR="00EC57D2" w:rsidRPr="00C743FB">
        <w:rPr>
          <w:rFonts w:asciiTheme="minorHAnsi" w:hAnsiTheme="minorHAnsi" w:cstheme="minorHAnsi"/>
          <w:b w:val="0"/>
          <w:sz w:val="22"/>
          <w:szCs w:val="22"/>
        </w:rPr>
        <w:t>alleen</w:t>
      </w:r>
      <w:r w:rsidRPr="00C743FB">
        <w:rPr>
          <w:rFonts w:asciiTheme="minorHAnsi" w:hAnsiTheme="minorHAnsi" w:cstheme="minorHAnsi"/>
          <w:b w:val="0"/>
          <w:sz w:val="22"/>
          <w:szCs w:val="22"/>
        </w:rPr>
        <w:t xml:space="preserve"> verpande vorderingen verrekend worden</w:t>
      </w:r>
      <w:r w:rsidR="00EC57D2" w:rsidRPr="00C743FB">
        <w:rPr>
          <w:rFonts w:asciiTheme="minorHAnsi" w:hAnsiTheme="minorHAnsi" w:cstheme="minorHAnsi"/>
          <w:b w:val="0"/>
          <w:sz w:val="22"/>
          <w:szCs w:val="22"/>
        </w:rPr>
        <w:t xml:space="preserve"> in het zicht van een faillissement</w:t>
      </w:r>
      <w:r w:rsidRPr="00C743FB">
        <w:rPr>
          <w:rFonts w:asciiTheme="minorHAnsi" w:hAnsiTheme="minorHAnsi" w:cstheme="minorHAnsi"/>
          <w:b w:val="0"/>
          <w:sz w:val="22"/>
          <w:szCs w:val="22"/>
        </w:rPr>
        <w:t xml:space="preserve">. </w:t>
      </w:r>
      <w:r w:rsidR="00EC57D2" w:rsidRPr="00C743FB">
        <w:rPr>
          <w:rFonts w:asciiTheme="minorHAnsi" w:hAnsiTheme="minorHAnsi" w:cstheme="minorHAnsi"/>
          <w:b w:val="0"/>
          <w:sz w:val="22"/>
          <w:szCs w:val="22"/>
        </w:rPr>
        <w:t>Belangrijk hierbij is dat h</w:t>
      </w:r>
      <w:r w:rsidRPr="00C743FB">
        <w:rPr>
          <w:rFonts w:asciiTheme="minorHAnsi" w:hAnsiTheme="minorHAnsi" w:cstheme="minorHAnsi"/>
          <w:b w:val="0"/>
          <w:sz w:val="22"/>
          <w:szCs w:val="22"/>
        </w:rPr>
        <w:t>et arrest Mulder specifiek stil verpande vorderingen</w:t>
      </w:r>
      <w:r w:rsidR="00EC57D2" w:rsidRPr="00C743FB">
        <w:rPr>
          <w:rFonts w:asciiTheme="minorHAnsi" w:hAnsiTheme="minorHAnsi" w:cstheme="minorHAnsi"/>
          <w:b w:val="0"/>
          <w:sz w:val="22"/>
          <w:szCs w:val="22"/>
        </w:rPr>
        <w:t xml:space="preserve"> behandeld. De </w:t>
      </w:r>
      <w:proofErr w:type="spellStart"/>
      <w:r w:rsidR="00EC57D2" w:rsidRPr="00C743FB">
        <w:rPr>
          <w:rFonts w:asciiTheme="minorHAnsi" w:hAnsiTheme="minorHAnsi" w:cstheme="minorHAnsi"/>
          <w:b w:val="0"/>
          <w:sz w:val="22"/>
          <w:szCs w:val="22"/>
        </w:rPr>
        <w:t>verrekeningsmogelijkheden</w:t>
      </w:r>
      <w:proofErr w:type="spellEnd"/>
      <w:r w:rsidR="00EC57D2" w:rsidRPr="00C743FB">
        <w:rPr>
          <w:rFonts w:asciiTheme="minorHAnsi" w:hAnsiTheme="minorHAnsi" w:cstheme="minorHAnsi"/>
          <w:b w:val="0"/>
          <w:sz w:val="22"/>
          <w:szCs w:val="22"/>
        </w:rPr>
        <w:t xml:space="preserve"> die het arrest Mulder biedt zijn dan ook alleen van toepassing op stil verpande vorderingen</w:t>
      </w:r>
      <w:r w:rsidRPr="00C743FB">
        <w:rPr>
          <w:rFonts w:asciiTheme="minorHAnsi" w:hAnsiTheme="minorHAnsi" w:cstheme="minorHAnsi"/>
          <w:b w:val="0"/>
          <w:sz w:val="22"/>
          <w:szCs w:val="22"/>
        </w:rPr>
        <w:t xml:space="preserve">. </w:t>
      </w:r>
    </w:p>
    <w:p w:rsidR="006D18D0" w:rsidRPr="00C743FB" w:rsidRDefault="006D18D0" w:rsidP="006D18D0">
      <w:pPr>
        <w:jc w:val="left"/>
        <w:rPr>
          <w:rFonts w:asciiTheme="minorHAnsi" w:hAnsiTheme="minorHAnsi" w:cstheme="minorHAnsi"/>
          <w:b w:val="0"/>
          <w:sz w:val="22"/>
          <w:szCs w:val="22"/>
        </w:rPr>
      </w:pPr>
    </w:p>
    <w:p w:rsidR="006D18D0" w:rsidRPr="00C743FB" w:rsidRDefault="006D18D0" w:rsidP="006D18D0">
      <w:pPr>
        <w:jc w:val="left"/>
        <w:rPr>
          <w:rFonts w:asciiTheme="minorHAnsi" w:hAnsiTheme="minorHAnsi" w:cstheme="minorHAnsi"/>
          <w:b w:val="0"/>
          <w:sz w:val="22"/>
          <w:szCs w:val="22"/>
        </w:rPr>
      </w:pPr>
      <w:r w:rsidRPr="00C743FB">
        <w:rPr>
          <w:rFonts w:asciiTheme="minorHAnsi" w:hAnsiTheme="minorHAnsi" w:cstheme="minorHAnsi"/>
          <w:b w:val="0"/>
          <w:sz w:val="22"/>
          <w:szCs w:val="22"/>
        </w:rPr>
        <w:t>Ingaand op het stil pandrecht in het arrest Mulder q.q./CLBN. In het arrest wordt onder</w:t>
      </w:r>
      <w:r w:rsidR="00EC57D2" w:rsidRPr="00C743FB">
        <w:rPr>
          <w:rFonts w:asciiTheme="minorHAnsi" w:hAnsiTheme="minorHAnsi" w:cstheme="minorHAnsi"/>
          <w:b w:val="0"/>
          <w:sz w:val="22"/>
          <w:szCs w:val="22"/>
        </w:rPr>
        <w:t xml:space="preserve"> rechtsoverweging</w:t>
      </w:r>
      <w:r w:rsidRPr="00C743FB">
        <w:rPr>
          <w:rFonts w:asciiTheme="minorHAnsi" w:hAnsiTheme="minorHAnsi" w:cstheme="minorHAnsi"/>
          <w:b w:val="0"/>
          <w:sz w:val="22"/>
          <w:szCs w:val="22"/>
        </w:rPr>
        <w:t xml:space="preserve"> 3.4.3 aangehaald dat de Nederlands Genootschap van Bedrijfsjuristen twijfelde of een stil pandrecht wel de zekerheid bood die het toentertijd gebruikelijke zekerheidseigendom, het </w:t>
      </w:r>
      <w:r w:rsidRPr="00C743FB">
        <w:rPr>
          <w:rFonts w:asciiTheme="minorHAnsi" w:hAnsiTheme="minorHAnsi" w:cstheme="minorHAnsi"/>
          <w:b w:val="0"/>
          <w:i/>
          <w:sz w:val="22"/>
          <w:szCs w:val="22"/>
        </w:rPr>
        <w:t>Fiduciair eigendom</w:t>
      </w:r>
      <w:r w:rsidRPr="00C743FB">
        <w:rPr>
          <w:rFonts w:asciiTheme="minorHAnsi" w:hAnsiTheme="minorHAnsi" w:cstheme="minorHAnsi"/>
          <w:b w:val="0"/>
          <w:sz w:val="22"/>
          <w:szCs w:val="22"/>
        </w:rPr>
        <w:t xml:space="preserve">, bood. </w:t>
      </w:r>
      <w:r w:rsidR="00EC57D2" w:rsidRPr="00C743FB">
        <w:rPr>
          <w:rFonts w:asciiTheme="minorHAnsi" w:hAnsiTheme="minorHAnsi" w:cstheme="minorHAnsi"/>
          <w:b w:val="0"/>
          <w:sz w:val="22"/>
          <w:szCs w:val="22"/>
        </w:rPr>
        <w:t xml:space="preserve">Het zekerheidseigendom is een zekerheidsrecht waarbij men iets aan een </w:t>
      </w:r>
      <w:proofErr w:type="spellStart"/>
      <w:r w:rsidR="00EC57D2" w:rsidRPr="00C743FB">
        <w:rPr>
          <w:rFonts w:asciiTheme="minorHAnsi" w:hAnsiTheme="minorHAnsi" w:cstheme="minorHAnsi"/>
          <w:b w:val="0"/>
          <w:sz w:val="22"/>
          <w:szCs w:val="22"/>
        </w:rPr>
        <w:t>financierder</w:t>
      </w:r>
      <w:proofErr w:type="spellEnd"/>
      <w:r w:rsidR="00EC57D2" w:rsidRPr="00C743FB">
        <w:rPr>
          <w:rFonts w:asciiTheme="minorHAnsi" w:hAnsiTheme="minorHAnsi" w:cstheme="minorHAnsi"/>
          <w:b w:val="0"/>
          <w:sz w:val="22"/>
          <w:szCs w:val="22"/>
        </w:rPr>
        <w:t xml:space="preserve"> in eigendom overdraagt</w:t>
      </w:r>
      <w:r w:rsidR="009F38EE" w:rsidRPr="00C743FB">
        <w:rPr>
          <w:rFonts w:asciiTheme="minorHAnsi" w:hAnsiTheme="minorHAnsi" w:cstheme="minorHAnsi"/>
          <w:b w:val="0"/>
          <w:sz w:val="22"/>
          <w:szCs w:val="22"/>
        </w:rPr>
        <w:t xml:space="preserve">, zodat de </w:t>
      </w:r>
      <w:proofErr w:type="spellStart"/>
      <w:r w:rsidR="009F38EE" w:rsidRPr="00C743FB">
        <w:rPr>
          <w:rFonts w:asciiTheme="minorHAnsi" w:hAnsiTheme="minorHAnsi" w:cstheme="minorHAnsi"/>
          <w:b w:val="0"/>
          <w:sz w:val="22"/>
          <w:szCs w:val="22"/>
        </w:rPr>
        <w:t>financierder</w:t>
      </w:r>
      <w:proofErr w:type="spellEnd"/>
      <w:r w:rsidR="009F38EE" w:rsidRPr="00C743FB">
        <w:rPr>
          <w:rFonts w:asciiTheme="minorHAnsi" w:hAnsiTheme="minorHAnsi" w:cstheme="minorHAnsi"/>
          <w:b w:val="0"/>
          <w:sz w:val="22"/>
          <w:szCs w:val="22"/>
        </w:rPr>
        <w:t xml:space="preserve"> zekerheid verkrijgt </w:t>
      </w:r>
      <w:r w:rsidR="008252C9" w:rsidRPr="00C743FB">
        <w:rPr>
          <w:rFonts w:asciiTheme="minorHAnsi" w:hAnsiTheme="minorHAnsi" w:cstheme="minorHAnsi"/>
          <w:b w:val="0"/>
          <w:sz w:val="22"/>
          <w:szCs w:val="22"/>
        </w:rPr>
        <w:t>tot</w:t>
      </w:r>
      <w:r w:rsidR="009F38EE" w:rsidRPr="00C743FB">
        <w:rPr>
          <w:rFonts w:asciiTheme="minorHAnsi" w:hAnsiTheme="minorHAnsi" w:cstheme="minorHAnsi"/>
          <w:b w:val="0"/>
          <w:sz w:val="22"/>
          <w:szCs w:val="22"/>
        </w:rPr>
        <w:t xml:space="preserve"> voldoening van een geldlening. </w:t>
      </w:r>
      <w:r w:rsidRPr="00C743FB">
        <w:rPr>
          <w:rFonts w:asciiTheme="minorHAnsi" w:hAnsiTheme="minorHAnsi" w:cstheme="minorHAnsi"/>
          <w:b w:val="0"/>
          <w:sz w:val="22"/>
          <w:szCs w:val="22"/>
        </w:rPr>
        <w:t xml:space="preserve">De Tweede Kamer heeft daarop gereageerd en aangegeven dat met het stil pandrecht 'praktisch hetzelfde resultaat als met zekerheidseigendom kan worden bereikt'. </w:t>
      </w:r>
      <w:r w:rsidR="008252C9" w:rsidRPr="00C743FB">
        <w:rPr>
          <w:rFonts w:asciiTheme="minorHAnsi" w:hAnsiTheme="minorHAnsi" w:cstheme="minorHAnsi"/>
          <w:b w:val="0"/>
          <w:sz w:val="22"/>
          <w:szCs w:val="22"/>
        </w:rPr>
        <w:t>Er wordt immers ook een product gegeven om zekerheid te creëren, alleen blijft het product bij een stil pandrecht in handen van de schuldenaar.</w:t>
      </w:r>
      <w:r w:rsidR="00CB1943" w:rsidRPr="00C743FB">
        <w:rPr>
          <w:rFonts w:asciiTheme="minorHAnsi" w:hAnsiTheme="minorHAnsi" w:cstheme="minorHAnsi"/>
          <w:b w:val="0"/>
          <w:sz w:val="22"/>
          <w:szCs w:val="22"/>
        </w:rPr>
        <w:t xml:space="preserve"> De Hoge Raad besloot </w:t>
      </w:r>
      <w:r w:rsidRPr="00C743FB">
        <w:rPr>
          <w:rFonts w:asciiTheme="minorHAnsi" w:hAnsiTheme="minorHAnsi" w:cstheme="minorHAnsi"/>
          <w:b w:val="0"/>
          <w:sz w:val="22"/>
          <w:szCs w:val="22"/>
        </w:rPr>
        <w:t xml:space="preserve">dat, ook al gaat het pandrecht teniet door betaling van de vordering waarop het pandrecht ligt of door inning van de vordering door de curator, de </w:t>
      </w:r>
      <w:r w:rsidR="00FF41D0" w:rsidRPr="00C743FB">
        <w:rPr>
          <w:rFonts w:asciiTheme="minorHAnsi" w:hAnsiTheme="minorHAnsi" w:cstheme="minorHAnsi"/>
          <w:b w:val="0"/>
          <w:sz w:val="22"/>
          <w:szCs w:val="22"/>
        </w:rPr>
        <w:t>pandhouder</w:t>
      </w:r>
      <w:r w:rsidRPr="00C743FB">
        <w:rPr>
          <w:rFonts w:asciiTheme="minorHAnsi" w:hAnsiTheme="minorHAnsi" w:cstheme="minorHAnsi"/>
          <w:b w:val="0"/>
          <w:sz w:val="22"/>
          <w:szCs w:val="22"/>
        </w:rPr>
        <w:t xml:space="preserve"> nog steeds  haar voorrang op de gelden behoudt. De </w:t>
      </w:r>
      <w:r w:rsidR="00FF41D0" w:rsidRPr="00C743FB">
        <w:rPr>
          <w:rFonts w:asciiTheme="minorHAnsi" w:hAnsiTheme="minorHAnsi" w:cstheme="minorHAnsi"/>
          <w:b w:val="0"/>
          <w:sz w:val="22"/>
          <w:szCs w:val="22"/>
        </w:rPr>
        <w:t>pandhouder</w:t>
      </w:r>
      <w:r w:rsidRPr="00C743FB">
        <w:rPr>
          <w:rFonts w:asciiTheme="minorHAnsi" w:hAnsiTheme="minorHAnsi" w:cstheme="minorHAnsi"/>
          <w:b w:val="0"/>
          <w:sz w:val="22"/>
          <w:szCs w:val="22"/>
        </w:rPr>
        <w:t xml:space="preserve"> moet wel wachten op de uitdelingslijst en bijdragen in de algemene faillissementskosten, art. 182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De pandhouder blijft haar </w:t>
      </w:r>
      <w:r w:rsidR="00CB1943" w:rsidRPr="00C743FB">
        <w:rPr>
          <w:rFonts w:asciiTheme="minorHAnsi" w:hAnsiTheme="minorHAnsi" w:cstheme="minorHAnsi"/>
          <w:b w:val="0"/>
          <w:sz w:val="22"/>
          <w:szCs w:val="22"/>
        </w:rPr>
        <w:t>recht op de gelden dus behouden.</w:t>
      </w:r>
      <w:r w:rsidR="00CB1943" w:rsidRPr="00C743FB">
        <w:rPr>
          <w:rStyle w:val="Voetnootmarkering"/>
          <w:rFonts w:asciiTheme="minorHAnsi" w:hAnsiTheme="minorHAnsi" w:cstheme="minorHAnsi"/>
          <w:b w:val="0"/>
          <w:sz w:val="22"/>
          <w:szCs w:val="22"/>
        </w:rPr>
        <w:footnoteReference w:id="67"/>
      </w:r>
    </w:p>
    <w:p w:rsidR="006D18D0" w:rsidRPr="00C743FB" w:rsidRDefault="006D18D0" w:rsidP="006D18D0">
      <w:pPr>
        <w:jc w:val="left"/>
        <w:rPr>
          <w:rFonts w:asciiTheme="minorHAnsi" w:hAnsiTheme="minorHAnsi" w:cstheme="minorHAnsi"/>
          <w:b w:val="0"/>
          <w:sz w:val="22"/>
          <w:szCs w:val="22"/>
        </w:rPr>
      </w:pPr>
    </w:p>
    <w:p w:rsidR="006D18D0" w:rsidRPr="00C743FB" w:rsidRDefault="006D18D0" w:rsidP="006D18D0">
      <w:pPr>
        <w:jc w:val="left"/>
        <w:rPr>
          <w:rFonts w:asciiTheme="minorHAnsi" w:hAnsiTheme="minorHAnsi" w:cstheme="minorHAnsi"/>
          <w:b w:val="0"/>
          <w:sz w:val="22"/>
          <w:szCs w:val="22"/>
        </w:rPr>
      </w:pPr>
      <w:r w:rsidRPr="00C743FB">
        <w:rPr>
          <w:rFonts w:asciiTheme="minorHAnsi" w:hAnsiTheme="minorHAnsi" w:cstheme="minorHAnsi"/>
          <w:b w:val="0"/>
          <w:sz w:val="22"/>
          <w:szCs w:val="22"/>
        </w:rPr>
        <w:t>Het arrest Mulder geeft de</w:t>
      </w:r>
      <w:r w:rsidR="00D64B0F" w:rsidRPr="00C743FB">
        <w:rPr>
          <w:rFonts w:asciiTheme="minorHAnsi" w:hAnsiTheme="minorHAnsi" w:cstheme="minorHAnsi"/>
          <w:b w:val="0"/>
          <w:sz w:val="22"/>
          <w:szCs w:val="22"/>
        </w:rPr>
        <w:t xml:space="preserve"> heersende leer aan omtrent verrekenen in het zicht van een faillissement en heeft erv</w:t>
      </w:r>
      <w:r w:rsidRPr="00C743FB">
        <w:rPr>
          <w:rFonts w:asciiTheme="minorHAnsi" w:hAnsiTheme="minorHAnsi" w:cstheme="minorHAnsi"/>
          <w:b w:val="0"/>
          <w:sz w:val="22"/>
          <w:szCs w:val="22"/>
        </w:rPr>
        <w:t xml:space="preserve">oor gezorgd dat banken nu </w:t>
      </w:r>
      <w:r w:rsidR="00D64B0F" w:rsidRPr="00C743FB">
        <w:rPr>
          <w:rFonts w:asciiTheme="minorHAnsi" w:hAnsiTheme="minorHAnsi" w:cstheme="minorHAnsi"/>
          <w:b w:val="0"/>
          <w:sz w:val="22"/>
          <w:szCs w:val="22"/>
        </w:rPr>
        <w:t xml:space="preserve">stil </w:t>
      </w:r>
      <w:r w:rsidRPr="00C743FB">
        <w:rPr>
          <w:rFonts w:asciiTheme="minorHAnsi" w:hAnsiTheme="minorHAnsi" w:cstheme="minorHAnsi"/>
          <w:b w:val="0"/>
          <w:sz w:val="22"/>
          <w:szCs w:val="22"/>
        </w:rPr>
        <w:t xml:space="preserve">verpande vorderingen in </w:t>
      </w:r>
      <w:r w:rsidR="00D64B0F" w:rsidRPr="00C743FB">
        <w:rPr>
          <w:rFonts w:asciiTheme="minorHAnsi" w:hAnsiTheme="minorHAnsi" w:cstheme="minorHAnsi"/>
          <w:b w:val="0"/>
          <w:sz w:val="22"/>
          <w:szCs w:val="22"/>
        </w:rPr>
        <w:t>die betreffende situatie</w:t>
      </w:r>
      <w:r w:rsidRPr="00C743FB">
        <w:rPr>
          <w:rFonts w:asciiTheme="minorHAnsi" w:hAnsiTheme="minorHAnsi" w:cstheme="minorHAnsi"/>
          <w:b w:val="0"/>
          <w:sz w:val="22"/>
          <w:szCs w:val="22"/>
        </w:rPr>
        <w:t xml:space="preserve"> kunnen verrekenen. Echter, het is niet duidelijk wat precies de omstandigheden en afwegingen zijn waarop </w:t>
      </w:r>
      <w:r w:rsidRPr="00C743FB">
        <w:rPr>
          <w:rFonts w:asciiTheme="minorHAnsi" w:hAnsiTheme="minorHAnsi" w:cstheme="minorHAnsi"/>
          <w:b w:val="0"/>
          <w:sz w:val="22"/>
          <w:szCs w:val="22"/>
        </w:rPr>
        <w:lastRenderedPageBreak/>
        <w:t xml:space="preserve">een rechter het verrekenen van een vordering in het zicht van een faillissement goed-/afkeurt. Om dieper in te gaan op het arrest Mulder en </w:t>
      </w:r>
      <w:r w:rsidR="00D64B0F" w:rsidRPr="00C743FB">
        <w:rPr>
          <w:rFonts w:asciiTheme="minorHAnsi" w:hAnsiTheme="minorHAnsi" w:cstheme="minorHAnsi"/>
          <w:b w:val="0"/>
          <w:sz w:val="22"/>
          <w:szCs w:val="22"/>
        </w:rPr>
        <w:t xml:space="preserve">om </w:t>
      </w:r>
      <w:r w:rsidRPr="00C743FB">
        <w:rPr>
          <w:rFonts w:asciiTheme="minorHAnsi" w:hAnsiTheme="minorHAnsi" w:cstheme="minorHAnsi"/>
          <w:b w:val="0"/>
          <w:sz w:val="22"/>
          <w:szCs w:val="22"/>
        </w:rPr>
        <w:t>deze vraag te beantwoorden zal ik daarom een jurisprudentieonderzoek doen</w:t>
      </w:r>
      <w:r w:rsidR="00202B3C" w:rsidRPr="00C743FB">
        <w:rPr>
          <w:rFonts w:asciiTheme="minorHAnsi" w:hAnsiTheme="minorHAnsi" w:cstheme="minorHAnsi"/>
          <w:b w:val="0"/>
          <w:sz w:val="22"/>
          <w:szCs w:val="22"/>
        </w:rPr>
        <w:t>, zie hoofdstuk 6</w:t>
      </w:r>
      <w:r w:rsidRPr="00C743FB">
        <w:rPr>
          <w:rFonts w:asciiTheme="minorHAnsi" w:hAnsiTheme="minorHAnsi" w:cstheme="minorHAnsi"/>
          <w:b w:val="0"/>
          <w:sz w:val="22"/>
          <w:szCs w:val="22"/>
        </w:rPr>
        <w:t>.</w:t>
      </w:r>
      <w:r w:rsidRPr="00C743FB">
        <w:rPr>
          <w:rStyle w:val="Voetnootmarkering"/>
          <w:rFonts w:asciiTheme="minorHAnsi" w:hAnsiTheme="minorHAnsi" w:cstheme="minorHAnsi"/>
          <w:b w:val="0"/>
          <w:sz w:val="22"/>
          <w:szCs w:val="22"/>
        </w:rPr>
        <w:footnoteReference w:id="68"/>
      </w:r>
    </w:p>
    <w:p w:rsidR="000C0A37" w:rsidRPr="00C743FB" w:rsidRDefault="000C0A37" w:rsidP="00777539">
      <w:pPr>
        <w:jc w:val="left"/>
        <w:rPr>
          <w:rFonts w:asciiTheme="minorHAnsi" w:hAnsiTheme="minorHAnsi" w:cstheme="minorHAnsi"/>
          <w:b w:val="0"/>
          <w:sz w:val="22"/>
          <w:szCs w:val="22"/>
        </w:rPr>
      </w:pPr>
    </w:p>
    <w:p w:rsidR="00777539" w:rsidRPr="00570D50" w:rsidRDefault="00777539" w:rsidP="00570D50">
      <w:pPr>
        <w:pStyle w:val="Kop2"/>
        <w:spacing w:before="0" w:beforeAutospacing="0" w:after="0" w:afterAutospacing="0"/>
        <w:rPr>
          <w:rFonts w:asciiTheme="minorHAnsi" w:hAnsiTheme="minorHAnsi" w:cstheme="minorHAnsi"/>
          <w:sz w:val="24"/>
          <w:szCs w:val="24"/>
        </w:rPr>
      </w:pPr>
      <w:bookmarkStart w:id="31" w:name="_Toc486246626"/>
      <w:r w:rsidRPr="00570D50">
        <w:rPr>
          <w:rFonts w:asciiTheme="minorHAnsi" w:hAnsiTheme="minorHAnsi" w:cstheme="minorHAnsi"/>
          <w:sz w:val="24"/>
          <w:szCs w:val="24"/>
        </w:rPr>
        <w:t>§</w:t>
      </w:r>
      <w:r w:rsidR="00943B73" w:rsidRPr="00570D50">
        <w:rPr>
          <w:rFonts w:asciiTheme="minorHAnsi" w:hAnsiTheme="minorHAnsi" w:cstheme="minorHAnsi"/>
          <w:sz w:val="24"/>
          <w:szCs w:val="24"/>
        </w:rPr>
        <w:t>2</w:t>
      </w:r>
      <w:r w:rsidRPr="00570D50">
        <w:rPr>
          <w:rFonts w:asciiTheme="minorHAnsi" w:hAnsiTheme="minorHAnsi" w:cstheme="minorHAnsi"/>
          <w:sz w:val="24"/>
          <w:szCs w:val="24"/>
        </w:rPr>
        <w:t xml:space="preserve"> Faillissement</w:t>
      </w:r>
      <w:bookmarkEnd w:id="31"/>
    </w:p>
    <w:p w:rsidR="00777539" w:rsidRPr="00C743FB" w:rsidRDefault="00714ABE"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Faillissement </w:t>
      </w:r>
      <w:r w:rsidR="00EC57D2" w:rsidRPr="00C743FB">
        <w:rPr>
          <w:rFonts w:asciiTheme="minorHAnsi" w:hAnsiTheme="minorHAnsi" w:cstheme="minorHAnsi"/>
          <w:b w:val="0"/>
          <w:sz w:val="22"/>
          <w:szCs w:val="22"/>
        </w:rPr>
        <w:t>vindt</w:t>
      </w:r>
      <w:r w:rsidR="00114E4E" w:rsidRPr="00C743FB">
        <w:rPr>
          <w:rFonts w:asciiTheme="minorHAnsi" w:hAnsiTheme="minorHAnsi" w:cstheme="minorHAnsi"/>
          <w:b w:val="0"/>
          <w:sz w:val="22"/>
          <w:szCs w:val="22"/>
        </w:rPr>
        <w:t xml:space="preserve"> zijn terminologische afkomst </w:t>
      </w:r>
      <w:r w:rsidR="00EC57D2" w:rsidRPr="00C743FB">
        <w:rPr>
          <w:rFonts w:asciiTheme="minorHAnsi" w:hAnsiTheme="minorHAnsi" w:cstheme="minorHAnsi"/>
          <w:b w:val="0"/>
          <w:sz w:val="22"/>
          <w:szCs w:val="22"/>
        </w:rPr>
        <w:t>in</w:t>
      </w:r>
      <w:r w:rsidR="00114E4E" w:rsidRPr="00C743FB">
        <w:rPr>
          <w:rFonts w:asciiTheme="minorHAnsi" w:hAnsiTheme="minorHAnsi" w:cstheme="minorHAnsi"/>
          <w:b w:val="0"/>
          <w:sz w:val="22"/>
          <w:szCs w:val="22"/>
        </w:rPr>
        <w:t xml:space="preserve"> het</w:t>
      </w:r>
      <w:r w:rsidRPr="00C743FB">
        <w:rPr>
          <w:rFonts w:asciiTheme="minorHAnsi" w:hAnsiTheme="minorHAnsi" w:cstheme="minorHAnsi"/>
          <w:b w:val="0"/>
          <w:sz w:val="22"/>
          <w:szCs w:val="22"/>
        </w:rPr>
        <w:t xml:space="preserve"> Franse </w:t>
      </w:r>
      <w:r w:rsidR="00EC57D2" w:rsidRPr="00C743FB">
        <w:rPr>
          <w:rFonts w:asciiTheme="minorHAnsi" w:hAnsiTheme="minorHAnsi" w:cstheme="minorHAnsi"/>
          <w:b w:val="0"/>
          <w:sz w:val="22"/>
          <w:szCs w:val="22"/>
        </w:rPr>
        <w:t xml:space="preserve">woord </w:t>
      </w:r>
      <w:r w:rsidRPr="00C743FB">
        <w:rPr>
          <w:rFonts w:asciiTheme="minorHAnsi" w:hAnsiTheme="minorHAnsi" w:cstheme="minorHAnsi"/>
          <w:b w:val="0"/>
          <w:sz w:val="22"/>
          <w:szCs w:val="22"/>
        </w:rPr>
        <w:t>'</w:t>
      </w:r>
      <w:proofErr w:type="spellStart"/>
      <w:r w:rsidRPr="00C743FB">
        <w:rPr>
          <w:rFonts w:asciiTheme="minorHAnsi" w:hAnsiTheme="minorHAnsi" w:cstheme="minorHAnsi"/>
          <w:b w:val="0"/>
          <w:sz w:val="22"/>
          <w:szCs w:val="22"/>
        </w:rPr>
        <w:t>faillir</w:t>
      </w:r>
      <w:proofErr w:type="spellEnd"/>
      <w:r w:rsidRPr="00C743FB">
        <w:rPr>
          <w:rFonts w:asciiTheme="minorHAnsi" w:hAnsiTheme="minorHAnsi" w:cstheme="minorHAnsi"/>
          <w:b w:val="0"/>
          <w:sz w:val="22"/>
          <w:szCs w:val="22"/>
        </w:rPr>
        <w:t xml:space="preserve">', </w:t>
      </w:r>
      <w:r w:rsidR="00114E4E" w:rsidRPr="00C743FB">
        <w:rPr>
          <w:rFonts w:asciiTheme="minorHAnsi" w:hAnsiTheme="minorHAnsi" w:cstheme="minorHAnsi"/>
          <w:b w:val="0"/>
          <w:sz w:val="22"/>
          <w:szCs w:val="22"/>
        </w:rPr>
        <w:t>dit betekent</w:t>
      </w:r>
      <w:r w:rsidRPr="00C743FB">
        <w:rPr>
          <w:rFonts w:asciiTheme="minorHAnsi" w:hAnsiTheme="minorHAnsi" w:cstheme="minorHAnsi"/>
          <w:b w:val="0"/>
          <w:sz w:val="22"/>
          <w:szCs w:val="22"/>
        </w:rPr>
        <w:t xml:space="preserve"> 'mislukken' of 'falen'.</w:t>
      </w:r>
      <w:r w:rsidR="003F750A" w:rsidRPr="00C743FB">
        <w:rPr>
          <w:rStyle w:val="Voetnootmarkering"/>
          <w:rFonts w:asciiTheme="minorHAnsi" w:hAnsiTheme="minorHAnsi" w:cstheme="minorHAnsi"/>
          <w:b w:val="0"/>
          <w:sz w:val="22"/>
          <w:szCs w:val="22"/>
        </w:rPr>
        <w:footnoteReference w:id="69"/>
      </w:r>
      <w:r w:rsidR="00114E4E" w:rsidRPr="00C743FB">
        <w:rPr>
          <w:rFonts w:asciiTheme="minorHAnsi" w:hAnsiTheme="minorHAnsi" w:cstheme="minorHAnsi"/>
          <w:b w:val="0"/>
          <w:sz w:val="22"/>
          <w:szCs w:val="22"/>
        </w:rPr>
        <w:t xml:space="preserve"> Het faillissement</w:t>
      </w:r>
      <w:r w:rsidRPr="00C743FB">
        <w:rPr>
          <w:rFonts w:asciiTheme="minorHAnsi" w:hAnsiTheme="minorHAnsi" w:cstheme="minorHAnsi"/>
          <w:b w:val="0"/>
          <w:sz w:val="22"/>
          <w:szCs w:val="22"/>
        </w:rPr>
        <w:t xml:space="preserve"> is een </w:t>
      </w:r>
      <w:proofErr w:type="spellStart"/>
      <w:r w:rsidRPr="00C743FB">
        <w:rPr>
          <w:rFonts w:asciiTheme="minorHAnsi" w:hAnsiTheme="minorHAnsi" w:cstheme="minorHAnsi"/>
          <w:b w:val="0"/>
          <w:sz w:val="22"/>
          <w:szCs w:val="22"/>
        </w:rPr>
        <w:t>verhaalsprocedure</w:t>
      </w:r>
      <w:proofErr w:type="spellEnd"/>
      <w:r w:rsidRPr="00C743FB">
        <w:rPr>
          <w:rFonts w:asciiTheme="minorHAnsi" w:hAnsiTheme="minorHAnsi" w:cstheme="minorHAnsi"/>
          <w:b w:val="0"/>
          <w:sz w:val="22"/>
          <w:szCs w:val="22"/>
        </w:rPr>
        <w:t xml:space="preserve">. </w:t>
      </w:r>
      <w:r w:rsidR="00777539" w:rsidRPr="00C743FB">
        <w:rPr>
          <w:rFonts w:asciiTheme="minorHAnsi" w:hAnsiTheme="minorHAnsi" w:cstheme="minorHAnsi"/>
          <w:b w:val="0"/>
          <w:sz w:val="22"/>
          <w:szCs w:val="22"/>
        </w:rPr>
        <w:t xml:space="preserve">Wanneer </w:t>
      </w:r>
      <w:r w:rsidR="00114E4E" w:rsidRPr="00C743FB">
        <w:rPr>
          <w:rFonts w:asciiTheme="minorHAnsi" w:hAnsiTheme="minorHAnsi" w:cstheme="minorHAnsi"/>
          <w:b w:val="0"/>
          <w:sz w:val="22"/>
          <w:szCs w:val="22"/>
        </w:rPr>
        <w:t>een rechtspersoon</w:t>
      </w:r>
      <w:r w:rsidR="00777539" w:rsidRPr="00C743FB">
        <w:rPr>
          <w:rFonts w:asciiTheme="minorHAnsi" w:hAnsiTheme="minorHAnsi" w:cstheme="minorHAnsi"/>
          <w:b w:val="0"/>
          <w:sz w:val="22"/>
          <w:szCs w:val="22"/>
        </w:rPr>
        <w:t xml:space="preserve"> in een toestand verkeerd waarin hij ophoudt te betalen kan er indien e</w:t>
      </w:r>
      <w:r w:rsidR="00114E4E" w:rsidRPr="00C743FB">
        <w:rPr>
          <w:rFonts w:asciiTheme="minorHAnsi" w:hAnsiTheme="minorHAnsi" w:cstheme="minorHAnsi"/>
          <w:b w:val="0"/>
          <w:sz w:val="22"/>
          <w:szCs w:val="22"/>
        </w:rPr>
        <w:t xml:space="preserve">r pluraliteit van schuldeisers </w:t>
      </w:r>
      <w:r w:rsidR="00777539" w:rsidRPr="00C743FB">
        <w:rPr>
          <w:rFonts w:asciiTheme="minorHAnsi" w:hAnsiTheme="minorHAnsi" w:cstheme="minorHAnsi"/>
          <w:b w:val="0"/>
          <w:sz w:val="22"/>
          <w:szCs w:val="22"/>
        </w:rPr>
        <w:t xml:space="preserve">is, door een schuldeiser een faillissement verzocht worden bij de rechtbank. </w:t>
      </w:r>
      <w:r w:rsidR="00B766F7" w:rsidRPr="00C743FB">
        <w:rPr>
          <w:rFonts w:asciiTheme="minorHAnsi" w:hAnsiTheme="minorHAnsi" w:cstheme="minorHAnsi"/>
          <w:b w:val="0"/>
          <w:sz w:val="22"/>
          <w:szCs w:val="22"/>
        </w:rPr>
        <w:t xml:space="preserve">De rechtspersoon dient niet meer aan zijn betalingsverplichtingen te kunnen voldoen, insolvent te zijn, om failliet verklaart te kunnen worden door de rechtbank. </w:t>
      </w:r>
      <w:r w:rsidR="0057535E" w:rsidRPr="00C743FB">
        <w:rPr>
          <w:rFonts w:asciiTheme="minorHAnsi" w:hAnsiTheme="minorHAnsi" w:cstheme="minorHAnsi"/>
          <w:b w:val="0"/>
          <w:sz w:val="22"/>
          <w:szCs w:val="22"/>
        </w:rPr>
        <w:t xml:space="preserve">De rechtbank zal vervolgens een curator aanstellen die het vermogen van de failliet te gelde zal maken en met de opbrengst daarvan de schuldeiser zal proberen te voldoen. </w:t>
      </w:r>
      <w:r w:rsidR="003E6636" w:rsidRPr="00C743FB">
        <w:rPr>
          <w:rFonts w:asciiTheme="minorHAnsi" w:hAnsiTheme="minorHAnsi" w:cstheme="minorHAnsi"/>
          <w:b w:val="0"/>
          <w:sz w:val="22"/>
          <w:szCs w:val="22"/>
        </w:rPr>
        <w:t>Kortgezegd is h</w:t>
      </w:r>
      <w:r w:rsidR="00777539" w:rsidRPr="00C743FB">
        <w:rPr>
          <w:rFonts w:asciiTheme="minorHAnsi" w:hAnsiTheme="minorHAnsi" w:cstheme="minorHAnsi"/>
          <w:b w:val="0"/>
          <w:sz w:val="22"/>
          <w:szCs w:val="22"/>
        </w:rPr>
        <w:t xml:space="preserve">et </w:t>
      </w:r>
      <w:r w:rsidR="00A13636" w:rsidRPr="00C743FB">
        <w:rPr>
          <w:rFonts w:asciiTheme="minorHAnsi" w:hAnsiTheme="minorHAnsi" w:cstheme="minorHAnsi"/>
          <w:b w:val="0"/>
          <w:sz w:val="22"/>
          <w:szCs w:val="22"/>
        </w:rPr>
        <w:t xml:space="preserve">doel van het </w:t>
      </w:r>
      <w:r w:rsidR="00777539" w:rsidRPr="00C743FB">
        <w:rPr>
          <w:rFonts w:asciiTheme="minorHAnsi" w:hAnsiTheme="minorHAnsi" w:cstheme="minorHAnsi"/>
          <w:b w:val="0"/>
          <w:sz w:val="22"/>
          <w:szCs w:val="22"/>
        </w:rPr>
        <w:t xml:space="preserve">faillissement om </w:t>
      </w:r>
      <w:r w:rsidR="0042083D" w:rsidRPr="00C743FB">
        <w:rPr>
          <w:rFonts w:asciiTheme="minorHAnsi" w:hAnsiTheme="minorHAnsi" w:cstheme="minorHAnsi"/>
          <w:b w:val="0"/>
          <w:sz w:val="22"/>
          <w:szCs w:val="22"/>
        </w:rPr>
        <w:t xml:space="preserve">de </w:t>
      </w:r>
      <w:r w:rsidR="00777539" w:rsidRPr="00C743FB">
        <w:rPr>
          <w:rFonts w:asciiTheme="minorHAnsi" w:hAnsiTheme="minorHAnsi" w:cstheme="minorHAnsi"/>
          <w:b w:val="0"/>
          <w:sz w:val="22"/>
          <w:szCs w:val="22"/>
        </w:rPr>
        <w:t xml:space="preserve">schuldeisers </w:t>
      </w:r>
      <w:r w:rsidR="00A13636" w:rsidRPr="00C743FB">
        <w:rPr>
          <w:rFonts w:asciiTheme="minorHAnsi" w:hAnsiTheme="minorHAnsi" w:cstheme="minorHAnsi"/>
          <w:b w:val="0"/>
          <w:sz w:val="22"/>
          <w:szCs w:val="22"/>
        </w:rPr>
        <w:t xml:space="preserve">van </w:t>
      </w:r>
      <w:r w:rsidR="0042083D" w:rsidRPr="00C743FB">
        <w:rPr>
          <w:rFonts w:asciiTheme="minorHAnsi" w:hAnsiTheme="minorHAnsi" w:cstheme="minorHAnsi"/>
          <w:b w:val="0"/>
          <w:sz w:val="22"/>
          <w:szCs w:val="22"/>
        </w:rPr>
        <w:t>een</w:t>
      </w:r>
      <w:r w:rsidR="00A13636" w:rsidRPr="00C743FB">
        <w:rPr>
          <w:rFonts w:asciiTheme="minorHAnsi" w:hAnsiTheme="minorHAnsi" w:cstheme="minorHAnsi"/>
          <w:b w:val="0"/>
          <w:sz w:val="22"/>
          <w:szCs w:val="22"/>
        </w:rPr>
        <w:t xml:space="preserve"> schuldenaar </w:t>
      </w:r>
      <w:r w:rsidR="00777539" w:rsidRPr="00C743FB">
        <w:rPr>
          <w:rFonts w:asciiTheme="minorHAnsi" w:hAnsiTheme="minorHAnsi" w:cstheme="minorHAnsi"/>
          <w:b w:val="0"/>
          <w:sz w:val="22"/>
          <w:szCs w:val="22"/>
        </w:rPr>
        <w:t>te voldoen door verkoop</w:t>
      </w:r>
      <w:r w:rsidR="00A13636" w:rsidRPr="00C743FB">
        <w:rPr>
          <w:rFonts w:asciiTheme="minorHAnsi" w:hAnsiTheme="minorHAnsi" w:cstheme="minorHAnsi"/>
          <w:b w:val="0"/>
          <w:sz w:val="22"/>
          <w:szCs w:val="22"/>
        </w:rPr>
        <w:t xml:space="preserve"> van zijn</w:t>
      </w:r>
      <w:r w:rsidR="00777539" w:rsidRPr="00C743FB">
        <w:rPr>
          <w:rFonts w:asciiTheme="minorHAnsi" w:hAnsiTheme="minorHAnsi" w:cstheme="minorHAnsi"/>
          <w:b w:val="0"/>
          <w:sz w:val="22"/>
          <w:szCs w:val="22"/>
        </w:rPr>
        <w:t xml:space="preserve"> bezittingen.</w:t>
      </w:r>
      <w:r w:rsidR="00777539" w:rsidRPr="00C743FB">
        <w:rPr>
          <w:rStyle w:val="Voetnootmarkering"/>
          <w:rFonts w:asciiTheme="minorHAnsi" w:hAnsiTheme="minorHAnsi" w:cstheme="minorHAnsi"/>
          <w:b w:val="0"/>
          <w:sz w:val="22"/>
          <w:szCs w:val="22"/>
        </w:rPr>
        <w:footnoteReference w:id="70"/>
      </w:r>
      <w:r w:rsidR="00777539" w:rsidRPr="00C743FB">
        <w:rPr>
          <w:rFonts w:asciiTheme="minorHAnsi" w:hAnsiTheme="minorHAnsi" w:cstheme="minorHAnsi"/>
          <w:b w:val="0"/>
          <w:sz w:val="22"/>
          <w:szCs w:val="22"/>
        </w:rPr>
        <w:t xml:space="preserve"> </w:t>
      </w:r>
      <w:r w:rsidR="00777539" w:rsidRPr="00C743FB">
        <w:rPr>
          <w:rStyle w:val="Voetnootmarkering"/>
          <w:rFonts w:asciiTheme="minorHAnsi" w:hAnsiTheme="minorHAnsi" w:cstheme="minorHAnsi"/>
          <w:b w:val="0"/>
          <w:sz w:val="22"/>
          <w:szCs w:val="22"/>
        </w:rPr>
        <w:footnoteReference w:id="71"/>
      </w:r>
    </w:p>
    <w:p w:rsidR="00777539" w:rsidRPr="00C743FB" w:rsidRDefault="00777539" w:rsidP="00777539">
      <w:pPr>
        <w:jc w:val="left"/>
        <w:rPr>
          <w:rFonts w:asciiTheme="minorHAnsi" w:hAnsiTheme="minorHAnsi" w:cstheme="minorHAnsi"/>
          <w:b w:val="0"/>
          <w:sz w:val="22"/>
          <w:szCs w:val="22"/>
        </w:rPr>
      </w:pPr>
    </w:p>
    <w:p w:rsidR="00777539" w:rsidRPr="00C743FB" w:rsidRDefault="00777539"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Op het moment dat een schuldenaar failliet wordt verklaard verliest hij het beheer en de beschikking over zijn vermogen, artikel 23 </w:t>
      </w:r>
      <w:proofErr w:type="spellStart"/>
      <w:r w:rsidR="00CE7E56"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Zodoende mag de failliet geen rechtshandelingen meer doen. Het faillissement werkt terug tot 00:00 uur, </w:t>
      </w:r>
      <w:r w:rsidR="002D6D1D" w:rsidRPr="00C743FB">
        <w:rPr>
          <w:rFonts w:asciiTheme="minorHAnsi" w:hAnsiTheme="minorHAnsi" w:cstheme="minorHAnsi"/>
          <w:b w:val="0"/>
          <w:sz w:val="22"/>
          <w:szCs w:val="22"/>
        </w:rPr>
        <w:t xml:space="preserve">waardoor </w:t>
      </w:r>
      <w:r w:rsidRPr="00C743FB">
        <w:rPr>
          <w:rFonts w:asciiTheme="minorHAnsi" w:hAnsiTheme="minorHAnsi" w:cstheme="minorHAnsi"/>
          <w:b w:val="0"/>
          <w:sz w:val="22"/>
          <w:szCs w:val="22"/>
        </w:rPr>
        <w:t xml:space="preserve">alle rechtshandelingen die op de dag van de faillietverklaring gedaan </w:t>
      </w:r>
      <w:r w:rsidR="002D6D1D" w:rsidRPr="00C743FB">
        <w:rPr>
          <w:rFonts w:asciiTheme="minorHAnsi" w:hAnsiTheme="minorHAnsi" w:cstheme="minorHAnsi"/>
          <w:b w:val="0"/>
          <w:sz w:val="22"/>
          <w:szCs w:val="22"/>
        </w:rPr>
        <w:t xml:space="preserve">zijn moeten </w:t>
      </w:r>
      <w:r w:rsidRPr="00C743FB">
        <w:rPr>
          <w:rFonts w:asciiTheme="minorHAnsi" w:hAnsiTheme="minorHAnsi" w:cstheme="minorHAnsi"/>
          <w:b w:val="0"/>
          <w:sz w:val="22"/>
          <w:szCs w:val="22"/>
        </w:rPr>
        <w:t xml:space="preserve">worden teruggedraaid. Het terugdraaien geldt tevens voor girale betalingen. In </w:t>
      </w:r>
      <w:r w:rsidR="00202B3C" w:rsidRPr="00C743FB">
        <w:rPr>
          <w:rFonts w:asciiTheme="minorHAnsi" w:hAnsiTheme="minorHAnsi" w:cstheme="minorHAnsi"/>
          <w:b w:val="0"/>
          <w:sz w:val="22"/>
          <w:szCs w:val="22"/>
        </w:rPr>
        <w:t>hoofdstuk 3</w:t>
      </w:r>
      <w:r w:rsidRPr="00C743FB">
        <w:rPr>
          <w:rFonts w:asciiTheme="minorHAnsi" w:hAnsiTheme="minorHAnsi" w:cstheme="minorHAnsi"/>
          <w:b w:val="0"/>
          <w:sz w:val="22"/>
          <w:szCs w:val="22"/>
        </w:rPr>
        <w:t xml:space="preserve"> is naar voren gekomen dat girale betalingen niet gelijk bij de schuldeiser worden bijgeschreven. Het kan dus voorkomen dat een girale betaling een dag voor de faillietverklaring wordt gedaan, maar pas op de dag van de faillietverklaring bij de schuldeiser wordt bijgeschreven. De Hoge Raad heeft hier op 20 maart 2015 uitspraak over gedaan en sluit aan bij artikel 6:114 lid 2 BW: een girale betaling is voldaan op het moment dat het bedrag op de rekening van de schuldeiser is gecrediteerd. </w:t>
      </w:r>
      <w:r w:rsidRPr="00C743FB">
        <w:rPr>
          <w:rStyle w:val="Voetnootmarkering"/>
          <w:rFonts w:asciiTheme="minorHAnsi" w:hAnsiTheme="minorHAnsi" w:cstheme="minorHAnsi"/>
          <w:b w:val="0"/>
          <w:sz w:val="22"/>
          <w:szCs w:val="22"/>
        </w:rPr>
        <w:footnoteReference w:id="72"/>
      </w:r>
      <w:r w:rsidRPr="00C743FB">
        <w:rPr>
          <w:rFonts w:asciiTheme="minorHAnsi" w:hAnsiTheme="minorHAnsi" w:cstheme="minorHAnsi"/>
          <w:b w:val="0"/>
          <w:sz w:val="22"/>
          <w:szCs w:val="22"/>
        </w:rPr>
        <w:t xml:space="preserve"> </w:t>
      </w:r>
      <w:r w:rsidRPr="00C743FB">
        <w:rPr>
          <w:rStyle w:val="Voetnootmarkering"/>
          <w:rFonts w:asciiTheme="minorHAnsi" w:hAnsiTheme="minorHAnsi" w:cstheme="minorHAnsi"/>
          <w:b w:val="0"/>
          <w:sz w:val="22"/>
          <w:szCs w:val="22"/>
        </w:rPr>
        <w:footnoteReference w:id="73"/>
      </w:r>
      <w:r w:rsidR="00A41F1F" w:rsidRPr="00C743FB">
        <w:rPr>
          <w:rFonts w:asciiTheme="minorHAnsi" w:hAnsiTheme="minorHAnsi" w:cstheme="minorHAnsi"/>
          <w:b w:val="0"/>
          <w:sz w:val="22"/>
          <w:szCs w:val="22"/>
        </w:rPr>
        <w:t xml:space="preserve"> Als de schuldenaar </w:t>
      </w:r>
      <w:r w:rsidRPr="00C743FB">
        <w:rPr>
          <w:rFonts w:asciiTheme="minorHAnsi" w:hAnsiTheme="minorHAnsi" w:cstheme="minorHAnsi"/>
          <w:b w:val="0"/>
          <w:sz w:val="22"/>
          <w:szCs w:val="22"/>
        </w:rPr>
        <w:t xml:space="preserve">failliet wordt verklaard voordat de pinbetaling op de rekening van de </w:t>
      </w:r>
      <w:r w:rsidR="00A41F1F" w:rsidRPr="00C743FB">
        <w:rPr>
          <w:rFonts w:asciiTheme="minorHAnsi" w:hAnsiTheme="minorHAnsi" w:cstheme="minorHAnsi"/>
          <w:b w:val="0"/>
          <w:sz w:val="22"/>
          <w:szCs w:val="22"/>
        </w:rPr>
        <w:t>schuldeiser</w:t>
      </w:r>
      <w:r w:rsidRPr="00C743FB">
        <w:rPr>
          <w:rFonts w:asciiTheme="minorHAnsi" w:hAnsiTheme="minorHAnsi" w:cstheme="minorHAnsi"/>
          <w:b w:val="0"/>
          <w:sz w:val="22"/>
          <w:szCs w:val="22"/>
        </w:rPr>
        <w:t xml:space="preserve"> is gecrediteerd, dan kan de curator de betaling terugvorderen. Kortom, alle girale betalingen die </w:t>
      </w:r>
      <w:r w:rsidR="00E67518" w:rsidRPr="00C743FB">
        <w:rPr>
          <w:rFonts w:asciiTheme="minorHAnsi" w:hAnsiTheme="minorHAnsi" w:cstheme="minorHAnsi"/>
          <w:b w:val="0"/>
          <w:sz w:val="22"/>
          <w:szCs w:val="22"/>
        </w:rPr>
        <w:t>de schuldeiser</w:t>
      </w:r>
      <w:r w:rsidRPr="00C743FB">
        <w:rPr>
          <w:rFonts w:asciiTheme="minorHAnsi" w:hAnsiTheme="minorHAnsi" w:cstheme="minorHAnsi"/>
          <w:b w:val="0"/>
          <w:sz w:val="22"/>
          <w:szCs w:val="22"/>
        </w:rPr>
        <w:t xml:space="preserve"> voor het faillissement van </w:t>
      </w:r>
      <w:r w:rsidR="006E6A4C" w:rsidRPr="00C743FB">
        <w:rPr>
          <w:rFonts w:asciiTheme="minorHAnsi" w:hAnsiTheme="minorHAnsi" w:cstheme="minorHAnsi"/>
          <w:b w:val="0"/>
          <w:sz w:val="22"/>
          <w:szCs w:val="22"/>
        </w:rPr>
        <w:t>de schuldenaar</w:t>
      </w:r>
      <w:r w:rsidRPr="00C743FB">
        <w:rPr>
          <w:rFonts w:asciiTheme="minorHAnsi" w:hAnsiTheme="minorHAnsi" w:cstheme="minorHAnsi"/>
          <w:b w:val="0"/>
          <w:sz w:val="22"/>
          <w:szCs w:val="22"/>
        </w:rPr>
        <w:t xml:space="preserve"> heeft ontvangen</w:t>
      </w:r>
      <w:r w:rsidR="002D6D1D" w:rsidRPr="00C743FB">
        <w:rPr>
          <w:rFonts w:asciiTheme="minorHAnsi" w:hAnsiTheme="minorHAnsi" w:cstheme="minorHAnsi"/>
          <w:b w:val="0"/>
          <w:sz w:val="22"/>
          <w:szCs w:val="22"/>
        </w:rPr>
        <w:t xml:space="preserve"> kunnen niet door de curator teruggevorderd worden en</w:t>
      </w:r>
      <w:r w:rsidRPr="00C743FB">
        <w:rPr>
          <w:rFonts w:asciiTheme="minorHAnsi" w:hAnsiTheme="minorHAnsi" w:cstheme="minorHAnsi"/>
          <w:b w:val="0"/>
          <w:sz w:val="22"/>
          <w:szCs w:val="22"/>
        </w:rPr>
        <w:t xml:space="preserve"> blijven </w:t>
      </w:r>
      <w:r w:rsidR="002D6D1D" w:rsidRPr="00C743FB">
        <w:rPr>
          <w:rFonts w:asciiTheme="minorHAnsi" w:hAnsiTheme="minorHAnsi" w:cstheme="minorHAnsi"/>
          <w:b w:val="0"/>
          <w:sz w:val="22"/>
          <w:szCs w:val="22"/>
        </w:rPr>
        <w:t xml:space="preserve">zodoende </w:t>
      </w:r>
      <w:r w:rsidRPr="00C743FB">
        <w:rPr>
          <w:rFonts w:asciiTheme="minorHAnsi" w:hAnsiTheme="minorHAnsi" w:cstheme="minorHAnsi"/>
          <w:b w:val="0"/>
          <w:sz w:val="22"/>
          <w:szCs w:val="22"/>
        </w:rPr>
        <w:t xml:space="preserve">van de </w:t>
      </w:r>
      <w:r w:rsidR="006E6A4C" w:rsidRPr="00C743FB">
        <w:rPr>
          <w:rFonts w:asciiTheme="minorHAnsi" w:hAnsiTheme="minorHAnsi" w:cstheme="minorHAnsi"/>
          <w:b w:val="0"/>
          <w:sz w:val="22"/>
          <w:szCs w:val="22"/>
        </w:rPr>
        <w:t>schuldeiser</w:t>
      </w:r>
      <w:r w:rsidRPr="00C743FB">
        <w:rPr>
          <w:rFonts w:asciiTheme="minorHAnsi" w:hAnsiTheme="minorHAnsi" w:cstheme="minorHAnsi"/>
          <w:b w:val="0"/>
          <w:sz w:val="22"/>
          <w:szCs w:val="22"/>
        </w:rPr>
        <w:t>.</w:t>
      </w:r>
      <w:r w:rsidRPr="00C743FB">
        <w:rPr>
          <w:rStyle w:val="Voetnootmarkering"/>
          <w:rFonts w:asciiTheme="minorHAnsi" w:hAnsiTheme="minorHAnsi" w:cstheme="minorHAnsi"/>
          <w:b w:val="0"/>
          <w:sz w:val="22"/>
          <w:szCs w:val="22"/>
        </w:rPr>
        <w:footnoteReference w:id="74"/>
      </w:r>
    </w:p>
    <w:p w:rsidR="00777539" w:rsidRPr="00C743FB" w:rsidRDefault="00777539" w:rsidP="00777539">
      <w:pPr>
        <w:jc w:val="left"/>
        <w:rPr>
          <w:rFonts w:asciiTheme="minorHAnsi" w:hAnsiTheme="minorHAnsi" w:cstheme="minorHAnsi"/>
          <w:b w:val="0"/>
          <w:sz w:val="22"/>
          <w:szCs w:val="22"/>
        </w:rPr>
      </w:pPr>
    </w:p>
    <w:p w:rsidR="00777539" w:rsidRPr="00C743FB" w:rsidRDefault="00777539" w:rsidP="00777539">
      <w:pPr>
        <w:jc w:val="left"/>
        <w:rPr>
          <w:rFonts w:asciiTheme="minorHAnsi" w:hAnsiTheme="minorHAnsi" w:cstheme="minorHAnsi"/>
          <w:sz w:val="22"/>
          <w:szCs w:val="22"/>
        </w:rPr>
      </w:pPr>
      <w:r w:rsidRPr="00C743FB">
        <w:rPr>
          <w:rFonts w:asciiTheme="minorHAnsi" w:hAnsiTheme="minorHAnsi" w:cstheme="minorHAnsi"/>
          <w:b w:val="0"/>
          <w:sz w:val="22"/>
          <w:szCs w:val="22"/>
          <w:u w:val="single"/>
        </w:rPr>
        <w:t>§</w:t>
      </w:r>
      <w:r w:rsidR="00943B73" w:rsidRPr="00C743FB">
        <w:rPr>
          <w:rFonts w:asciiTheme="minorHAnsi" w:hAnsiTheme="minorHAnsi" w:cstheme="minorHAnsi"/>
          <w:b w:val="0"/>
          <w:sz w:val="22"/>
          <w:szCs w:val="22"/>
          <w:u w:val="single"/>
        </w:rPr>
        <w:t>2</w:t>
      </w:r>
      <w:r w:rsidRPr="00C743FB">
        <w:rPr>
          <w:rFonts w:asciiTheme="minorHAnsi" w:hAnsiTheme="minorHAnsi" w:cstheme="minorHAnsi"/>
          <w:b w:val="0"/>
          <w:sz w:val="22"/>
          <w:szCs w:val="22"/>
          <w:u w:val="single"/>
        </w:rPr>
        <w:t>.1 Verrekenen in het faillissement</w:t>
      </w:r>
    </w:p>
    <w:p w:rsidR="00777539" w:rsidRPr="00C743FB" w:rsidRDefault="00777539"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Hoe zit </w:t>
      </w:r>
      <w:r w:rsidR="00860003" w:rsidRPr="00C743FB">
        <w:rPr>
          <w:rFonts w:asciiTheme="minorHAnsi" w:hAnsiTheme="minorHAnsi" w:cstheme="minorHAnsi"/>
          <w:b w:val="0"/>
          <w:sz w:val="22"/>
          <w:szCs w:val="22"/>
        </w:rPr>
        <w:t xml:space="preserve">het dan met verrekenen in </w:t>
      </w:r>
      <w:r w:rsidRPr="00C743FB">
        <w:rPr>
          <w:rFonts w:asciiTheme="minorHAnsi" w:hAnsiTheme="minorHAnsi" w:cstheme="minorHAnsi"/>
          <w:b w:val="0"/>
          <w:sz w:val="22"/>
          <w:szCs w:val="22"/>
        </w:rPr>
        <w:t xml:space="preserve">het faillissement. </w:t>
      </w:r>
      <w:r w:rsidR="00860003" w:rsidRPr="00C743FB">
        <w:rPr>
          <w:rFonts w:asciiTheme="minorHAnsi" w:hAnsiTheme="minorHAnsi" w:cstheme="minorHAnsi"/>
          <w:b w:val="0"/>
          <w:sz w:val="22"/>
          <w:szCs w:val="22"/>
        </w:rPr>
        <w:t xml:space="preserve">Let op dit is dus na het moment dat een rechtspersoon failliet verklaard is en niet </w:t>
      </w:r>
      <w:r w:rsidR="00451527" w:rsidRPr="00C743FB">
        <w:rPr>
          <w:rFonts w:asciiTheme="minorHAnsi" w:hAnsiTheme="minorHAnsi" w:cstheme="minorHAnsi"/>
          <w:b w:val="0"/>
          <w:sz w:val="22"/>
          <w:szCs w:val="22"/>
        </w:rPr>
        <w:t xml:space="preserve">verrekenen </w:t>
      </w:r>
      <w:r w:rsidR="00860003" w:rsidRPr="00C743FB">
        <w:rPr>
          <w:rFonts w:asciiTheme="minorHAnsi" w:hAnsiTheme="minorHAnsi" w:cstheme="minorHAnsi"/>
          <w:b w:val="0"/>
          <w:sz w:val="22"/>
          <w:szCs w:val="22"/>
        </w:rPr>
        <w:t>‘in het zicht van’ een faillissement.</w:t>
      </w:r>
      <w:r w:rsidR="00CE7E56" w:rsidRPr="00C743FB">
        <w:rPr>
          <w:rFonts w:asciiTheme="minorHAnsi" w:hAnsiTheme="minorHAnsi" w:cstheme="minorHAnsi"/>
          <w:b w:val="0"/>
          <w:sz w:val="22"/>
          <w:szCs w:val="22"/>
        </w:rPr>
        <w:t xml:space="preserve"> </w:t>
      </w:r>
      <w:r w:rsidRPr="00C743FB">
        <w:rPr>
          <w:rFonts w:asciiTheme="minorHAnsi" w:hAnsiTheme="minorHAnsi" w:cstheme="minorHAnsi"/>
          <w:b w:val="0"/>
          <w:sz w:val="22"/>
          <w:szCs w:val="22"/>
        </w:rPr>
        <w:t xml:space="preserve">Artikel 53 </w:t>
      </w:r>
      <w:proofErr w:type="spellStart"/>
      <w:r w:rsidR="00CE7E56"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zegt </w:t>
      </w:r>
      <w:r w:rsidR="00CE7E56" w:rsidRPr="00C743FB">
        <w:rPr>
          <w:rFonts w:asciiTheme="minorHAnsi" w:hAnsiTheme="minorHAnsi" w:cstheme="minorHAnsi"/>
          <w:b w:val="0"/>
          <w:sz w:val="22"/>
          <w:szCs w:val="22"/>
        </w:rPr>
        <w:t xml:space="preserve">hier </w:t>
      </w:r>
      <w:r w:rsidRPr="00C743FB">
        <w:rPr>
          <w:rFonts w:asciiTheme="minorHAnsi" w:hAnsiTheme="minorHAnsi" w:cstheme="minorHAnsi"/>
          <w:b w:val="0"/>
          <w:sz w:val="22"/>
          <w:szCs w:val="22"/>
        </w:rPr>
        <w:t>het volgende</w:t>
      </w:r>
      <w:r w:rsidR="00CE7E56" w:rsidRPr="00C743FB">
        <w:rPr>
          <w:rFonts w:asciiTheme="minorHAnsi" w:hAnsiTheme="minorHAnsi" w:cstheme="minorHAnsi"/>
          <w:b w:val="0"/>
          <w:sz w:val="22"/>
          <w:szCs w:val="22"/>
        </w:rPr>
        <w:t xml:space="preserve"> over</w:t>
      </w:r>
      <w:r w:rsidRPr="00C743FB">
        <w:rPr>
          <w:rFonts w:asciiTheme="minorHAnsi" w:hAnsiTheme="minorHAnsi" w:cstheme="minorHAnsi"/>
          <w:b w:val="0"/>
          <w:sz w:val="22"/>
          <w:szCs w:val="22"/>
        </w:rPr>
        <w:t>: ‘Hij die zowel schuldenaar als schuldeiser van de gefailleerde is, kan zijn schuld met zijn vordering op de gefailleerde verrekenen, indien beiden zijn ontstaan voor de faillietverklaring of voor</w:t>
      </w:r>
      <w:r w:rsidR="00CE7E56" w:rsidRPr="00C743FB">
        <w:rPr>
          <w:rFonts w:asciiTheme="minorHAnsi" w:hAnsiTheme="minorHAnsi" w:cstheme="minorHAnsi"/>
          <w:b w:val="0"/>
          <w:sz w:val="22"/>
          <w:szCs w:val="22"/>
        </w:rPr>
        <w:t>t</w:t>
      </w:r>
      <w:r w:rsidRPr="00C743FB">
        <w:rPr>
          <w:rFonts w:asciiTheme="minorHAnsi" w:hAnsiTheme="minorHAnsi" w:cstheme="minorHAnsi"/>
          <w:b w:val="0"/>
          <w:sz w:val="22"/>
          <w:szCs w:val="22"/>
        </w:rPr>
        <w:t>vloeien uit handelingen, vóór de faillietverklaring met de gefailleerde verricht’.</w:t>
      </w:r>
      <w:r w:rsidRPr="00C743FB">
        <w:rPr>
          <w:rStyle w:val="Voetnootmarkering"/>
          <w:rFonts w:asciiTheme="minorHAnsi" w:hAnsiTheme="minorHAnsi" w:cstheme="minorHAnsi"/>
          <w:b w:val="0"/>
          <w:sz w:val="22"/>
          <w:szCs w:val="22"/>
        </w:rPr>
        <w:footnoteReference w:id="75"/>
      </w:r>
      <w:r w:rsidRPr="00C743FB">
        <w:rPr>
          <w:rFonts w:asciiTheme="minorHAnsi" w:hAnsiTheme="minorHAnsi" w:cstheme="minorHAnsi"/>
          <w:b w:val="0"/>
          <w:sz w:val="22"/>
          <w:szCs w:val="22"/>
        </w:rPr>
        <w:t xml:space="preserve"> Deze regeling is </w:t>
      </w:r>
      <w:r w:rsidR="00CE7E56" w:rsidRPr="00C743FB">
        <w:rPr>
          <w:rFonts w:asciiTheme="minorHAnsi" w:hAnsiTheme="minorHAnsi" w:cstheme="minorHAnsi"/>
          <w:b w:val="0"/>
          <w:sz w:val="22"/>
          <w:szCs w:val="22"/>
        </w:rPr>
        <w:t>in het leven geroepen</w:t>
      </w:r>
      <w:r w:rsidRPr="00C743FB">
        <w:rPr>
          <w:rFonts w:asciiTheme="minorHAnsi" w:hAnsiTheme="minorHAnsi" w:cstheme="minorHAnsi"/>
          <w:b w:val="0"/>
          <w:sz w:val="22"/>
          <w:szCs w:val="22"/>
        </w:rPr>
        <w:t xml:space="preserve"> omdat het als onredelijk wordt gezien als een schuldeiser gedwongen zou worden om zijn schuld aan de boedel te betalen, terwijl zijn vordering op de failliet waarschijnlijk maar gedeeltelijk voldaan zal worden door verrekening.</w:t>
      </w:r>
      <w:r w:rsidRPr="00C743FB">
        <w:rPr>
          <w:rStyle w:val="Voetnootmarkering"/>
          <w:rFonts w:asciiTheme="minorHAnsi" w:hAnsiTheme="minorHAnsi" w:cstheme="minorHAnsi"/>
          <w:b w:val="0"/>
          <w:sz w:val="22"/>
          <w:szCs w:val="22"/>
        </w:rPr>
        <w:footnoteReference w:id="76"/>
      </w:r>
      <w:r w:rsidRPr="00C743FB">
        <w:rPr>
          <w:rFonts w:asciiTheme="minorHAnsi" w:hAnsiTheme="minorHAnsi" w:cstheme="minorHAnsi"/>
          <w:b w:val="0"/>
          <w:sz w:val="22"/>
          <w:szCs w:val="22"/>
        </w:rPr>
        <w:t xml:space="preserve"> </w:t>
      </w:r>
    </w:p>
    <w:p w:rsidR="00777539" w:rsidRPr="00C743FB" w:rsidRDefault="00777539" w:rsidP="00777539">
      <w:pPr>
        <w:jc w:val="left"/>
        <w:rPr>
          <w:rFonts w:asciiTheme="minorHAnsi" w:hAnsiTheme="minorHAnsi" w:cstheme="minorHAnsi"/>
          <w:b w:val="0"/>
          <w:sz w:val="22"/>
          <w:szCs w:val="22"/>
        </w:rPr>
      </w:pPr>
    </w:p>
    <w:p w:rsidR="00777539" w:rsidRPr="00C743FB" w:rsidRDefault="00777539"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Artikel 53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zegt </w:t>
      </w:r>
      <w:r w:rsidR="009116C4" w:rsidRPr="00C743FB">
        <w:rPr>
          <w:rFonts w:asciiTheme="minorHAnsi" w:hAnsiTheme="minorHAnsi" w:cstheme="minorHAnsi"/>
          <w:b w:val="0"/>
          <w:sz w:val="22"/>
          <w:szCs w:val="22"/>
        </w:rPr>
        <w:t xml:space="preserve">tevens </w:t>
      </w:r>
      <w:r w:rsidRPr="00C743FB">
        <w:rPr>
          <w:rFonts w:asciiTheme="minorHAnsi" w:hAnsiTheme="minorHAnsi" w:cstheme="minorHAnsi"/>
          <w:b w:val="0"/>
          <w:sz w:val="22"/>
          <w:szCs w:val="22"/>
        </w:rPr>
        <w:t xml:space="preserve">dat men in het faillissement mag verrekenen indien men zowel schuldenaar als schuldeiser is van de gefailleerde en dat de schuld en de vordering ontstaan moeten zijn voor de </w:t>
      </w:r>
      <w:r w:rsidRPr="00C743FB">
        <w:rPr>
          <w:rFonts w:asciiTheme="minorHAnsi" w:hAnsiTheme="minorHAnsi" w:cstheme="minorHAnsi"/>
          <w:b w:val="0"/>
          <w:sz w:val="22"/>
          <w:szCs w:val="22"/>
        </w:rPr>
        <w:lastRenderedPageBreak/>
        <w:t>faillietverklaring of voortvloeien uit handelingen van voor de faillietverklaring. Volgens de wetgeschiedenis betekent dit dat de schuld en vordering de dag voor de faillietverklaring ontstaan dienen te zijn.</w:t>
      </w:r>
      <w:r w:rsidR="009116C4" w:rsidRPr="00C743FB">
        <w:rPr>
          <w:rFonts w:asciiTheme="minorHAnsi" w:hAnsiTheme="minorHAnsi" w:cstheme="minorHAnsi"/>
          <w:b w:val="0"/>
          <w:sz w:val="22"/>
          <w:szCs w:val="22"/>
        </w:rPr>
        <w:t xml:space="preserve"> </w:t>
      </w:r>
      <w:r w:rsidRPr="00C743FB">
        <w:rPr>
          <w:rFonts w:asciiTheme="minorHAnsi" w:hAnsiTheme="minorHAnsi" w:cstheme="minorHAnsi"/>
          <w:b w:val="0"/>
          <w:sz w:val="22"/>
          <w:szCs w:val="22"/>
        </w:rPr>
        <w:t>Er is een aantal arresten gewezen over dit onderwerp. De vraag of de schuld en de vordering voor de faillietverklaring dienen te zijn ontstaan wordt door rechters als volgt uitgelegd: de schuld en vorderingen hoeven niet te zijn ontstaan voor de dag van faillietverklaring, maar dienen wel voort te vloeien uit handelingen die voor de faillietverklaring zijn verricht.</w:t>
      </w:r>
      <w:r w:rsidRPr="00C743FB">
        <w:rPr>
          <w:rStyle w:val="Voetnootmarkering"/>
          <w:rFonts w:asciiTheme="minorHAnsi" w:hAnsiTheme="minorHAnsi" w:cstheme="minorHAnsi"/>
          <w:b w:val="0"/>
          <w:sz w:val="22"/>
          <w:szCs w:val="22"/>
        </w:rPr>
        <w:footnoteReference w:id="77"/>
      </w:r>
    </w:p>
    <w:p w:rsidR="00777539" w:rsidRPr="00C743FB" w:rsidRDefault="00777539" w:rsidP="00777539">
      <w:pPr>
        <w:jc w:val="left"/>
        <w:rPr>
          <w:b w:val="0"/>
          <w:sz w:val="22"/>
          <w:szCs w:val="22"/>
        </w:rPr>
      </w:pPr>
    </w:p>
    <w:p w:rsidR="00777539" w:rsidRPr="00C743FB" w:rsidRDefault="000E02AB"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Een </w:t>
      </w:r>
      <w:r w:rsidR="001D5F49" w:rsidRPr="00C743FB">
        <w:rPr>
          <w:rFonts w:asciiTheme="minorHAnsi" w:hAnsiTheme="minorHAnsi" w:cstheme="minorHAnsi"/>
          <w:b w:val="0"/>
          <w:sz w:val="22"/>
          <w:szCs w:val="22"/>
        </w:rPr>
        <w:t>schuldeiser</w:t>
      </w:r>
      <w:r w:rsidR="00777539" w:rsidRPr="00C743FB">
        <w:rPr>
          <w:rFonts w:asciiTheme="minorHAnsi" w:hAnsiTheme="minorHAnsi" w:cstheme="minorHAnsi"/>
          <w:b w:val="0"/>
          <w:sz w:val="22"/>
          <w:szCs w:val="22"/>
        </w:rPr>
        <w:t xml:space="preserve"> mag </w:t>
      </w:r>
      <w:r w:rsidRPr="00C743FB">
        <w:rPr>
          <w:rFonts w:asciiTheme="minorHAnsi" w:hAnsiTheme="minorHAnsi" w:cstheme="minorHAnsi"/>
          <w:b w:val="0"/>
          <w:sz w:val="22"/>
          <w:szCs w:val="22"/>
        </w:rPr>
        <w:t xml:space="preserve">op basis van artikel 53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w:t>
      </w:r>
      <w:r w:rsidR="00777539" w:rsidRPr="00C743FB">
        <w:rPr>
          <w:rFonts w:asciiTheme="minorHAnsi" w:hAnsiTheme="minorHAnsi" w:cstheme="minorHAnsi"/>
          <w:b w:val="0"/>
          <w:sz w:val="22"/>
          <w:szCs w:val="22"/>
        </w:rPr>
        <w:t xml:space="preserve">haar </w:t>
      </w:r>
      <w:r w:rsidR="009116C4" w:rsidRPr="00C743FB">
        <w:rPr>
          <w:rFonts w:asciiTheme="minorHAnsi" w:hAnsiTheme="minorHAnsi" w:cstheme="minorHAnsi"/>
          <w:b w:val="0"/>
          <w:sz w:val="22"/>
          <w:szCs w:val="22"/>
        </w:rPr>
        <w:t xml:space="preserve">vorderingen verrekenen in </w:t>
      </w:r>
      <w:r w:rsidR="00777539" w:rsidRPr="00C743FB">
        <w:rPr>
          <w:rFonts w:asciiTheme="minorHAnsi" w:hAnsiTheme="minorHAnsi" w:cstheme="minorHAnsi"/>
          <w:b w:val="0"/>
          <w:sz w:val="22"/>
          <w:szCs w:val="22"/>
        </w:rPr>
        <w:t>het faillissement, indien zowel haar schuld als haar vordering op de failliet is ontstaan voor de faillietverklaring. De Hoge Raad heeft hier in het arrest Mulder q.q./CLBN verder</w:t>
      </w:r>
      <w:r w:rsidR="009116C4" w:rsidRPr="00C743FB">
        <w:rPr>
          <w:rFonts w:asciiTheme="minorHAnsi" w:hAnsiTheme="minorHAnsi" w:cstheme="minorHAnsi"/>
          <w:b w:val="0"/>
          <w:sz w:val="22"/>
          <w:szCs w:val="22"/>
        </w:rPr>
        <w:t>e</w:t>
      </w:r>
      <w:r w:rsidR="00777539" w:rsidRPr="00C743FB">
        <w:rPr>
          <w:rFonts w:asciiTheme="minorHAnsi" w:hAnsiTheme="minorHAnsi" w:cstheme="minorHAnsi"/>
          <w:b w:val="0"/>
          <w:sz w:val="22"/>
          <w:szCs w:val="22"/>
        </w:rPr>
        <w:t xml:space="preserve"> invulling aangegeven, zie paragraaf </w:t>
      </w:r>
      <w:r w:rsidR="00D543C6" w:rsidRPr="00C743FB">
        <w:rPr>
          <w:rFonts w:asciiTheme="minorHAnsi" w:hAnsiTheme="minorHAnsi" w:cstheme="minorHAnsi"/>
          <w:b w:val="0"/>
          <w:sz w:val="22"/>
          <w:szCs w:val="22"/>
        </w:rPr>
        <w:t>1</w:t>
      </w:r>
      <w:r w:rsidR="009116C4" w:rsidRPr="00C743FB">
        <w:rPr>
          <w:rFonts w:asciiTheme="minorHAnsi" w:hAnsiTheme="minorHAnsi" w:cstheme="minorHAnsi"/>
          <w:b w:val="0"/>
          <w:sz w:val="22"/>
          <w:szCs w:val="22"/>
        </w:rPr>
        <w:t xml:space="preserve"> van dit hoofdstuk</w:t>
      </w:r>
      <w:r w:rsidR="00777539" w:rsidRPr="00C743FB">
        <w:rPr>
          <w:rFonts w:asciiTheme="minorHAnsi" w:hAnsiTheme="minorHAnsi" w:cstheme="minorHAnsi"/>
          <w:b w:val="0"/>
          <w:sz w:val="22"/>
          <w:szCs w:val="22"/>
        </w:rPr>
        <w:t xml:space="preserve">. </w:t>
      </w:r>
      <w:r w:rsidRPr="00C743FB">
        <w:rPr>
          <w:rFonts w:asciiTheme="minorHAnsi" w:hAnsiTheme="minorHAnsi" w:cstheme="minorHAnsi"/>
          <w:b w:val="0"/>
          <w:sz w:val="22"/>
          <w:szCs w:val="22"/>
        </w:rPr>
        <w:t xml:space="preserve">De  </w:t>
      </w:r>
      <w:r w:rsidR="00777539" w:rsidRPr="00C743FB">
        <w:rPr>
          <w:rFonts w:asciiTheme="minorHAnsi" w:hAnsiTheme="minorHAnsi" w:cstheme="minorHAnsi"/>
          <w:b w:val="0"/>
          <w:sz w:val="22"/>
          <w:szCs w:val="22"/>
        </w:rPr>
        <w:t>Rabobank in de casus</w:t>
      </w:r>
      <w:r w:rsidRPr="00C743FB">
        <w:rPr>
          <w:rFonts w:asciiTheme="minorHAnsi" w:hAnsiTheme="minorHAnsi" w:cstheme="minorHAnsi"/>
          <w:b w:val="0"/>
          <w:sz w:val="22"/>
          <w:szCs w:val="22"/>
        </w:rPr>
        <w:t xml:space="preserve"> dient zodoende zowel schuldenaar als schuldeiser te zijn om haar vorderingen te mogen </w:t>
      </w:r>
      <w:r w:rsidR="00777539" w:rsidRPr="00C743FB">
        <w:rPr>
          <w:rFonts w:asciiTheme="minorHAnsi" w:hAnsiTheme="minorHAnsi" w:cstheme="minorHAnsi"/>
          <w:b w:val="0"/>
          <w:sz w:val="22"/>
          <w:szCs w:val="22"/>
        </w:rPr>
        <w:t>verrekenen na de faillietverklaring</w:t>
      </w:r>
      <w:r w:rsidRPr="00C743FB">
        <w:rPr>
          <w:rFonts w:asciiTheme="minorHAnsi" w:hAnsiTheme="minorHAnsi" w:cstheme="minorHAnsi"/>
          <w:b w:val="0"/>
          <w:sz w:val="22"/>
          <w:szCs w:val="22"/>
        </w:rPr>
        <w:t>.</w:t>
      </w:r>
      <w:r w:rsidR="00777539" w:rsidRPr="00C743FB">
        <w:rPr>
          <w:rFonts w:asciiTheme="minorHAnsi" w:hAnsiTheme="minorHAnsi" w:cstheme="minorHAnsi"/>
          <w:b w:val="0"/>
          <w:sz w:val="22"/>
          <w:szCs w:val="22"/>
        </w:rPr>
        <w:t xml:space="preserve"> Zij is logischerwijs schuldeiser omdat zij terugbetaling van de geldlening, die zij aan de schoenenwinkel heeft verstrekt, vordert. De Rabobank is tevens schuldenaar in die zin dat als zij op de bij haar aangehouden rekening e</w:t>
      </w:r>
      <w:r w:rsidR="00F55351" w:rsidRPr="00C743FB">
        <w:rPr>
          <w:rFonts w:asciiTheme="minorHAnsi" w:hAnsiTheme="minorHAnsi" w:cstheme="minorHAnsi"/>
          <w:b w:val="0"/>
          <w:sz w:val="22"/>
          <w:szCs w:val="22"/>
        </w:rPr>
        <w:t>en betaling ontvangt die bestemd</w:t>
      </w:r>
      <w:r w:rsidR="00777539" w:rsidRPr="00C743FB">
        <w:rPr>
          <w:rFonts w:asciiTheme="minorHAnsi" w:hAnsiTheme="minorHAnsi" w:cstheme="minorHAnsi"/>
          <w:b w:val="0"/>
          <w:sz w:val="22"/>
          <w:szCs w:val="22"/>
        </w:rPr>
        <w:t xml:space="preserve"> is voor de schoenwinkel, in beginsel verplicht is die aan het bedrijf (of na faillissement aan de failliete boedel</w:t>
      </w:r>
      <w:r w:rsidR="00F55351" w:rsidRPr="00C743FB">
        <w:rPr>
          <w:rFonts w:asciiTheme="minorHAnsi" w:hAnsiTheme="minorHAnsi" w:cstheme="minorHAnsi"/>
          <w:b w:val="0"/>
          <w:sz w:val="22"/>
          <w:szCs w:val="22"/>
        </w:rPr>
        <w:t>) af te dragen</w:t>
      </w:r>
      <w:r w:rsidR="00777539" w:rsidRPr="00C743FB">
        <w:rPr>
          <w:rFonts w:asciiTheme="minorHAnsi" w:hAnsiTheme="minorHAnsi" w:cstheme="minorHAnsi"/>
          <w:b w:val="0"/>
          <w:sz w:val="22"/>
          <w:szCs w:val="22"/>
        </w:rPr>
        <w:t xml:space="preserve">. Dat wil de bank uiteraard liever niet wanneer zij op haar beurt ook nog geld te vorderen heeft van het failliete bedrijf vanwege de debetstand op de rekening. Wat er in feite gebeurt is dat de bank een betaling ontvangt voor de partij die bij haar een rekening aanhoudt. Daardoor ontstaat een vordering van de rekeninghouder op de bank. Wanneer de bank ook een tegenvordering heeft, mag zij in het faillissement tot verrekening overgaan op grond van artikel 53 </w:t>
      </w:r>
      <w:proofErr w:type="spellStart"/>
      <w:r w:rsidR="00777539" w:rsidRPr="00C743FB">
        <w:rPr>
          <w:rFonts w:asciiTheme="minorHAnsi" w:hAnsiTheme="minorHAnsi" w:cstheme="minorHAnsi"/>
          <w:b w:val="0"/>
          <w:sz w:val="22"/>
          <w:szCs w:val="22"/>
        </w:rPr>
        <w:t>Fw</w:t>
      </w:r>
      <w:proofErr w:type="spellEnd"/>
      <w:r w:rsidR="00777539" w:rsidRPr="00C743FB">
        <w:rPr>
          <w:rFonts w:asciiTheme="minorHAnsi" w:hAnsiTheme="minorHAnsi" w:cstheme="minorHAnsi"/>
          <w:b w:val="0"/>
          <w:sz w:val="22"/>
          <w:szCs w:val="22"/>
        </w:rPr>
        <w:t xml:space="preserve"> en de uitleg die de wetsgeschiedenis en rechters eraan hebben gegeven.</w:t>
      </w:r>
    </w:p>
    <w:p w:rsidR="000E02AB" w:rsidRPr="00C743FB" w:rsidRDefault="000E02AB" w:rsidP="00777539">
      <w:pPr>
        <w:jc w:val="left"/>
        <w:rPr>
          <w:rFonts w:asciiTheme="minorHAnsi" w:hAnsiTheme="minorHAnsi" w:cstheme="minorHAnsi"/>
          <w:b w:val="0"/>
          <w:sz w:val="22"/>
          <w:szCs w:val="22"/>
        </w:rPr>
      </w:pPr>
    </w:p>
    <w:p w:rsidR="000E02AB" w:rsidRPr="00C743FB" w:rsidRDefault="000E02AB" w:rsidP="000E02AB">
      <w:pPr>
        <w:jc w:val="left"/>
        <w:rPr>
          <w:rFonts w:asciiTheme="minorHAnsi" w:hAnsiTheme="minorHAnsi" w:cstheme="minorHAnsi"/>
          <w:sz w:val="22"/>
          <w:szCs w:val="22"/>
        </w:rPr>
      </w:pPr>
      <w:r w:rsidRPr="00C743FB">
        <w:rPr>
          <w:rFonts w:asciiTheme="minorHAnsi" w:hAnsiTheme="minorHAnsi" w:cstheme="minorHAnsi"/>
          <w:b w:val="0"/>
          <w:sz w:val="22"/>
          <w:szCs w:val="22"/>
          <w:u w:val="single"/>
        </w:rPr>
        <w:t>§</w:t>
      </w:r>
      <w:r w:rsidR="00943B73" w:rsidRPr="00C743FB">
        <w:rPr>
          <w:rFonts w:asciiTheme="minorHAnsi" w:hAnsiTheme="minorHAnsi" w:cstheme="minorHAnsi"/>
          <w:b w:val="0"/>
          <w:sz w:val="22"/>
          <w:szCs w:val="22"/>
          <w:u w:val="single"/>
        </w:rPr>
        <w:t>2</w:t>
      </w:r>
      <w:r w:rsidRPr="00C743FB">
        <w:rPr>
          <w:rFonts w:asciiTheme="minorHAnsi" w:hAnsiTheme="minorHAnsi" w:cstheme="minorHAnsi"/>
          <w:b w:val="0"/>
          <w:sz w:val="22"/>
          <w:szCs w:val="22"/>
          <w:u w:val="single"/>
        </w:rPr>
        <w:t>.2 Kortom</w:t>
      </w:r>
    </w:p>
    <w:p w:rsidR="008436ED" w:rsidRPr="00C743FB" w:rsidRDefault="00873EA9" w:rsidP="008436ED">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Het faillissement heeft als doel om schuldeisers te voldoen door verkoop van de bezittingen van de schuldenaar. </w:t>
      </w:r>
      <w:r w:rsidR="008436ED" w:rsidRPr="00C743FB">
        <w:rPr>
          <w:rFonts w:asciiTheme="minorHAnsi" w:hAnsiTheme="minorHAnsi" w:cstheme="minorHAnsi"/>
          <w:b w:val="0"/>
          <w:sz w:val="22"/>
          <w:szCs w:val="22"/>
        </w:rPr>
        <w:t>Op het moment dat een schuldenaar failliet wordt verklaard verliest hij het beheer en de</w:t>
      </w:r>
      <w:r w:rsidRPr="00C743FB">
        <w:rPr>
          <w:rFonts w:asciiTheme="minorHAnsi" w:hAnsiTheme="minorHAnsi" w:cstheme="minorHAnsi"/>
          <w:b w:val="0"/>
          <w:sz w:val="22"/>
          <w:szCs w:val="22"/>
        </w:rPr>
        <w:t xml:space="preserve"> beschikking over zijn vermogen</w:t>
      </w:r>
      <w:r w:rsidR="008436ED" w:rsidRPr="00C743FB">
        <w:rPr>
          <w:rFonts w:asciiTheme="minorHAnsi" w:hAnsiTheme="minorHAnsi" w:cstheme="minorHAnsi"/>
          <w:b w:val="0"/>
          <w:sz w:val="22"/>
          <w:szCs w:val="22"/>
        </w:rPr>
        <w:t xml:space="preserve">. Zodoende mag de failliet geen rechtshandelingen meer </w:t>
      </w:r>
      <w:r w:rsidRPr="00C743FB">
        <w:rPr>
          <w:rFonts w:asciiTheme="minorHAnsi" w:hAnsiTheme="minorHAnsi" w:cstheme="minorHAnsi"/>
          <w:b w:val="0"/>
          <w:sz w:val="22"/>
          <w:szCs w:val="22"/>
        </w:rPr>
        <w:t>verrichten</w:t>
      </w:r>
      <w:r w:rsidR="008436ED" w:rsidRPr="00C743FB">
        <w:rPr>
          <w:rFonts w:asciiTheme="minorHAnsi" w:hAnsiTheme="minorHAnsi" w:cstheme="minorHAnsi"/>
          <w:b w:val="0"/>
          <w:sz w:val="22"/>
          <w:szCs w:val="22"/>
        </w:rPr>
        <w:t>. Het faillissement werkt terug tot 00:00 uur, waardoor alle rechtshandelingen die op de dag van de faillietverklaring gedaan zijn moeten worden teruggedraaid</w:t>
      </w:r>
      <w:r w:rsidRPr="00C743FB">
        <w:rPr>
          <w:rFonts w:asciiTheme="minorHAnsi" w:hAnsiTheme="minorHAnsi" w:cstheme="minorHAnsi"/>
          <w:b w:val="0"/>
          <w:sz w:val="22"/>
          <w:szCs w:val="22"/>
        </w:rPr>
        <w:t>. A</w:t>
      </w:r>
      <w:r w:rsidR="008436ED" w:rsidRPr="00C743FB">
        <w:rPr>
          <w:rFonts w:asciiTheme="minorHAnsi" w:hAnsiTheme="minorHAnsi" w:cstheme="minorHAnsi"/>
          <w:b w:val="0"/>
          <w:sz w:val="22"/>
          <w:szCs w:val="22"/>
        </w:rPr>
        <w:t xml:space="preserve">lle </w:t>
      </w:r>
      <w:r w:rsidRPr="00C743FB">
        <w:rPr>
          <w:rFonts w:asciiTheme="minorHAnsi" w:hAnsiTheme="minorHAnsi" w:cstheme="minorHAnsi"/>
          <w:b w:val="0"/>
          <w:sz w:val="22"/>
          <w:szCs w:val="22"/>
        </w:rPr>
        <w:t xml:space="preserve">rechtshandelingen, waaronder </w:t>
      </w:r>
      <w:r w:rsidR="008436ED" w:rsidRPr="00C743FB">
        <w:rPr>
          <w:rFonts w:asciiTheme="minorHAnsi" w:hAnsiTheme="minorHAnsi" w:cstheme="minorHAnsi"/>
          <w:b w:val="0"/>
          <w:sz w:val="22"/>
          <w:szCs w:val="22"/>
        </w:rPr>
        <w:t>girale betalingen</w:t>
      </w:r>
      <w:r w:rsidRPr="00C743FB">
        <w:rPr>
          <w:rFonts w:asciiTheme="minorHAnsi" w:hAnsiTheme="minorHAnsi" w:cstheme="minorHAnsi"/>
          <w:b w:val="0"/>
          <w:sz w:val="22"/>
          <w:szCs w:val="22"/>
        </w:rPr>
        <w:t>,</w:t>
      </w:r>
      <w:r w:rsidR="008436ED" w:rsidRPr="00C743FB">
        <w:rPr>
          <w:rFonts w:asciiTheme="minorHAnsi" w:hAnsiTheme="minorHAnsi" w:cstheme="minorHAnsi"/>
          <w:b w:val="0"/>
          <w:sz w:val="22"/>
          <w:szCs w:val="22"/>
        </w:rPr>
        <w:t xml:space="preserve"> die de schuldeiser voor het faillissement van de schuldenaar heeft ontvangen kunnen niet door de curator teruggevorderd worden en blijven zodoende van de schuldeiser</w:t>
      </w:r>
      <w:r w:rsidRPr="00C743FB">
        <w:rPr>
          <w:rFonts w:asciiTheme="minorHAnsi" w:hAnsiTheme="minorHAnsi" w:cstheme="minorHAnsi"/>
          <w:b w:val="0"/>
          <w:sz w:val="22"/>
          <w:szCs w:val="22"/>
        </w:rPr>
        <w:t>.</w:t>
      </w:r>
    </w:p>
    <w:p w:rsidR="008436ED" w:rsidRPr="00C743FB" w:rsidRDefault="008436ED" w:rsidP="00777539">
      <w:pPr>
        <w:jc w:val="left"/>
        <w:rPr>
          <w:rFonts w:asciiTheme="minorHAnsi" w:hAnsiTheme="minorHAnsi" w:cstheme="minorHAnsi"/>
          <w:b w:val="0"/>
          <w:sz w:val="22"/>
          <w:szCs w:val="22"/>
        </w:rPr>
      </w:pPr>
    </w:p>
    <w:p w:rsidR="00315855" w:rsidRPr="00C743FB" w:rsidRDefault="00873EA9"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Omtrent het verrekenen in een faillissement geldt het volgende. </w:t>
      </w:r>
      <w:r w:rsidR="008436ED" w:rsidRPr="00C743FB">
        <w:rPr>
          <w:rFonts w:asciiTheme="minorHAnsi" w:hAnsiTheme="minorHAnsi" w:cstheme="minorHAnsi"/>
          <w:b w:val="0"/>
          <w:sz w:val="22"/>
          <w:szCs w:val="22"/>
        </w:rPr>
        <w:t xml:space="preserve">Een </w:t>
      </w:r>
      <w:r w:rsidR="00BD4373" w:rsidRPr="00C743FB">
        <w:rPr>
          <w:rFonts w:asciiTheme="minorHAnsi" w:hAnsiTheme="minorHAnsi" w:cstheme="minorHAnsi"/>
          <w:b w:val="0"/>
          <w:sz w:val="22"/>
          <w:szCs w:val="22"/>
        </w:rPr>
        <w:t>schuldeiser</w:t>
      </w:r>
      <w:r w:rsidR="008436ED" w:rsidRPr="00C743FB">
        <w:rPr>
          <w:rFonts w:asciiTheme="minorHAnsi" w:hAnsiTheme="minorHAnsi" w:cstheme="minorHAnsi"/>
          <w:b w:val="0"/>
          <w:sz w:val="22"/>
          <w:szCs w:val="22"/>
        </w:rPr>
        <w:t xml:space="preserve"> mag haar vorderingen verrekenen in het faillissement, indien z</w:t>
      </w:r>
      <w:r w:rsidR="00BD4373" w:rsidRPr="00C743FB">
        <w:rPr>
          <w:rFonts w:asciiTheme="minorHAnsi" w:hAnsiTheme="minorHAnsi" w:cstheme="minorHAnsi"/>
          <w:b w:val="0"/>
          <w:sz w:val="22"/>
          <w:szCs w:val="22"/>
        </w:rPr>
        <w:t>ij zowel schuldeiser als schuldenaar is van de failliet. Daarbij dient z</w:t>
      </w:r>
      <w:r w:rsidR="008436ED" w:rsidRPr="00C743FB">
        <w:rPr>
          <w:rFonts w:asciiTheme="minorHAnsi" w:hAnsiTheme="minorHAnsi" w:cstheme="minorHAnsi"/>
          <w:b w:val="0"/>
          <w:sz w:val="22"/>
          <w:szCs w:val="22"/>
        </w:rPr>
        <w:t xml:space="preserve">owel haar schuld als haar vordering op de failliet </w:t>
      </w:r>
      <w:r w:rsidR="00BD4373" w:rsidRPr="00C743FB">
        <w:rPr>
          <w:rFonts w:asciiTheme="minorHAnsi" w:hAnsiTheme="minorHAnsi" w:cstheme="minorHAnsi"/>
          <w:b w:val="0"/>
          <w:sz w:val="22"/>
          <w:szCs w:val="22"/>
        </w:rPr>
        <w:t xml:space="preserve">te zijn </w:t>
      </w:r>
      <w:r w:rsidR="008436ED" w:rsidRPr="00C743FB">
        <w:rPr>
          <w:rFonts w:asciiTheme="minorHAnsi" w:hAnsiTheme="minorHAnsi" w:cstheme="minorHAnsi"/>
          <w:b w:val="0"/>
          <w:sz w:val="22"/>
          <w:szCs w:val="22"/>
        </w:rPr>
        <w:t>ontstaan voor de faillietverklaring</w:t>
      </w:r>
      <w:r w:rsidRPr="00C743FB">
        <w:rPr>
          <w:rFonts w:asciiTheme="minorHAnsi" w:hAnsiTheme="minorHAnsi" w:cstheme="minorHAnsi"/>
          <w:b w:val="0"/>
          <w:sz w:val="22"/>
          <w:szCs w:val="22"/>
        </w:rPr>
        <w:t>. D</w:t>
      </w:r>
      <w:r w:rsidR="008436ED" w:rsidRPr="00C743FB">
        <w:rPr>
          <w:rFonts w:asciiTheme="minorHAnsi" w:hAnsiTheme="minorHAnsi" w:cstheme="minorHAnsi"/>
          <w:b w:val="0"/>
          <w:sz w:val="22"/>
          <w:szCs w:val="22"/>
        </w:rPr>
        <w:t>e</w:t>
      </w:r>
      <w:r w:rsidRPr="00C743FB">
        <w:rPr>
          <w:rFonts w:asciiTheme="minorHAnsi" w:hAnsiTheme="minorHAnsi" w:cstheme="minorHAnsi"/>
          <w:b w:val="0"/>
          <w:sz w:val="22"/>
          <w:szCs w:val="22"/>
        </w:rPr>
        <w:t>ze</w:t>
      </w:r>
      <w:r w:rsidR="008436ED" w:rsidRPr="00C743FB">
        <w:rPr>
          <w:rFonts w:asciiTheme="minorHAnsi" w:hAnsiTheme="minorHAnsi" w:cstheme="minorHAnsi"/>
          <w:b w:val="0"/>
          <w:sz w:val="22"/>
          <w:szCs w:val="22"/>
        </w:rPr>
        <w:t xml:space="preserve"> schuld en vorderingen hoeven niet te zijn ontstaan voor de dag van faillietverklaring, maar dienen wel voort te vloeien uit handelingen die voor de faillietverklaring zijn verricht.</w:t>
      </w:r>
      <w:r w:rsidRPr="00C743FB">
        <w:rPr>
          <w:rFonts w:asciiTheme="minorHAnsi" w:hAnsiTheme="minorHAnsi" w:cstheme="minorHAnsi"/>
          <w:b w:val="0"/>
          <w:sz w:val="22"/>
          <w:szCs w:val="22"/>
        </w:rPr>
        <w:t xml:space="preserve"> </w:t>
      </w:r>
      <w:r w:rsidR="00FF6A02" w:rsidRPr="00C743FB">
        <w:rPr>
          <w:rFonts w:asciiTheme="minorHAnsi" w:hAnsiTheme="minorHAnsi" w:cstheme="minorHAnsi"/>
          <w:b w:val="0"/>
          <w:sz w:val="22"/>
          <w:szCs w:val="22"/>
        </w:rPr>
        <w:t xml:space="preserve">De Rabobank in de casus is zowel schuldenaar en schuldeiser en mag zodoende verrekenen in het faillissement. </w:t>
      </w:r>
    </w:p>
    <w:p w:rsidR="00777539" w:rsidRPr="00C743FB" w:rsidRDefault="00777539" w:rsidP="00777539">
      <w:pPr>
        <w:jc w:val="left"/>
        <w:rPr>
          <w:rFonts w:asciiTheme="minorHAnsi" w:hAnsiTheme="minorHAnsi" w:cstheme="minorHAnsi"/>
          <w:b w:val="0"/>
          <w:color w:val="FF0000"/>
          <w:sz w:val="22"/>
          <w:szCs w:val="22"/>
        </w:rPr>
      </w:pPr>
    </w:p>
    <w:p w:rsidR="00777539" w:rsidRPr="00570D50" w:rsidRDefault="00E14238" w:rsidP="00570D50">
      <w:pPr>
        <w:pStyle w:val="Kop2"/>
        <w:spacing w:before="0" w:beforeAutospacing="0" w:after="0" w:afterAutospacing="0"/>
        <w:rPr>
          <w:rFonts w:asciiTheme="minorHAnsi" w:hAnsiTheme="minorHAnsi" w:cstheme="minorHAnsi"/>
          <w:sz w:val="24"/>
          <w:szCs w:val="24"/>
        </w:rPr>
      </w:pPr>
      <w:bookmarkStart w:id="32" w:name="_Toc486246627"/>
      <w:r w:rsidRPr="00570D50">
        <w:rPr>
          <w:rFonts w:asciiTheme="minorHAnsi" w:hAnsiTheme="minorHAnsi" w:cstheme="minorHAnsi"/>
          <w:sz w:val="24"/>
          <w:szCs w:val="24"/>
        </w:rPr>
        <w:t>§</w:t>
      </w:r>
      <w:r w:rsidR="00943B73" w:rsidRPr="00570D50">
        <w:rPr>
          <w:rFonts w:asciiTheme="minorHAnsi" w:hAnsiTheme="minorHAnsi" w:cstheme="minorHAnsi"/>
          <w:sz w:val="24"/>
          <w:szCs w:val="24"/>
        </w:rPr>
        <w:t>3</w:t>
      </w:r>
      <w:r w:rsidR="00777539" w:rsidRPr="00570D50">
        <w:rPr>
          <w:rFonts w:asciiTheme="minorHAnsi" w:hAnsiTheme="minorHAnsi" w:cstheme="minorHAnsi"/>
          <w:sz w:val="24"/>
          <w:szCs w:val="24"/>
        </w:rPr>
        <w:t xml:space="preserve"> Verrekenen in het zicht van faillissement</w:t>
      </w:r>
      <w:bookmarkEnd w:id="32"/>
    </w:p>
    <w:p w:rsidR="00777539" w:rsidRPr="00C743FB" w:rsidRDefault="00AA688A"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In de vorige paragraaf is naar voren gekomen wanneer verrekenen</w:t>
      </w:r>
      <w:r w:rsidR="008D1A12" w:rsidRPr="00C743FB">
        <w:rPr>
          <w:rFonts w:asciiTheme="minorHAnsi" w:hAnsiTheme="minorHAnsi" w:cstheme="minorHAnsi"/>
          <w:b w:val="0"/>
          <w:sz w:val="22"/>
          <w:szCs w:val="22"/>
        </w:rPr>
        <w:t>d</w:t>
      </w:r>
      <w:r w:rsidRPr="00C743FB">
        <w:rPr>
          <w:rFonts w:asciiTheme="minorHAnsi" w:hAnsiTheme="minorHAnsi" w:cstheme="minorHAnsi"/>
          <w:b w:val="0"/>
          <w:sz w:val="22"/>
          <w:szCs w:val="22"/>
        </w:rPr>
        <w:t xml:space="preserve"> </w:t>
      </w:r>
      <w:r w:rsidR="00A326B3" w:rsidRPr="00C743FB">
        <w:rPr>
          <w:rFonts w:asciiTheme="minorHAnsi" w:hAnsiTheme="minorHAnsi" w:cstheme="minorHAnsi"/>
          <w:b w:val="0"/>
          <w:sz w:val="22"/>
          <w:szCs w:val="22"/>
        </w:rPr>
        <w:t xml:space="preserve">mag </w:t>
      </w:r>
      <w:r w:rsidR="00C25C74" w:rsidRPr="00C743FB">
        <w:rPr>
          <w:rFonts w:asciiTheme="minorHAnsi" w:hAnsiTheme="minorHAnsi" w:cstheme="minorHAnsi"/>
          <w:b w:val="0"/>
          <w:sz w:val="22"/>
          <w:szCs w:val="22"/>
        </w:rPr>
        <w:t xml:space="preserve">worden </w:t>
      </w:r>
      <w:r w:rsidRPr="00C743FB">
        <w:rPr>
          <w:rFonts w:asciiTheme="minorHAnsi" w:hAnsiTheme="minorHAnsi" w:cstheme="minorHAnsi"/>
          <w:b w:val="0"/>
          <w:sz w:val="22"/>
          <w:szCs w:val="22"/>
        </w:rPr>
        <w:t xml:space="preserve">na de faillietverklaring, ofwel in het faillissement. In de casus draait het om de situatie ‘in het zicht van’ een faillissement. In deze paragraaf komt naar voren wat de regels zijn omtrent verrekening in het zicht van een faillissement. </w:t>
      </w:r>
      <w:r w:rsidR="00532F26" w:rsidRPr="00C743FB">
        <w:rPr>
          <w:rFonts w:asciiTheme="minorHAnsi" w:hAnsiTheme="minorHAnsi" w:cstheme="minorHAnsi"/>
          <w:b w:val="0"/>
          <w:sz w:val="22"/>
          <w:szCs w:val="22"/>
        </w:rPr>
        <w:t xml:space="preserve">Wat precies ‘in het zicht van’ het faillissement is betreft het volgende. </w:t>
      </w:r>
      <w:r w:rsidR="00777539" w:rsidRPr="00C743FB">
        <w:rPr>
          <w:rFonts w:asciiTheme="minorHAnsi" w:hAnsiTheme="minorHAnsi" w:cstheme="minorHAnsi"/>
          <w:b w:val="0"/>
          <w:sz w:val="22"/>
          <w:szCs w:val="22"/>
        </w:rPr>
        <w:t xml:space="preserve">De </w:t>
      </w:r>
      <w:r w:rsidR="00D73F55" w:rsidRPr="00C743FB">
        <w:rPr>
          <w:rFonts w:asciiTheme="minorHAnsi" w:hAnsiTheme="minorHAnsi" w:cstheme="minorHAnsi"/>
          <w:b w:val="0"/>
          <w:sz w:val="22"/>
          <w:szCs w:val="22"/>
        </w:rPr>
        <w:t>Rabo</w:t>
      </w:r>
      <w:r w:rsidR="00777539" w:rsidRPr="00C743FB">
        <w:rPr>
          <w:rFonts w:asciiTheme="minorHAnsi" w:hAnsiTheme="minorHAnsi" w:cstheme="minorHAnsi"/>
          <w:b w:val="0"/>
          <w:sz w:val="22"/>
          <w:szCs w:val="22"/>
        </w:rPr>
        <w:t>bank in de casus is op de hoogte van de faillissementsaanvraag, maar blijft desondanks verrekenen. Indien er een beroep op verrekening wordt gedaan en de schuldenaar vervolgens failliet gaat, betreft het de situatie van verrekening in het zich</w:t>
      </w:r>
      <w:r w:rsidR="00D31FE1" w:rsidRPr="00C743FB">
        <w:rPr>
          <w:rFonts w:asciiTheme="minorHAnsi" w:hAnsiTheme="minorHAnsi" w:cstheme="minorHAnsi"/>
          <w:b w:val="0"/>
          <w:sz w:val="22"/>
          <w:szCs w:val="22"/>
        </w:rPr>
        <w:t>t</w:t>
      </w:r>
      <w:r w:rsidR="00777539" w:rsidRPr="00C743FB">
        <w:rPr>
          <w:rFonts w:asciiTheme="minorHAnsi" w:hAnsiTheme="minorHAnsi" w:cstheme="minorHAnsi"/>
          <w:b w:val="0"/>
          <w:sz w:val="22"/>
          <w:szCs w:val="22"/>
        </w:rPr>
        <w:t xml:space="preserve"> van een faillissement.</w:t>
      </w:r>
      <w:r w:rsidR="00777539" w:rsidRPr="00C743FB">
        <w:rPr>
          <w:rStyle w:val="Voetnootmarkering"/>
          <w:rFonts w:asciiTheme="minorHAnsi" w:hAnsiTheme="minorHAnsi" w:cstheme="minorHAnsi"/>
          <w:b w:val="0"/>
          <w:sz w:val="22"/>
          <w:szCs w:val="22"/>
        </w:rPr>
        <w:footnoteReference w:id="78"/>
      </w:r>
    </w:p>
    <w:p w:rsidR="00777539" w:rsidRPr="00C743FB" w:rsidRDefault="00777539" w:rsidP="00777539">
      <w:pPr>
        <w:jc w:val="left"/>
        <w:rPr>
          <w:rFonts w:asciiTheme="minorHAnsi" w:hAnsiTheme="minorHAnsi" w:cstheme="minorHAnsi"/>
          <w:b w:val="0"/>
          <w:sz w:val="22"/>
          <w:szCs w:val="22"/>
        </w:rPr>
      </w:pPr>
    </w:p>
    <w:p w:rsidR="00777539" w:rsidRPr="00C743FB" w:rsidRDefault="00777539"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lastRenderedPageBreak/>
        <w:t>In 1988 en 1989 heeft de Hoge Raad bepaald dat een bank zich niet mag beroepen op verrekening als zij op de hoogte is van een naderend faillissement van de debiteur, of als een faillissement te verwachten</w:t>
      </w:r>
      <w:r w:rsidR="00741AB8" w:rsidRPr="00C743FB">
        <w:rPr>
          <w:rFonts w:asciiTheme="minorHAnsi" w:hAnsiTheme="minorHAnsi" w:cstheme="minorHAnsi"/>
          <w:b w:val="0"/>
          <w:sz w:val="22"/>
          <w:szCs w:val="22"/>
        </w:rPr>
        <w:t xml:space="preserve"> was. Tevens mag het verrekenen doorgaans</w:t>
      </w:r>
      <w:r w:rsidRPr="00C743FB">
        <w:rPr>
          <w:rFonts w:asciiTheme="minorHAnsi" w:hAnsiTheme="minorHAnsi" w:cstheme="minorHAnsi"/>
          <w:b w:val="0"/>
          <w:sz w:val="22"/>
          <w:szCs w:val="22"/>
        </w:rPr>
        <w:t xml:space="preserve"> niet na faillietverklaring</w:t>
      </w:r>
      <w:r w:rsidR="00741AB8" w:rsidRPr="00C743FB">
        <w:rPr>
          <w:rFonts w:asciiTheme="minorHAnsi" w:hAnsiTheme="minorHAnsi" w:cstheme="minorHAnsi"/>
          <w:b w:val="0"/>
          <w:sz w:val="22"/>
          <w:szCs w:val="22"/>
        </w:rPr>
        <w:t>, tenzij men zowel schuldeiser als schuldenaar is van de failliet en de vorderingen voorafgaand aan het faillissement zijn ontstaan</w:t>
      </w:r>
      <w:r w:rsidRPr="00C743FB">
        <w:rPr>
          <w:rFonts w:asciiTheme="minorHAnsi" w:hAnsiTheme="minorHAnsi" w:cstheme="minorHAnsi"/>
          <w:b w:val="0"/>
          <w:sz w:val="22"/>
          <w:szCs w:val="22"/>
        </w:rPr>
        <w:t>.</w:t>
      </w:r>
      <w:r w:rsidRPr="00C743FB">
        <w:rPr>
          <w:rStyle w:val="Voetnootmarkering"/>
          <w:rFonts w:asciiTheme="minorHAnsi" w:hAnsiTheme="minorHAnsi" w:cstheme="minorHAnsi"/>
          <w:b w:val="0"/>
          <w:sz w:val="22"/>
          <w:szCs w:val="22"/>
        </w:rPr>
        <w:footnoteReference w:id="79"/>
      </w:r>
      <w:r w:rsidRPr="00C743FB">
        <w:rPr>
          <w:rFonts w:asciiTheme="minorHAnsi" w:hAnsiTheme="minorHAnsi" w:cstheme="minorHAnsi"/>
          <w:b w:val="0"/>
          <w:sz w:val="22"/>
          <w:szCs w:val="22"/>
        </w:rPr>
        <w:t xml:space="preserve"> </w:t>
      </w:r>
      <w:r w:rsidRPr="00C743FB">
        <w:rPr>
          <w:rStyle w:val="Voetnootmarkering"/>
          <w:rFonts w:asciiTheme="minorHAnsi" w:hAnsiTheme="minorHAnsi" w:cstheme="minorHAnsi"/>
          <w:b w:val="0"/>
          <w:sz w:val="22"/>
          <w:szCs w:val="22"/>
        </w:rPr>
        <w:footnoteReference w:id="80"/>
      </w:r>
      <w:r w:rsidRPr="00C743FB">
        <w:rPr>
          <w:rFonts w:asciiTheme="minorHAnsi" w:hAnsiTheme="minorHAnsi" w:cstheme="minorHAnsi"/>
          <w:b w:val="0"/>
          <w:sz w:val="22"/>
          <w:szCs w:val="22"/>
        </w:rPr>
        <w:t xml:space="preserve"> In het arrest Mulder q.q./CLBN wordt hier echter op teruggekomen en wordt een mogelijkheid geboden waarop wel verrekend mag worden in (het zicht van) een faillissement</w:t>
      </w:r>
      <w:r w:rsidR="00943B73" w:rsidRPr="00C743FB">
        <w:rPr>
          <w:rFonts w:asciiTheme="minorHAnsi" w:hAnsiTheme="minorHAnsi" w:cstheme="minorHAnsi"/>
          <w:b w:val="0"/>
          <w:sz w:val="22"/>
          <w:szCs w:val="22"/>
        </w:rPr>
        <w:t>, namelijk het hebben van een stil pandrecht.</w:t>
      </w:r>
      <w:r w:rsidR="00B07A52" w:rsidRPr="00C743FB">
        <w:rPr>
          <w:rFonts w:asciiTheme="minorHAnsi" w:hAnsiTheme="minorHAnsi" w:cstheme="minorHAnsi"/>
          <w:b w:val="0"/>
          <w:sz w:val="22"/>
          <w:szCs w:val="22"/>
        </w:rPr>
        <w:t xml:space="preserve"> Voordat er conclusies getrokken kunnen worden naar aanleiding van het arrest Mulder is het van belang dat alle aspecten van de casus worden bekeken.</w:t>
      </w:r>
    </w:p>
    <w:p w:rsidR="00777539" w:rsidRPr="00C743FB" w:rsidRDefault="00777539" w:rsidP="00777539">
      <w:pPr>
        <w:jc w:val="left"/>
        <w:rPr>
          <w:rFonts w:asciiTheme="minorHAnsi" w:hAnsiTheme="minorHAnsi" w:cstheme="minorHAnsi"/>
          <w:b w:val="0"/>
          <w:sz w:val="22"/>
          <w:szCs w:val="22"/>
        </w:rPr>
      </w:pPr>
    </w:p>
    <w:p w:rsidR="00777539" w:rsidRPr="00C743FB" w:rsidRDefault="00F56D90" w:rsidP="00777539">
      <w:pPr>
        <w:jc w:val="left"/>
        <w:rPr>
          <w:rFonts w:asciiTheme="minorHAnsi" w:hAnsiTheme="minorHAnsi" w:cstheme="minorHAnsi"/>
          <w:b w:val="0"/>
          <w:sz w:val="22"/>
          <w:szCs w:val="22"/>
          <w:u w:val="single"/>
        </w:rPr>
      </w:pPr>
      <w:r w:rsidRPr="00C743FB">
        <w:rPr>
          <w:rFonts w:asciiTheme="minorHAnsi" w:hAnsiTheme="minorHAnsi" w:cstheme="minorHAnsi"/>
          <w:b w:val="0"/>
          <w:sz w:val="22"/>
          <w:szCs w:val="22"/>
          <w:u w:val="single"/>
        </w:rPr>
        <w:t>§3</w:t>
      </w:r>
      <w:r w:rsidR="00777539" w:rsidRPr="00C743FB">
        <w:rPr>
          <w:rFonts w:asciiTheme="minorHAnsi" w:hAnsiTheme="minorHAnsi" w:cstheme="minorHAnsi"/>
          <w:b w:val="0"/>
          <w:sz w:val="22"/>
          <w:szCs w:val="22"/>
          <w:u w:val="single"/>
        </w:rPr>
        <w:t>.1 Verrekenen</w:t>
      </w:r>
    </w:p>
    <w:p w:rsidR="0088669B" w:rsidRPr="00C743FB" w:rsidRDefault="001310CD"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Allereerst is het belangrijk om terug te komen </w:t>
      </w:r>
      <w:r w:rsidR="0088669B" w:rsidRPr="00C743FB">
        <w:rPr>
          <w:rFonts w:asciiTheme="minorHAnsi" w:hAnsiTheme="minorHAnsi" w:cstheme="minorHAnsi"/>
          <w:b w:val="0"/>
          <w:sz w:val="22"/>
          <w:szCs w:val="22"/>
        </w:rPr>
        <w:t>op</w:t>
      </w:r>
      <w:r w:rsidRPr="00C743FB">
        <w:rPr>
          <w:rFonts w:asciiTheme="minorHAnsi" w:hAnsiTheme="minorHAnsi" w:cstheme="minorHAnsi"/>
          <w:b w:val="0"/>
          <w:sz w:val="22"/>
          <w:szCs w:val="22"/>
        </w:rPr>
        <w:t xml:space="preserve"> de kern van dit </w:t>
      </w:r>
      <w:r w:rsidR="0088669B" w:rsidRPr="00C743FB">
        <w:rPr>
          <w:rFonts w:asciiTheme="minorHAnsi" w:hAnsiTheme="minorHAnsi" w:cstheme="minorHAnsi"/>
          <w:b w:val="0"/>
          <w:sz w:val="22"/>
          <w:szCs w:val="22"/>
        </w:rPr>
        <w:t>onderzoek</w:t>
      </w:r>
      <w:r w:rsidRPr="00C743FB">
        <w:rPr>
          <w:rFonts w:asciiTheme="minorHAnsi" w:hAnsiTheme="minorHAnsi" w:cstheme="minorHAnsi"/>
          <w:b w:val="0"/>
          <w:sz w:val="22"/>
          <w:szCs w:val="22"/>
        </w:rPr>
        <w:t xml:space="preserve">, verrekenen. </w:t>
      </w:r>
      <w:r w:rsidR="00777539" w:rsidRPr="00C743FB">
        <w:rPr>
          <w:rFonts w:asciiTheme="minorHAnsi" w:hAnsiTheme="minorHAnsi" w:cstheme="minorHAnsi"/>
          <w:b w:val="0"/>
          <w:sz w:val="22"/>
          <w:szCs w:val="22"/>
        </w:rPr>
        <w:t xml:space="preserve">Om te mogen verrekenen moet er allereerst aan de eisen van artikel 6:127 BW worden voldaan, zoals ik in </w:t>
      </w:r>
      <w:r w:rsidR="00202B3C" w:rsidRPr="00C743FB">
        <w:rPr>
          <w:rFonts w:asciiTheme="minorHAnsi" w:hAnsiTheme="minorHAnsi" w:cstheme="minorHAnsi"/>
          <w:b w:val="0"/>
          <w:sz w:val="22"/>
          <w:szCs w:val="22"/>
        </w:rPr>
        <w:t>hoofdstuk 4</w:t>
      </w:r>
      <w:r w:rsidR="00777539" w:rsidRPr="00C743FB">
        <w:rPr>
          <w:rFonts w:asciiTheme="minorHAnsi" w:hAnsiTheme="minorHAnsi" w:cstheme="minorHAnsi"/>
          <w:b w:val="0"/>
          <w:sz w:val="22"/>
          <w:szCs w:val="22"/>
        </w:rPr>
        <w:t xml:space="preserve"> heb </w:t>
      </w:r>
      <w:r w:rsidR="00595F93" w:rsidRPr="00C743FB">
        <w:rPr>
          <w:rFonts w:asciiTheme="minorHAnsi" w:hAnsiTheme="minorHAnsi" w:cstheme="minorHAnsi"/>
          <w:b w:val="0"/>
          <w:sz w:val="22"/>
          <w:szCs w:val="22"/>
        </w:rPr>
        <w:t>beschreven</w:t>
      </w:r>
      <w:r w:rsidR="00777539" w:rsidRPr="00C743FB">
        <w:rPr>
          <w:rFonts w:asciiTheme="minorHAnsi" w:hAnsiTheme="minorHAnsi" w:cstheme="minorHAnsi"/>
          <w:b w:val="0"/>
          <w:sz w:val="22"/>
          <w:szCs w:val="22"/>
        </w:rPr>
        <w:t xml:space="preserve">. </w:t>
      </w:r>
      <w:r w:rsidR="0088669B" w:rsidRPr="00C743FB">
        <w:rPr>
          <w:rFonts w:asciiTheme="minorHAnsi" w:hAnsiTheme="minorHAnsi" w:cstheme="minorHAnsi"/>
          <w:b w:val="0"/>
          <w:sz w:val="22"/>
          <w:szCs w:val="22"/>
        </w:rPr>
        <w:t xml:space="preserve">Zo dienen partijen elkaars schuldeiser en schuldenaar te zijn, moeten de partijen bevoegd zijn, dienen de prestaties aan elkaar te beantwoorden en dient de vordering opeisbaar te zijn. Voor het verrekenen in het zicht van een faillissement gelden echter nog andere regels. De Faillissementswet is nu namelijk van toepassing. De Faillissementswet geeft de curator </w:t>
      </w:r>
      <w:r w:rsidR="00FC611E" w:rsidRPr="00C743FB">
        <w:rPr>
          <w:rFonts w:asciiTheme="minorHAnsi" w:hAnsiTheme="minorHAnsi" w:cstheme="minorHAnsi"/>
          <w:b w:val="0"/>
          <w:sz w:val="22"/>
          <w:szCs w:val="22"/>
        </w:rPr>
        <w:t xml:space="preserve">en andere schuldeisers </w:t>
      </w:r>
      <w:r w:rsidR="0088669B" w:rsidRPr="00C743FB">
        <w:rPr>
          <w:rFonts w:asciiTheme="minorHAnsi" w:hAnsiTheme="minorHAnsi" w:cstheme="minorHAnsi"/>
          <w:b w:val="0"/>
          <w:sz w:val="22"/>
          <w:szCs w:val="22"/>
        </w:rPr>
        <w:t xml:space="preserve">mogelijkheden om </w:t>
      </w:r>
      <w:r w:rsidR="00777539" w:rsidRPr="00C743FB">
        <w:rPr>
          <w:rFonts w:asciiTheme="minorHAnsi" w:hAnsiTheme="minorHAnsi" w:cstheme="minorHAnsi"/>
          <w:b w:val="0"/>
          <w:sz w:val="22"/>
          <w:szCs w:val="22"/>
        </w:rPr>
        <w:t xml:space="preserve">verrekening in het zicht van een faillissement te vernietigen. Zo kan op grond van artikel 47 </w:t>
      </w:r>
      <w:proofErr w:type="spellStart"/>
      <w:r w:rsidR="00777539" w:rsidRPr="00C743FB">
        <w:rPr>
          <w:rFonts w:asciiTheme="minorHAnsi" w:hAnsiTheme="minorHAnsi" w:cstheme="minorHAnsi"/>
          <w:b w:val="0"/>
          <w:sz w:val="22"/>
          <w:szCs w:val="22"/>
        </w:rPr>
        <w:t>Fw</w:t>
      </w:r>
      <w:proofErr w:type="spellEnd"/>
      <w:r w:rsidR="00777539" w:rsidRPr="00C743FB">
        <w:rPr>
          <w:rFonts w:asciiTheme="minorHAnsi" w:hAnsiTheme="minorHAnsi" w:cstheme="minorHAnsi"/>
          <w:b w:val="0"/>
          <w:sz w:val="22"/>
          <w:szCs w:val="22"/>
        </w:rPr>
        <w:t xml:space="preserve"> een beroep  op de </w:t>
      </w:r>
      <w:proofErr w:type="spellStart"/>
      <w:r w:rsidR="00777539" w:rsidRPr="00C743FB">
        <w:rPr>
          <w:rFonts w:asciiTheme="minorHAnsi" w:hAnsiTheme="minorHAnsi" w:cstheme="minorHAnsi"/>
          <w:b w:val="0"/>
          <w:sz w:val="22"/>
          <w:szCs w:val="22"/>
        </w:rPr>
        <w:t>actio</w:t>
      </w:r>
      <w:proofErr w:type="spellEnd"/>
      <w:r w:rsidR="00777539" w:rsidRPr="00C743FB">
        <w:rPr>
          <w:rFonts w:asciiTheme="minorHAnsi" w:hAnsiTheme="minorHAnsi" w:cstheme="minorHAnsi"/>
          <w:b w:val="0"/>
          <w:sz w:val="22"/>
          <w:szCs w:val="22"/>
        </w:rPr>
        <w:t xml:space="preserve"> </w:t>
      </w:r>
      <w:proofErr w:type="spellStart"/>
      <w:r w:rsidR="00777539" w:rsidRPr="00C743FB">
        <w:rPr>
          <w:rFonts w:asciiTheme="minorHAnsi" w:hAnsiTheme="minorHAnsi" w:cstheme="minorHAnsi"/>
          <w:b w:val="0"/>
          <w:sz w:val="22"/>
          <w:szCs w:val="22"/>
        </w:rPr>
        <w:t>pauliana</w:t>
      </w:r>
      <w:proofErr w:type="spellEnd"/>
      <w:r w:rsidR="00FC611E" w:rsidRPr="00C743FB">
        <w:rPr>
          <w:rFonts w:asciiTheme="minorHAnsi" w:hAnsiTheme="minorHAnsi" w:cstheme="minorHAnsi"/>
          <w:b w:val="0"/>
          <w:sz w:val="22"/>
          <w:szCs w:val="22"/>
        </w:rPr>
        <w:t xml:space="preserve"> worden gedaan</w:t>
      </w:r>
      <w:r w:rsidR="00777539" w:rsidRPr="00C743FB">
        <w:rPr>
          <w:rFonts w:asciiTheme="minorHAnsi" w:hAnsiTheme="minorHAnsi" w:cstheme="minorHAnsi"/>
          <w:b w:val="0"/>
          <w:sz w:val="22"/>
          <w:szCs w:val="22"/>
        </w:rPr>
        <w:t xml:space="preserve">. </w:t>
      </w:r>
    </w:p>
    <w:p w:rsidR="0088669B" w:rsidRPr="00C743FB" w:rsidRDefault="0088669B" w:rsidP="00777539">
      <w:pPr>
        <w:jc w:val="left"/>
        <w:rPr>
          <w:rFonts w:asciiTheme="minorHAnsi" w:hAnsiTheme="minorHAnsi" w:cstheme="minorHAnsi"/>
          <w:b w:val="0"/>
          <w:sz w:val="22"/>
          <w:szCs w:val="22"/>
        </w:rPr>
      </w:pPr>
    </w:p>
    <w:p w:rsidR="0088669B" w:rsidRPr="00C743FB" w:rsidRDefault="0088669B" w:rsidP="0088669B">
      <w:pPr>
        <w:jc w:val="left"/>
        <w:rPr>
          <w:rFonts w:asciiTheme="minorHAnsi" w:hAnsiTheme="minorHAnsi" w:cstheme="minorHAnsi"/>
          <w:b w:val="0"/>
          <w:sz w:val="22"/>
          <w:szCs w:val="22"/>
        </w:rPr>
      </w:pPr>
      <w:r w:rsidRPr="00C743FB">
        <w:rPr>
          <w:rFonts w:asciiTheme="minorHAnsi" w:hAnsiTheme="minorHAnsi" w:cstheme="minorHAnsi"/>
          <w:b w:val="0"/>
          <w:sz w:val="22"/>
          <w:szCs w:val="22"/>
        </w:rPr>
        <w:t>§</w:t>
      </w:r>
      <w:r w:rsidR="00F56D90" w:rsidRPr="00C743FB">
        <w:rPr>
          <w:rFonts w:asciiTheme="minorHAnsi" w:hAnsiTheme="minorHAnsi" w:cstheme="minorHAnsi"/>
          <w:b w:val="0"/>
          <w:sz w:val="22"/>
          <w:szCs w:val="22"/>
        </w:rPr>
        <w:t>3</w:t>
      </w:r>
      <w:r w:rsidRPr="00C743FB">
        <w:rPr>
          <w:rFonts w:asciiTheme="minorHAnsi" w:hAnsiTheme="minorHAnsi" w:cstheme="minorHAnsi"/>
          <w:b w:val="0"/>
          <w:sz w:val="22"/>
          <w:szCs w:val="22"/>
        </w:rPr>
        <w:t xml:space="preserve">.1.1 </w:t>
      </w:r>
      <w:proofErr w:type="spellStart"/>
      <w:r w:rsidRPr="00C743FB">
        <w:rPr>
          <w:rFonts w:asciiTheme="minorHAnsi" w:hAnsiTheme="minorHAnsi" w:cstheme="minorHAnsi"/>
          <w:b w:val="0"/>
          <w:sz w:val="22"/>
          <w:szCs w:val="22"/>
        </w:rPr>
        <w:t>Actio</w:t>
      </w:r>
      <w:proofErr w:type="spellEnd"/>
      <w:r w:rsidRPr="00C743FB">
        <w:rPr>
          <w:rFonts w:asciiTheme="minorHAnsi" w:hAnsiTheme="minorHAnsi" w:cstheme="minorHAnsi"/>
          <w:b w:val="0"/>
          <w:sz w:val="22"/>
          <w:szCs w:val="22"/>
        </w:rPr>
        <w:t xml:space="preserve"> </w:t>
      </w:r>
      <w:proofErr w:type="spellStart"/>
      <w:r w:rsidRPr="00C743FB">
        <w:rPr>
          <w:rFonts w:asciiTheme="minorHAnsi" w:hAnsiTheme="minorHAnsi" w:cstheme="minorHAnsi"/>
          <w:b w:val="0"/>
          <w:sz w:val="22"/>
          <w:szCs w:val="22"/>
        </w:rPr>
        <w:t>pauliana</w:t>
      </w:r>
      <w:proofErr w:type="spellEnd"/>
    </w:p>
    <w:p w:rsidR="000A2445" w:rsidRPr="00C743FB" w:rsidRDefault="00287E85"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De </w:t>
      </w:r>
      <w:proofErr w:type="spellStart"/>
      <w:r w:rsidRPr="00C743FB">
        <w:rPr>
          <w:rFonts w:asciiTheme="minorHAnsi" w:hAnsiTheme="minorHAnsi" w:cstheme="minorHAnsi"/>
          <w:b w:val="0"/>
          <w:sz w:val="22"/>
          <w:szCs w:val="22"/>
        </w:rPr>
        <w:t>actio</w:t>
      </w:r>
      <w:proofErr w:type="spellEnd"/>
      <w:r w:rsidRPr="00C743FB">
        <w:rPr>
          <w:rFonts w:asciiTheme="minorHAnsi" w:hAnsiTheme="minorHAnsi" w:cstheme="minorHAnsi"/>
          <w:b w:val="0"/>
          <w:sz w:val="22"/>
          <w:szCs w:val="22"/>
        </w:rPr>
        <w:t xml:space="preserve"> </w:t>
      </w:r>
      <w:proofErr w:type="spellStart"/>
      <w:r w:rsidRPr="00C743FB">
        <w:rPr>
          <w:rFonts w:asciiTheme="minorHAnsi" w:hAnsiTheme="minorHAnsi" w:cstheme="minorHAnsi"/>
          <w:b w:val="0"/>
          <w:sz w:val="22"/>
          <w:szCs w:val="22"/>
        </w:rPr>
        <w:t>pauliana</w:t>
      </w:r>
      <w:proofErr w:type="spellEnd"/>
      <w:r w:rsidRPr="00C743FB">
        <w:rPr>
          <w:rFonts w:asciiTheme="minorHAnsi" w:hAnsiTheme="minorHAnsi" w:cstheme="minorHAnsi"/>
          <w:b w:val="0"/>
          <w:sz w:val="22"/>
          <w:szCs w:val="22"/>
        </w:rPr>
        <w:t xml:space="preserve"> is </w:t>
      </w:r>
      <w:r w:rsidR="00C64620" w:rsidRPr="00C743FB">
        <w:rPr>
          <w:rFonts w:asciiTheme="minorHAnsi" w:hAnsiTheme="minorHAnsi" w:cstheme="minorHAnsi"/>
          <w:b w:val="0"/>
          <w:sz w:val="22"/>
          <w:szCs w:val="22"/>
        </w:rPr>
        <w:t xml:space="preserve">een mogelijkheid voor de curator </w:t>
      </w:r>
      <w:r w:rsidR="002866BC" w:rsidRPr="00C743FB">
        <w:rPr>
          <w:rFonts w:asciiTheme="minorHAnsi" w:hAnsiTheme="minorHAnsi" w:cstheme="minorHAnsi"/>
          <w:b w:val="0"/>
          <w:sz w:val="22"/>
          <w:szCs w:val="22"/>
        </w:rPr>
        <w:t xml:space="preserve">of een andere schuldeiser </w:t>
      </w:r>
      <w:r w:rsidR="00C64620" w:rsidRPr="00C743FB">
        <w:rPr>
          <w:rFonts w:asciiTheme="minorHAnsi" w:hAnsiTheme="minorHAnsi" w:cstheme="minorHAnsi"/>
          <w:b w:val="0"/>
          <w:sz w:val="22"/>
          <w:szCs w:val="22"/>
        </w:rPr>
        <w:t xml:space="preserve">om tegen rechtshandelingen van een schuldenaar op te komen waardoor de schuldeisers zijn benadeeld. </w:t>
      </w:r>
      <w:r w:rsidR="00777539" w:rsidRPr="00C743FB">
        <w:rPr>
          <w:rFonts w:asciiTheme="minorHAnsi" w:hAnsiTheme="minorHAnsi" w:cstheme="minorHAnsi"/>
          <w:b w:val="0"/>
          <w:sz w:val="22"/>
          <w:szCs w:val="22"/>
        </w:rPr>
        <w:t xml:space="preserve">De </w:t>
      </w:r>
      <w:proofErr w:type="spellStart"/>
      <w:r w:rsidR="00777539" w:rsidRPr="00C743FB">
        <w:rPr>
          <w:rFonts w:asciiTheme="minorHAnsi" w:hAnsiTheme="minorHAnsi" w:cstheme="minorHAnsi"/>
          <w:b w:val="0"/>
          <w:sz w:val="22"/>
          <w:szCs w:val="22"/>
        </w:rPr>
        <w:t>actio</w:t>
      </w:r>
      <w:proofErr w:type="spellEnd"/>
      <w:r w:rsidR="00777539" w:rsidRPr="00C743FB">
        <w:rPr>
          <w:rFonts w:asciiTheme="minorHAnsi" w:hAnsiTheme="minorHAnsi" w:cstheme="minorHAnsi"/>
          <w:b w:val="0"/>
          <w:sz w:val="22"/>
          <w:szCs w:val="22"/>
        </w:rPr>
        <w:t xml:space="preserve"> </w:t>
      </w:r>
      <w:proofErr w:type="spellStart"/>
      <w:r w:rsidR="00777539" w:rsidRPr="00C743FB">
        <w:rPr>
          <w:rFonts w:asciiTheme="minorHAnsi" w:hAnsiTheme="minorHAnsi" w:cstheme="minorHAnsi"/>
          <w:b w:val="0"/>
          <w:sz w:val="22"/>
          <w:szCs w:val="22"/>
        </w:rPr>
        <w:t>pauliana</w:t>
      </w:r>
      <w:proofErr w:type="spellEnd"/>
      <w:r w:rsidR="00777539" w:rsidRPr="00C743FB">
        <w:rPr>
          <w:rFonts w:asciiTheme="minorHAnsi" w:hAnsiTheme="minorHAnsi" w:cstheme="minorHAnsi"/>
          <w:b w:val="0"/>
          <w:sz w:val="22"/>
          <w:szCs w:val="22"/>
        </w:rPr>
        <w:t xml:space="preserve"> houdt in dat </w:t>
      </w:r>
      <w:r w:rsidR="0088669B" w:rsidRPr="00C743FB">
        <w:rPr>
          <w:rFonts w:asciiTheme="minorHAnsi" w:hAnsiTheme="minorHAnsi" w:cstheme="minorHAnsi"/>
          <w:b w:val="0"/>
          <w:sz w:val="22"/>
          <w:szCs w:val="22"/>
        </w:rPr>
        <w:t>een schuldenaar</w:t>
      </w:r>
      <w:r w:rsidR="00777539" w:rsidRPr="00C743FB">
        <w:rPr>
          <w:rFonts w:asciiTheme="minorHAnsi" w:hAnsiTheme="minorHAnsi" w:cstheme="minorHAnsi"/>
          <w:b w:val="0"/>
          <w:sz w:val="22"/>
          <w:szCs w:val="22"/>
        </w:rPr>
        <w:t xml:space="preserve"> niet zo maar een schuldeiser mag voortrekken, omdat hij wist of behoorde te weten dat hij daarmee andere schuldeiser</w:t>
      </w:r>
      <w:r w:rsidR="0088669B" w:rsidRPr="00C743FB">
        <w:rPr>
          <w:rFonts w:asciiTheme="minorHAnsi" w:hAnsiTheme="minorHAnsi" w:cstheme="minorHAnsi"/>
          <w:b w:val="0"/>
          <w:sz w:val="22"/>
          <w:szCs w:val="22"/>
        </w:rPr>
        <w:t>s</w:t>
      </w:r>
      <w:r w:rsidR="00777539" w:rsidRPr="00C743FB">
        <w:rPr>
          <w:rFonts w:asciiTheme="minorHAnsi" w:hAnsiTheme="minorHAnsi" w:cstheme="minorHAnsi"/>
          <w:b w:val="0"/>
          <w:sz w:val="22"/>
          <w:szCs w:val="22"/>
        </w:rPr>
        <w:t xml:space="preserve"> zou benadelen. Voorwaarde voor een beroep op de </w:t>
      </w:r>
      <w:proofErr w:type="spellStart"/>
      <w:r w:rsidR="00777539" w:rsidRPr="00C743FB">
        <w:rPr>
          <w:rFonts w:asciiTheme="minorHAnsi" w:hAnsiTheme="minorHAnsi" w:cstheme="minorHAnsi"/>
          <w:b w:val="0"/>
          <w:sz w:val="22"/>
          <w:szCs w:val="22"/>
        </w:rPr>
        <w:t>actio</w:t>
      </w:r>
      <w:proofErr w:type="spellEnd"/>
      <w:r w:rsidR="00777539" w:rsidRPr="00C743FB">
        <w:rPr>
          <w:rFonts w:asciiTheme="minorHAnsi" w:hAnsiTheme="minorHAnsi" w:cstheme="minorHAnsi"/>
          <w:b w:val="0"/>
          <w:sz w:val="22"/>
          <w:szCs w:val="22"/>
        </w:rPr>
        <w:t xml:space="preserve"> </w:t>
      </w:r>
      <w:proofErr w:type="spellStart"/>
      <w:r w:rsidR="00777539" w:rsidRPr="00C743FB">
        <w:rPr>
          <w:rFonts w:asciiTheme="minorHAnsi" w:hAnsiTheme="minorHAnsi" w:cstheme="minorHAnsi"/>
          <w:b w:val="0"/>
          <w:sz w:val="22"/>
          <w:szCs w:val="22"/>
        </w:rPr>
        <w:t>pauliana</w:t>
      </w:r>
      <w:proofErr w:type="spellEnd"/>
      <w:r w:rsidR="00777539" w:rsidRPr="00C743FB">
        <w:rPr>
          <w:rFonts w:asciiTheme="minorHAnsi" w:hAnsiTheme="minorHAnsi" w:cstheme="minorHAnsi"/>
          <w:b w:val="0"/>
          <w:sz w:val="22"/>
          <w:szCs w:val="22"/>
        </w:rPr>
        <w:t xml:space="preserve"> is dat de </w:t>
      </w:r>
      <w:r w:rsidR="0088669B" w:rsidRPr="00C743FB">
        <w:rPr>
          <w:rFonts w:asciiTheme="minorHAnsi" w:hAnsiTheme="minorHAnsi" w:cstheme="minorHAnsi"/>
          <w:b w:val="0"/>
          <w:sz w:val="22"/>
          <w:szCs w:val="22"/>
        </w:rPr>
        <w:t>schuldeiser</w:t>
      </w:r>
      <w:r w:rsidR="00777539" w:rsidRPr="00C743FB">
        <w:rPr>
          <w:rFonts w:asciiTheme="minorHAnsi" w:hAnsiTheme="minorHAnsi" w:cstheme="minorHAnsi"/>
          <w:b w:val="0"/>
          <w:sz w:val="22"/>
          <w:szCs w:val="22"/>
        </w:rPr>
        <w:t xml:space="preserve"> wist dat er een faillissement was aangevraagd</w:t>
      </w:r>
      <w:r w:rsidR="002821E2" w:rsidRPr="00C743FB">
        <w:rPr>
          <w:rFonts w:asciiTheme="minorHAnsi" w:hAnsiTheme="minorHAnsi" w:cstheme="minorHAnsi"/>
          <w:b w:val="0"/>
          <w:sz w:val="22"/>
          <w:szCs w:val="22"/>
        </w:rPr>
        <w:t xml:space="preserve">. De rechtshandeling waarop de </w:t>
      </w:r>
      <w:proofErr w:type="spellStart"/>
      <w:r w:rsidR="002821E2" w:rsidRPr="00C743FB">
        <w:rPr>
          <w:rFonts w:asciiTheme="minorHAnsi" w:hAnsiTheme="minorHAnsi" w:cstheme="minorHAnsi"/>
          <w:b w:val="0"/>
          <w:sz w:val="22"/>
          <w:szCs w:val="22"/>
        </w:rPr>
        <w:t>actio</w:t>
      </w:r>
      <w:proofErr w:type="spellEnd"/>
      <w:r w:rsidR="002821E2" w:rsidRPr="00C743FB">
        <w:rPr>
          <w:rFonts w:asciiTheme="minorHAnsi" w:hAnsiTheme="minorHAnsi" w:cstheme="minorHAnsi"/>
          <w:b w:val="0"/>
          <w:sz w:val="22"/>
          <w:szCs w:val="22"/>
        </w:rPr>
        <w:t xml:space="preserve"> </w:t>
      </w:r>
      <w:proofErr w:type="spellStart"/>
      <w:r w:rsidR="002821E2" w:rsidRPr="00C743FB">
        <w:rPr>
          <w:rFonts w:asciiTheme="minorHAnsi" w:hAnsiTheme="minorHAnsi" w:cstheme="minorHAnsi"/>
          <w:b w:val="0"/>
          <w:sz w:val="22"/>
          <w:szCs w:val="22"/>
        </w:rPr>
        <w:t>pauliana</w:t>
      </w:r>
      <w:proofErr w:type="spellEnd"/>
      <w:r w:rsidR="002821E2" w:rsidRPr="00C743FB">
        <w:rPr>
          <w:rFonts w:asciiTheme="minorHAnsi" w:hAnsiTheme="minorHAnsi" w:cstheme="minorHAnsi"/>
          <w:b w:val="0"/>
          <w:sz w:val="22"/>
          <w:szCs w:val="22"/>
        </w:rPr>
        <w:t xml:space="preserve"> betrekking heeft speelt zodoende in het zicht van het faillissement.</w:t>
      </w:r>
      <w:r w:rsidR="00777539" w:rsidRPr="00C743FB">
        <w:rPr>
          <w:rStyle w:val="Voetnootmarkering"/>
          <w:rFonts w:asciiTheme="minorHAnsi" w:hAnsiTheme="minorHAnsi" w:cstheme="minorHAnsi"/>
          <w:b w:val="0"/>
          <w:sz w:val="22"/>
          <w:szCs w:val="22"/>
        </w:rPr>
        <w:footnoteReference w:id="81"/>
      </w:r>
      <w:r w:rsidR="00777539" w:rsidRPr="00C743FB">
        <w:rPr>
          <w:rFonts w:asciiTheme="minorHAnsi" w:hAnsiTheme="minorHAnsi" w:cstheme="minorHAnsi"/>
          <w:b w:val="0"/>
          <w:sz w:val="22"/>
          <w:szCs w:val="22"/>
        </w:rPr>
        <w:t xml:space="preserve"> </w:t>
      </w:r>
      <w:r w:rsidR="00777539" w:rsidRPr="00C743FB">
        <w:rPr>
          <w:rStyle w:val="Voetnootmarkering"/>
          <w:rFonts w:asciiTheme="minorHAnsi" w:hAnsiTheme="minorHAnsi" w:cstheme="minorHAnsi"/>
          <w:b w:val="0"/>
          <w:sz w:val="22"/>
          <w:szCs w:val="22"/>
        </w:rPr>
        <w:footnoteReference w:id="82"/>
      </w:r>
      <w:r w:rsidR="00777539" w:rsidRPr="00C743FB">
        <w:rPr>
          <w:rFonts w:asciiTheme="minorHAnsi" w:hAnsiTheme="minorHAnsi" w:cstheme="minorHAnsi"/>
          <w:b w:val="0"/>
          <w:sz w:val="22"/>
          <w:szCs w:val="22"/>
        </w:rPr>
        <w:t xml:space="preserve"> </w:t>
      </w:r>
    </w:p>
    <w:p w:rsidR="000A2445" w:rsidRPr="00C743FB" w:rsidRDefault="000A2445" w:rsidP="00777539">
      <w:pPr>
        <w:jc w:val="left"/>
        <w:rPr>
          <w:rFonts w:asciiTheme="minorHAnsi" w:hAnsiTheme="minorHAnsi" w:cstheme="minorHAnsi"/>
          <w:b w:val="0"/>
          <w:sz w:val="22"/>
          <w:szCs w:val="22"/>
        </w:rPr>
      </w:pPr>
    </w:p>
    <w:p w:rsidR="00777539" w:rsidRPr="00C743FB" w:rsidRDefault="00777539"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De rechtshandeling van de</w:t>
      </w:r>
      <w:r w:rsidR="000B62C8" w:rsidRPr="00C743FB">
        <w:rPr>
          <w:rFonts w:asciiTheme="minorHAnsi" w:hAnsiTheme="minorHAnsi" w:cstheme="minorHAnsi"/>
          <w:b w:val="0"/>
          <w:sz w:val="22"/>
          <w:szCs w:val="22"/>
        </w:rPr>
        <w:t xml:space="preserve"> bevoordeelde</w:t>
      </w:r>
      <w:r w:rsidRPr="00C743FB">
        <w:rPr>
          <w:rFonts w:asciiTheme="minorHAnsi" w:hAnsiTheme="minorHAnsi" w:cstheme="minorHAnsi"/>
          <w:b w:val="0"/>
          <w:sz w:val="22"/>
          <w:szCs w:val="22"/>
        </w:rPr>
        <w:t xml:space="preserve"> </w:t>
      </w:r>
      <w:r w:rsidR="0088669B" w:rsidRPr="00C743FB">
        <w:rPr>
          <w:rFonts w:asciiTheme="minorHAnsi" w:hAnsiTheme="minorHAnsi" w:cstheme="minorHAnsi"/>
          <w:b w:val="0"/>
          <w:sz w:val="22"/>
          <w:szCs w:val="22"/>
        </w:rPr>
        <w:t>schuldeiser</w:t>
      </w:r>
      <w:r w:rsidRPr="00C743FB">
        <w:rPr>
          <w:rFonts w:asciiTheme="minorHAnsi" w:hAnsiTheme="minorHAnsi" w:cstheme="minorHAnsi"/>
          <w:b w:val="0"/>
          <w:sz w:val="22"/>
          <w:szCs w:val="22"/>
        </w:rPr>
        <w:t xml:space="preserve"> zelf kan tevens op grond van artikel 47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w:t>
      </w:r>
      <w:proofErr w:type="spellStart"/>
      <w:r w:rsidRPr="00C743FB">
        <w:rPr>
          <w:rFonts w:asciiTheme="minorHAnsi" w:hAnsiTheme="minorHAnsi" w:cstheme="minorHAnsi"/>
          <w:b w:val="0"/>
          <w:sz w:val="22"/>
          <w:szCs w:val="22"/>
        </w:rPr>
        <w:t>paulianeus</w:t>
      </w:r>
      <w:proofErr w:type="spellEnd"/>
      <w:r w:rsidRPr="00C743FB">
        <w:rPr>
          <w:rFonts w:asciiTheme="minorHAnsi" w:hAnsiTheme="minorHAnsi" w:cstheme="minorHAnsi"/>
          <w:b w:val="0"/>
          <w:sz w:val="22"/>
          <w:szCs w:val="22"/>
        </w:rPr>
        <w:t xml:space="preserve"> handelen, worden vernietigd. De </w:t>
      </w:r>
      <w:r w:rsidR="000B62C8" w:rsidRPr="00C743FB">
        <w:rPr>
          <w:rFonts w:asciiTheme="minorHAnsi" w:hAnsiTheme="minorHAnsi" w:cstheme="minorHAnsi"/>
          <w:b w:val="0"/>
          <w:sz w:val="22"/>
          <w:szCs w:val="22"/>
        </w:rPr>
        <w:t xml:space="preserve">bevoordeelde </w:t>
      </w:r>
      <w:r w:rsidR="0088669B" w:rsidRPr="00C743FB">
        <w:rPr>
          <w:rFonts w:asciiTheme="minorHAnsi" w:hAnsiTheme="minorHAnsi" w:cstheme="minorHAnsi"/>
          <w:b w:val="0"/>
          <w:sz w:val="22"/>
          <w:szCs w:val="22"/>
        </w:rPr>
        <w:t>schuldeiser</w:t>
      </w:r>
      <w:r w:rsidRPr="00C743FB">
        <w:rPr>
          <w:rFonts w:asciiTheme="minorHAnsi" w:hAnsiTheme="minorHAnsi" w:cstheme="minorHAnsi"/>
          <w:b w:val="0"/>
          <w:sz w:val="22"/>
          <w:szCs w:val="22"/>
        </w:rPr>
        <w:t xml:space="preserve"> mag immers niet verrekenen als zij op de hoogte is van het faillissement. Het verminderen van het debetsaldo is in dat geval een </w:t>
      </w:r>
      <w:proofErr w:type="spellStart"/>
      <w:r w:rsidRPr="00C743FB">
        <w:rPr>
          <w:rFonts w:asciiTheme="minorHAnsi" w:hAnsiTheme="minorHAnsi" w:cstheme="minorHAnsi"/>
          <w:b w:val="0"/>
          <w:sz w:val="22"/>
          <w:szCs w:val="22"/>
        </w:rPr>
        <w:t>actio</w:t>
      </w:r>
      <w:proofErr w:type="spellEnd"/>
      <w:r w:rsidRPr="00C743FB">
        <w:rPr>
          <w:rFonts w:asciiTheme="minorHAnsi" w:hAnsiTheme="minorHAnsi" w:cstheme="minorHAnsi"/>
          <w:b w:val="0"/>
          <w:sz w:val="22"/>
          <w:szCs w:val="22"/>
        </w:rPr>
        <w:t xml:space="preserve"> </w:t>
      </w:r>
      <w:proofErr w:type="spellStart"/>
      <w:r w:rsidRPr="00C743FB">
        <w:rPr>
          <w:rFonts w:asciiTheme="minorHAnsi" w:hAnsiTheme="minorHAnsi" w:cstheme="minorHAnsi"/>
          <w:b w:val="0"/>
          <w:sz w:val="22"/>
          <w:szCs w:val="22"/>
        </w:rPr>
        <w:t>pauliana</w:t>
      </w:r>
      <w:proofErr w:type="spellEnd"/>
      <w:r w:rsidRPr="00C743FB">
        <w:rPr>
          <w:rFonts w:asciiTheme="minorHAnsi" w:hAnsiTheme="minorHAnsi" w:cstheme="minorHAnsi"/>
          <w:b w:val="0"/>
          <w:sz w:val="22"/>
          <w:szCs w:val="22"/>
        </w:rPr>
        <w:t>.</w:t>
      </w:r>
      <w:r w:rsidRPr="00C743FB">
        <w:rPr>
          <w:rStyle w:val="Voetnootmarkering"/>
          <w:rFonts w:asciiTheme="minorHAnsi" w:hAnsiTheme="minorHAnsi" w:cstheme="minorHAnsi"/>
          <w:b w:val="0"/>
          <w:sz w:val="22"/>
          <w:szCs w:val="22"/>
        </w:rPr>
        <w:footnoteReference w:id="83"/>
      </w:r>
      <w:r w:rsidRPr="00C743FB">
        <w:rPr>
          <w:rFonts w:asciiTheme="minorHAnsi" w:hAnsiTheme="minorHAnsi" w:cstheme="minorHAnsi"/>
          <w:b w:val="0"/>
          <w:sz w:val="22"/>
          <w:szCs w:val="22"/>
        </w:rPr>
        <w:t xml:space="preserve"> De curator kan artikel 47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tevens inroepen als de verrekening het gevolg was van overleg tussen de </w:t>
      </w:r>
      <w:r w:rsidR="000B62C8" w:rsidRPr="00C743FB">
        <w:rPr>
          <w:rFonts w:asciiTheme="minorHAnsi" w:hAnsiTheme="minorHAnsi" w:cstheme="minorHAnsi"/>
          <w:b w:val="0"/>
          <w:sz w:val="22"/>
          <w:szCs w:val="22"/>
        </w:rPr>
        <w:t>schuldenaar</w:t>
      </w:r>
      <w:r w:rsidRPr="00C743FB">
        <w:rPr>
          <w:rFonts w:asciiTheme="minorHAnsi" w:hAnsiTheme="minorHAnsi" w:cstheme="minorHAnsi"/>
          <w:b w:val="0"/>
          <w:sz w:val="22"/>
          <w:szCs w:val="22"/>
        </w:rPr>
        <w:t xml:space="preserve"> en de </w:t>
      </w:r>
      <w:r w:rsidR="000B62C8" w:rsidRPr="00C743FB">
        <w:rPr>
          <w:rFonts w:asciiTheme="minorHAnsi" w:hAnsiTheme="minorHAnsi" w:cstheme="minorHAnsi"/>
          <w:b w:val="0"/>
          <w:sz w:val="22"/>
          <w:szCs w:val="22"/>
        </w:rPr>
        <w:t>bevoordeelde schuldeiser</w:t>
      </w:r>
      <w:r w:rsidRPr="00C743FB">
        <w:rPr>
          <w:rFonts w:asciiTheme="minorHAnsi" w:hAnsiTheme="minorHAnsi" w:cstheme="minorHAnsi"/>
          <w:b w:val="0"/>
          <w:sz w:val="22"/>
          <w:szCs w:val="22"/>
        </w:rPr>
        <w:t xml:space="preserve">, dat het doel had de </w:t>
      </w:r>
      <w:r w:rsidR="000B62C8" w:rsidRPr="00C743FB">
        <w:rPr>
          <w:rFonts w:asciiTheme="minorHAnsi" w:hAnsiTheme="minorHAnsi" w:cstheme="minorHAnsi"/>
          <w:b w:val="0"/>
          <w:sz w:val="22"/>
          <w:szCs w:val="22"/>
        </w:rPr>
        <w:t>schuldeiser</w:t>
      </w:r>
      <w:r w:rsidRPr="00C743FB">
        <w:rPr>
          <w:rFonts w:asciiTheme="minorHAnsi" w:hAnsiTheme="minorHAnsi" w:cstheme="minorHAnsi"/>
          <w:b w:val="0"/>
          <w:sz w:val="22"/>
          <w:szCs w:val="22"/>
        </w:rPr>
        <w:t xml:space="preserve"> te bevoordelen.</w:t>
      </w:r>
      <w:r w:rsidRPr="00C743FB">
        <w:rPr>
          <w:rStyle w:val="Voetnootmarkering"/>
          <w:rFonts w:asciiTheme="minorHAnsi" w:hAnsiTheme="minorHAnsi" w:cstheme="minorHAnsi"/>
          <w:b w:val="0"/>
          <w:sz w:val="22"/>
          <w:szCs w:val="22"/>
        </w:rPr>
        <w:footnoteReference w:id="84"/>
      </w:r>
      <w:r w:rsidRPr="00C743FB">
        <w:rPr>
          <w:rFonts w:asciiTheme="minorHAnsi" w:hAnsiTheme="minorHAnsi" w:cstheme="minorHAnsi"/>
          <w:b w:val="0"/>
          <w:sz w:val="22"/>
          <w:szCs w:val="22"/>
        </w:rPr>
        <w:t xml:space="preserve"> Het overleg dient dan wel samenspanning tussen de </w:t>
      </w:r>
      <w:r w:rsidR="000B62C8" w:rsidRPr="00C743FB">
        <w:rPr>
          <w:rFonts w:asciiTheme="minorHAnsi" w:hAnsiTheme="minorHAnsi" w:cstheme="minorHAnsi"/>
          <w:b w:val="0"/>
          <w:sz w:val="22"/>
          <w:szCs w:val="22"/>
        </w:rPr>
        <w:t>schuldenaar</w:t>
      </w:r>
      <w:r w:rsidRPr="00C743FB">
        <w:rPr>
          <w:rFonts w:asciiTheme="minorHAnsi" w:hAnsiTheme="minorHAnsi" w:cstheme="minorHAnsi"/>
          <w:b w:val="0"/>
          <w:sz w:val="22"/>
          <w:szCs w:val="22"/>
        </w:rPr>
        <w:t xml:space="preserve"> en de </w:t>
      </w:r>
      <w:r w:rsidR="000B62C8" w:rsidRPr="00C743FB">
        <w:rPr>
          <w:rFonts w:asciiTheme="minorHAnsi" w:hAnsiTheme="minorHAnsi" w:cstheme="minorHAnsi"/>
          <w:b w:val="0"/>
          <w:sz w:val="22"/>
          <w:szCs w:val="22"/>
        </w:rPr>
        <w:t>schuldeiser</w:t>
      </w:r>
      <w:r w:rsidRPr="00C743FB">
        <w:rPr>
          <w:rFonts w:asciiTheme="minorHAnsi" w:hAnsiTheme="minorHAnsi" w:cstheme="minorHAnsi"/>
          <w:b w:val="0"/>
          <w:sz w:val="22"/>
          <w:szCs w:val="22"/>
        </w:rPr>
        <w:t xml:space="preserve"> te zijn, wat inhoudt dat beide partijen het oogmerk moeten hebben gehad om de </w:t>
      </w:r>
      <w:r w:rsidR="000B62C8" w:rsidRPr="00C743FB">
        <w:rPr>
          <w:rFonts w:asciiTheme="minorHAnsi" w:hAnsiTheme="minorHAnsi" w:cstheme="minorHAnsi"/>
          <w:b w:val="0"/>
          <w:sz w:val="22"/>
          <w:szCs w:val="22"/>
        </w:rPr>
        <w:t>schuldeiser</w:t>
      </w:r>
      <w:r w:rsidRPr="00C743FB">
        <w:rPr>
          <w:rFonts w:asciiTheme="minorHAnsi" w:hAnsiTheme="minorHAnsi" w:cstheme="minorHAnsi"/>
          <w:b w:val="0"/>
          <w:sz w:val="22"/>
          <w:szCs w:val="22"/>
        </w:rPr>
        <w:t xml:space="preserve"> te bevoordelen.</w:t>
      </w:r>
      <w:r w:rsidRPr="00C743FB">
        <w:rPr>
          <w:rStyle w:val="Voetnootmarkering"/>
          <w:rFonts w:asciiTheme="minorHAnsi" w:hAnsiTheme="minorHAnsi" w:cstheme="minorHAnsi"/>
          <w:b w:val="0"/>
          <w:sz w:val="22"/>
          <w:szCs w:val="22"/>
        </w:rPr>
        <w:footnoteReference w:id="85"/>
      </w:r>
    </w:p>
    <w:p w:rsidR="00772FF7" w:rsidRPr="00C743FB" w:rsidRDefault="00772FF7" w:rsidP="00777539">
      <w:pPr>
        <w:jc w:val="left"/>
        <w:rPr>
          <w:rFonts w:asciiTheme="minorHAnsi" w:hAnsiTheme="minorHAnsi" w:cstheme="minorHAnsi"/>
          <w:b w:val="0"/>
          <w:sz w:val="22"/>
          <w:szCs w:val="22"/>
        </w:rPr>
      </w:pPr>
    </w:p>
    <w:p w:rsidR="00772FF7" w:rsidRPr="00C743FB" w:rsidRDefault="00772FF7"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De Rabobank in de casus was op de hoogte van het faillissement en verrekende desondanks haar vorderingen met de winkel. </w:t>
      </w:r>
      <w:r w:rsidR="00796060" w:rsidRPr="00C743FB">
        <w:rPr>
          <w:rFonts w:asciiTheme="minorHAnsi" w:hAnsiTheme="minorHAnsi" w:cstheme="minorHAnsi"/>
          <w:b w:val="0"/>
          <w:sz w:val="22"/>
          <w:szCs w:val="22"/>
        </w:rPr>
        <w:t xml:space="preserve">Dit heeft gezorgd voor bevoordeling van de bank en benadeling van andere schuldeisers. </w:t>
      </w:r>
      <w:r w:rsidRPr="00C743FB">
        <w:rPr>
          <w:rFonts w:asciiTheme="minorHAnsi" w:hAnsiTheme="minorHAnsi" w:cstheme="minorHAnsi"/>
          <w:b w:val="0"/>
          <w:sz w:val="22"/>
          <w:szCs w:val="22"/>
        </w:rPr>
        <w:t xml:space="preserve">Op grond van artikel 47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kunnen deze rechtshandelingen door de curator </w:t>
      </w:r>
      <w:r w:rsidR="009004F8" w:rsidRPr="00C743FB">
        <w:rPr>
          <w:rFonts w:asciiTheme="minorHAnsi" w:hAnsiTheme="minorHAnsi" w:cstheme="minorHAnsi"/>
          <w:b w:val="0"/>
          <w:sz w:val="22"/>
          <w:szCs w:val="22"/>
        </w:rPr>
        <w:t xml:space="preserve">of andere schuldeisers </w:t>
      </w:r>
      <w:r w:rsidRPr="00C743FB">
        <w:rPr>
          <w:rFonts w:asciiTheme="minorHAnsi" w:hAnsiTheme="minorHAnsi" w:cstheme="minorHAnsi"/>
          <w:b w:val="0"/>
          <w:sz w:val="22"/>
          <w:szCs w:val="22"/>
        </w:rPr>
        <w:t>worden vernietigd.</w:t>
      </w:r>
    </w:p>
    <w:p w:rsidR="00777539" w:rsidRPr="00C743FB" w:rsidRDefault="00777539" w:rsidP="00777539">
      <w:pPr>
        <w:jc w:val="left"/>
        <w:rPr>
          <w:rFonts w:asciiTheme="minorHAnsi" w:hAnsiTheme="minorHAnsi" w:cstheme="minorHAnsi"/>
          <w:b w:val="0"/>
          <w:sz w:val="22"/>
          <w:szCs w:val="22"/>
        </w:rPr>
      </w:pPr>
    </w:p>
    <w:p w:rsidR="00C743FB" w:rsidRDefault="00C743FB" w:rsidP="0075431F">
      <w:pPr>
        <w:jc w:val="left"/>
        <w:rPr>
          <w:rFonts w:asciiTheme="minorHAnsi" w:hAnsiTheme="minorHAnsi" w:cstheme="minorHAnsi"/>
          <w:b w:val="0"/>
          <w:sz w:val="22"/>
          <w:szCs w:val="22"/>
        </w:rPr>
      </w:pPr>
    </w:p>
    <w:p w:rsidR="00C743FB" w:rsidRDefault="00C743FB" w:rsidP="0075431F">
      <w:pPr>
        <w:jc w:val="left"/>
        <w:rPr>
          <w:rFonts w:asciiTheme="minorHAnsi" w:hAnsiTheme="minorHAnsi" w:cstheme="minorHAnsi"/>
          <w:b w:val="0"/>
          <w:sz w:val="22"/>
          <w:szCs w:val="22"/>
        </w:rPr>
      </w:pPr>
    </w:p>
    <w:p w:rsidR="0075431F" w:rsidRPr="00C743FB" w:rsidRDefault="00A82755" w:rsidP="0075431F">
      <w:pPr>
        <w:jc w:val="left"/>
        <w:rPr>
          <w:rFonts w:asciiTheme="minorHAnsi" w:hAnsiTheme="minorHAnsi" w:cstheme="minorHAnsi"/>
          <w:b w:val="0"/>
          <w:sz w:val="22"/>
          <w:szCs w:val="22"/>
        </w:rPr>
      </w:pPr>
      <w:r w:rsidRPr="00C743FB">
        <w:rPr>
          <w:rFonts w:asciiTheme="minorHAnsi" w:hAnsiTheme="minorHAnsi" w:cstheme="minorHAnsi"/>
          <w:b w:val="0"/>
          <w:sz w:val="22"/>
          <w:szCs w:val="22"/>
        </w:rPr>
        <w:lastRenderedPageBreak/>
        <w:t>§</w:t>
      </w:r>
      <w:r w:rsidR="00F56D90" w:rsidRPr="00C743FB">
        <w:rPr>
          <w:rFonts w:asciiTheme="minorHAnsi" w:hAnsiTheme="minorHAnsi" w:cstheme="minorHAnsi"/>
          <w:b w:val="0"/>
          <w:sz w:val="22"/>
          <w:szCs w:val="22"/>
        </w:rPr>
        <w:t>3</w:t>
      </w:r>
      <w:r w:rsidRPr="00C743FB">
        <w:rPr>
          <w:rFonts w:asciiTheme="minorHAnsi" w:hAnsiTheme="minorHAnsi" w:cstheme="minorHAnsi"/>
          <w:b w:val="0"/>
          <w:sz w:val="22"/>
          <w:szCs w:val="22"/>
        </w:rPr>
        <w:t>.1.2</w:t>
      </w:r>
      <w:r w:rsidR="0075431F" w:rsidRPr="00C743FB">
        <w:rPr>
          <w:rFonts w:asciiTheme="minorHAnsi" w:hAnsiTheme="minorHAnsi" w:cstheme="minorHAnsi"/>
          <w:b w:val="0"/>
          <w:sz w:val="22"/>
          <w:szCs w:val="22"/>
        </w:rPr>
        <w:t xml:space="preserve"> Te goeder trouw</w:t>
      </w:r>
    </w:p>
    <w:p w:rsidR="0075431F" w:rsidRPr="00C743FB" w:rsidRDefault="00EC7149" w:rsidP="0075431F">
      <w:pPr>
        <w:jc w:val="left"/>
        <w:rPr>
          <w:rFonts w:asciiTheme="minorHAnsi" w:hAnsiTheme="minorHAnsi" w:cstheme="minorHAnsi"/>
          <w:sz w:val="22"/>
          <w:szCs w:val="22"/>
        </w:rPr>
      </w:pPr>
      <w:r w:rsidRPr="00C743FB">
        <w:rPr>
          <w:rFonts w:asciiTheme="minorHAnsi" w:hAnsiTheme="minorHAnsi" w:cstheme="minorHAnsi"/>
          <w:b w:val="0"/>
          <w:sz w:val="22"/>
          <w:szCs w:val="22"/>
        </w:rPr>
        <w:t>Een andere belangrijke bepaling in de Faillissementswet is a</w:t>
      </w:r>
      <w:r w:rsidR="0075431F" w:rsidRPr="00C743FB">
        <w:rPr>
          <w:rFonts w:asciiTheme="minorHAnsi" w:hAnsiTheme="minorHAnsi" w:cstheme="minorHAnsi"/>
          <w:b w:val="0"/>
          <w:sz w:val="22"/>
          <w:szCs w:val="22"/>
        </w:rPr>
        <w:t xml:space="preserve">rtikel 54 </w:t>
      </w:r>
      <w:proofErr w:type="spellStart"/>
      <w:r w:rsidR="0075431F" w:rsidRPr="00C743FB">
        <w:rPr>
          <w:rFonts w:asciiTheme="minorHAnsi" w:hAnsiTheme="minorHAnsi" w:cstheme="minorHAnsi"/>
          <w:b w:val="0"/>
          <w:sz w:val="22"/>
          <w:szCs w:val="22"/>
        </w:rPr>
        <w:t>Fw</w:t>
      </w:r>
      <w:proofErr w:type="spellEnd"/>
      <w:r w:rsidR="00D84DB4" w:rsidRPr="00C743FB">
        <w:rPr>
          <w:rFonts w:asciiTheme="minorHAnsi" w:hAnsiTheme="minorHAnsi" w:cstheme="minorHAnsi"/>
          <w:b w:val="0"/>
          <w:sz w:val="22"/>
          <w:szCs w:val="22"/>
        </w:rPr>
        <w:t>. Dit artikel</w:t>
      </w:r>
      <w:r w:rsidR="0075431F" w:rsidRPr="00C743FB">
        <w:rPr>
          <w:rFonts w:asciiTheme="minorHAnsi" w:hAnsiTheme="minorHAnsi" w:cstheme="minorHAnsi"/>
          <w:b w:val="0"/>
          <w:sz w:val="22"/>
          <w:szCs w:val="22"/>
        </w:rPr>
        <w:t xml:space="preserve"> bepaalt dat ‘degene die een schuld aan de gefailleerde of een vordering op de gefailleerde vóór de faillietverklaring van een derde heeft overgenomen, niet bevoegd tot verrekening is, indien hij bij de overneming niet te goeder trouw heeft gehandeld.’ Om aan artikel 54 </w:t>
      </w:r>
      <w:proofErr w:type="spellStart"/>
      <w:r w:rsidR="0075431F" w:rsidRPr="00C743FB">
        <w:rPr>
          <w:rFonts w:asciiTheme="minorHAnsi" w:hAnsiTheme="minorHAnsi" w:cstheme="minorHAnsi"/>
          <w:b w:val="0"/>
          <w:sz w:val="22"/>
          <w:szCs w:val="22"/>
        </w:rPr>
        <w:t>Fw</w:t>
      </w:r>
      <w:proofErr w:type="spellEnd"/>
      <w:r w:rsidR="0075431F" w:rsidRPr="00C743FB">
        <w:rPr>
          <w:rFonts w:asciiTheme="minorHAnsi" w:hAnsiTheme="minorHAnsi" w:cstheme="minorHAnsi"/>
          <w:b w:val="0"/>
          <w:sz w:val="22"/>
          <w:szCs w:val="22"/>
        </w:rPr>
        <w:t xml:space="preserve"> toe te komen dient allereerst te worden voldaan aan de regels uit artikel 53 </w:t>
      </w:r>
      <w:proofErr w:type="spellStart"/>
      <w:r w:rsidR="0075431F" w:rsidRPr="00C743FB">
        <w:rPr>
          <w:rFonts w:asciiTheme="minorHAnsi" w:hAnsiTheme="minorHAnsi" w:cstheme="minorHAnsi"/>
          <w:b w:val="0"/>
          <w:sz w:val="22"/>
          <w:szCs w:val="22"/>
        </w:rPr>
        <w:t>Fw</w:t>
      </w:r>
      <w:proofErr w:type="spellEnd"/>
      <w:r w:rsidR="0075431F" w:rsidRPr="00C743FB">
        <w:rPr>
          <w:rFonts w:asciiTheme="minorHAnsi" w:hAnsiTheme="minorHAnsi" w:cstheme="minorHAnsi"/>
          <w:b w:val="0"/>
          <w:sz w:val="22"/>
          <w:szCs w:val="22"/>
        </w:rPr>
        <w:t>, dus de Rabobank dient zowel schuldenaar als schuldeiser te zijn en de schuld en vordering dienen uit handelingen voorafgaand aan het faillissement te zijn ontstaan.</w:t>
      </w:r>
      <w:r w:rsidR="0075431F" w:rsidRPr="00C743FB">
        <w:rPr>
          <w:rStyle w:val="Voetnootmarkering"/>
          <w:rFonts w:asciiTheme="minorHAnsi" w:hAnsiTheme="minorHAnsi" w:cstheme="minorHAnsi"/>
          <w:b w:val="0"/>
          <w:sz w:val="22"/>
          <w:szCs w:val="22"/>
        </w:rPr>
        <w:footnoteReference w:id="86"/>
      </w:r>
    </w:p>
    <w:p w:rsidR="0075431F" w:rsidRPr="00C743FB" w:rsidRDefault="0075431F" w:rsidP="0075431F">
      <w:pPr>
        <w:jc w:val="left"/>
        <w:rPr>
          <w:rFonts w:asciiTheme="minorHAnsi" w:hAnsiTheme="minorHAnsi" w:cstheme="minorHAnsi"/>
          <w:b w:val="0"/>
          <w:sz w:val="22"/>
          <w:szCs w:val="22"/>
        </w:rPr>
      </w:pPr>
    </w:p>
    <w:p w:rsidR="0075431F" w:rsidRPr="00C743FB" w:rsidRDefault="0075431F" w:rsidP="0075431F">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Wat artikel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zegt komt erop neer dat een schuldeiser geen </w:t>
      </w:r>
      <w:proofErr w:type="spellStart"/>
      <w:r w:rsidRPr="00C743FB">
        <w:rPr>
          <w:rFonts w:asciiTheme="minorHAnsi" w:hAnsiTheme="minorHAnsi" w:cstheme="minorHAnsi"/>
          <w:b w:val="0"/>
          <w:sz w:val="22"/>
          <w:szCs w:val="22"/>
        </w:rPr>
        <w:t>verrekeningspositie</w:t>
      </w:r>
      <w:proofErr w:type="spellEnd"/>
      <w:r w:rsidRPr="00C743FB">
        <w:rPr>
          <w:rFonts w:asciiTheme="minorHAnsi" w:hAnsiTheme="minorHAnsi" w:cstheme="minorHAnsi"/>
          <w:b w:val="0"/>
          <w:sz w:val="22"/>
          <w:szCs w:val="22"/>
        </w:rPr>
        <w:t xml:space="preserve"> in het zicht van een faillissement mag creëren om zodoende een gunstige positie in het faillissement te verwerven. Dit artikel draagt er zorg voor om misbruik voorafgaand aan een faillissement tegen te gaan.</w:t>
      </w:r>
      <w:r w:rsidRPr="00C743FB">
        <w:rPr>
          <w:rStyle w:val="Voetnootmarkering"/>
          <w:rFonts w:asciiTheme="minorHAnsi" w:hAnsiTheme="minorHAnsi" w:cstheme="minorHAnsi"/>
          <w:b w:val="0"/>
          <w:sz w:val="22"/>
          <w:szCs w:val="22"/>
        </w:rPr>
        <w:footnoteReference w:id="87"/>
      </w:r>
      <w:r w:rsidRPr="00C743FB">
        <w:rPr>
          <w:rFonts w:asciiTheme="minorHAnsi" w:hAnsiTheme="minorHAnsi" w:cstheme="minorHAnsi"/>
          <w:b w:val="0"/>
          <w:sz w:val="22"/>
          <w:szCs w:val="22"/>
        </w:rPr>
        <w:t xml:space="preserve"> </w:t>
      </w:r>
      <w:r w:rsidRPr="00C743FB">
        <w:rPr>
          <w:rStyle w:val="Voetnootmarkering"/>
          <w:rFonts w:asciiTheme="minorHAnsi" w:hAnsiTheme="minorHAnsi" w:cstheme="minorHAnsi"/>
          <w:b w:val="0"/>
          <w:sz w:val="22"/>
          <w:szCs w:val="22"/>
        </w:rPr>
        <w:footnoteReference w:id="88"/>
      </w:r>
      <w:r w:rsidRPr="00C743FB">
        <w:rPr>
          <w:rFonts w:asciiTheme="minorHAnsi" w:hAnsiTheme="minorHAnsi" w:cstheme="minorHAnsi"/>
          <w:b w:val="0"/>
          <w:sz w:val="22"/>
          <w:szCs w:val="22"/>
        </w:rPr>
        <w:t xml:space="preserve"> In het arrest Rabobank/</w:t>
      </w:r>
      <w:proofErr w:type="spellStart"/>
      <w:r w:rsidRPr="00C743FB">
        <w:rPr>
          <w:rFonts w:asciiTheme="minorHAnsi" w:hAnsiTheme="minorHAnsi" w:cstheme="minorHAnsi"/>
          <w:b w:val="0"/>
          <w:sz w:val="22"/>
          <w:szCs w:val="22"/>
        </w:rPr>
        <w:t>Kézér</w:t>
      </w:r>
      <w:proofErr w:type="spellEnd"/>
      <w:r w:rsidRPr="00C743FB">
        <w:rPr>
          <w:rFonts w:asciiTheme="minorHAnsi" w:hAnsiTheme="minorHAnsi" w:cstheme="minorHAnsi"/>
          <w:b w:val="0"/>
          <w:sz w:val="22"/>
          <w:szCs w:val="22"/>
        </w:rPr>
        <w:t xml:space="preserve"> q.q. wordt artikel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te goeder trouw, aangehaald. Dit arrest benadrukt dat zelfs als het faillissement nog niet is aangevraagd, de bank, indien zij wist dat een faillissement te verwachten was, niet mag verrekenen op basis van het niet te goeder trouw zijn.</w:t>
      </w:r>
      <w:r w:rsidRPr="00C743FB">
        <w:rPr>
          <w:rStyle w:val="Voetnootmarkering"/>
          <w:rFonts w:asciiTheme="minorHAnsi" w:hAnsiTheme="minorHAnsi" w:cstheme="minorHAnsi"/>
          <w:b w:val="0"/>
          <w:sz w:val="22"/>
          <w:szCs w:val="22"/>
        </w:rPr>
        <w:footnoteReference w:id="89"/>
      </w:r>
      <w:r w:rsidRPr="00C743FB">
        <w:rPr>
          <w:rFonts w:asciiTheme="minorHAnsi" w:hAnsiTheme="minorHAnsi" w:cstheme="minorHAnsi"/>
          <w:b w:val="0"/>
          <w:sz w:val="22"/>
          <w:szCs w:val="22"/>
        </w:rPr>
        <w:t xml:space="preserve"> Echter, volgens </w:t>
      </w:r>
      <w:proofErr w:type="spellStart"/>
      <w:r w:rsidRPr="00C743FB">
        <w:rPr>
          <w:rFonts w:asciiTheme="minorHAnsi" w:hAnsiTheme="minorHAnsi" w:cstheme="minorHAnsi"/>
          <w:b w:val="0"/>
          <w:sz w:val="22"/>
          <w:szCs w:val="22"/>
        </w:rPr>
        <w:t>Kortmann</w:t>
      </w:r>
      <w:proofErr w:type="spellEnd"/>
      <w:r w:rsidRPr="00C743FB">
        <w:rPr>
          <w:rFonts w:asciiTheme="minorHAnsi" w:hAnsiTheme="minorHAnsi" w:cstheme="minorHAnsi"/>
          <w:b w:val="0"/>
          <w:sz w:val="22"/>
          <w:szCs w:val="22"/>
        </w:rPr>
        <w:t xml:space="preserve"> is artikel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niet van toepassing indien het verrekenen niet tot benadeling van andere schuldeiser leidt.</w:t>
      </w:r>
      <w:r w:rsidRPr="00C743FB">
        <w:rPr>
          <w:rStyle w:val="Voetnootmarkering"/>
          <w:rFonts w:asciiTheme="minorHAnsi" w:hAnsiTheme="minorHAnsi" w:cstheme="minorHAnsi"/>
          <w:b w:val="0"/>
          <w:sz w:val="22"/>
          <w:szCs w:val="22"/>
        </w:rPr>
        <w:footnoteReference w:id="90"/>
      </w:r>
    </w:p>
    <w:p w:rsidR="0075431F" w:rsidRPr="00C743FB" w:rsidRDefault="0075431F" w:rsidP="0075431F">
      <w:pPr>
        <w:jc w:val="left"/>
        <w:rPr>
          <w:rFonts w:asciiTheme="minorHAnsi" w:hAnsiTheme="minorHAnsi" w:cstheme="minorHAnsi"/>
          <w:b w:val="0"/>
          <w:sz w:val="22"/>
          <w:szCs w:val="22"/>
        </w:rPr>
      </w:pPr>
    </w:p>
    <w:p w:rsidR="0075431F" w:rsidRPr="00C743FB" w:rsidRDefault="0075431F" w:rsidP="0075431F">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Er zijn nog een aantal onduidelijkheden aan artikel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Hoe zit het namelijk met overname van vorderingen van derden na faillietverklaring. Dit mag volgens </w:t>
      </w:r>
      <w:proofErr w:type="spellStart"/>
      <w:r w:rsidRPr="00C743FB">
        <w:rPr>
          <w:rFonts w:asciiTheme="minorHAnsi" w:hAnsiTheme="minorHAnsi" w:cstheme="minorHAnsi"/>
          <w:b w:val="0"/>
          <w:sz w:val="22"/>
          <w:szCs w:val="22"/>
        </w:rPr>
        <w:t>Verdaas</w:t>
      </w:r>
      <w:proofErr w:type="spellEnd"/>
      <w:r w:rsidRPr="00C743FB">
        <w:rPr>
          <w:rFonts w:asciiTheme="minorHAnsi" w:hAnsiTheme="minorHAnsi" w:cstheme="minorHAnsi"/>
          <w:b w:val="0"/>
          <w:sz w:val="22"/>
          <w:szCs w:val="22"/>
        </w:rPr>
        <w:t xml:space="preserve"> in geen enkel opzicht, of diegene die de vordering overneemt nu wel of niet te goeder trouw is/was. Daarnaast kan uit artikel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niet worden afgeleid hoe het zit met verrekening van overgenomen vorderingen voor faillietverklaring. De mogelijkheid tot verrekenen van overgenomen vorderingen voor faillietverklaring werd duidelijk op 19 november2004. De Hoge Raad oordeelde destijds namelijk dat verrekening van niet te goeder trouw overgenomen vorderingen voor het faillissement tevens niet is geoorloofd.</w:t>
      </w:r>
      <w:r w:rsidRPr="00C743FB">
        <w:rPr>
          <w:rStyle w:val="Voetnootmarkering"/>
          <w:rFonts w:asciiTheme="minorHAnsi" w:hAnsiTheme="minorHAnsi" w:cstheme="minorHAnsi"/>
          <w:b w:val="0"/>
          <w:sz w:val="22"/>
          <w:szCs w:val="22"/>
        </w:rPr>
        <w:footnoteReference w:id="91"/>
      </w:r>
      <w:r w:rsidRPr="00C743FB">
        <w:rPr>
          <w:rFonts w:asciiTheme="minorHAnsi" w:hAnsiTheme="minorHAnsi" w:cstheme="minorHAnsi"/>
          <w:b w:val="0"/>
          <w:sz w:val="22"/>
          <w:szCs w:val="22"/>
        </w:rPr>
        <w:t xml:space="preserve"> </w:t>
      </w:r>
      <w:r w:rsidRPr="00C743FB">
        <w:rPr>
          <w:rStyle w:val="Voetnootmarkering"/>
          <w:rFonts w:asciiTheme="minorHAnsi" w:hAnsiTheme="minorHAnsi" w:cstheme="minorHAnsi"/>
          <w:b w:val="0"/>
          <w:sz w:val="22"/>
          <w:szCs w:val="22"/>
        </w:rPr>
        <w:footnoteReference w:id="92"/>
      </w:r>
    </w:p>
    <w:p w:rsidR="0075431F" w:rsidRPr="00C743FB" w:rsidRDefault="0075431F" w:rsidP="0075431F">
      <w:pPr>
        <w:jc w:val="left"/>
        <w:rPr>
          <w:rFonts w:asciiTheme="minorHAnsi" w:hAnsiTheme="minorHAnsi" w:cstheme="minorHAnsi"/>
          <w:b w:val="0"/>
          <w:sz w:val="22"/>
          <w:szCs w:val="22"/>
        </w:rPr>
      </w:pPr>
    </w:p>
    <w:p w:rsidR="0075431F" w:rsidRPr="00C743FB" w:rsidRDefault="0075431F" w:rsidP="0075431F">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Artikel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heeft het over ‘overneming’ van vorderingen van derden. Dit begrip kan ruimer worden uitgelegd dan het overnemen van een vordering of schuld van een derde. Het op een andere manier creëren van een verrekeningsbevoegdheid dan door overneming wordt tevens gezien als overneming in de zin van artikel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w:t>
      </w:r>
      <w:r w:rsidRPr="00C743FB">
        <w:rPr>
          <w:rStyle w:val="Voetnootmarkering"/>
          <w:rFonts w:asciiTheme="minorHAnsi" w:hAnsiTheme="minorHAnsi" w:cstheme="minorHAnsi"/>
          <w:b w:val="0"/>
          <w:sz w:val="22"/>
          <w:szCs w:val="22"/>
        </w:rPr>
        <w:footnoteReference w:id="93"/>
      </w:r>
      <w:r w:rsidRPr="00C743FB">
        <w:rPr>
          <w:rFonts w:asciiTheme="minorHAnsi" w:hAnsiTheme="minorHAnsi" w:cstheme="minorHAnsi"/>
          <w:b w:val="0"/>
          <w:sz w:val="22"/>
          <w:szCs w:val="22"/>
        </w:rPr>
        <w:t xml:space="preserve"> Het vestigen van een pandrecht is ook een manier om een verrekeningsbevoegdheid te creëren in het zicht van een faillissement en lijkt dus tevens onder artikel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te vallen.</w:t>
      </w:r>
    </w:p>
    <w:p w:rsidR="0075431F" w:rsidRPr="00C743FB" w:rsidRDefault="0075431F" w:rsidP="0075431F">
      <w:pPr>
        <w:jc w:val="left"/>
        <w:rPr>
          <w:rFonts w:asciiTheme="minorHAnsi" w:hAnsiTheme="minorHAnsi" w:cstheme="minorHAnsi"/>
          <w:b w:val="0"/>
          <w:sz w:val="22"/>
          <w:szCs w:val="22"/>
        </w:rPr>
      </w:pPr>
    </w:p>
    <w:p w:rsidR="0075431F" w:rsidRPr="00C743FB" w:rsidRDefault="0075431F" w:rsidP="0075431F">
      <w:pPr>
        <w:jc w:val="left"/>
        <w:rPr>
          <w:rFonts w:asciiTheme="minorHAnsi" w:hAnsiTheme="minorHAnsi" w:cstheme="minorHAnsi"/>
          <w:b w:val="0"/>
          <w:color w:val="FF0000"/>
          <w:sz w:val="22"/>
          <w:szCs w:val="22"/>
        </w:rPr>
      </w:pPr>
      <w:r w:rsidRPr="00C743FB">
        <w:rPr>
          <w:rFonts w:asciiTheme="minorHAnsi" w:hAnsiTheme="minorHAnsi" w:cstheme="minorHAnsi"/>
          <w:b w:val="0"/>
          <w:sz w:val="22"/>
          <w:szCs w:val="22"/>
        </w:rPr>
        <w:t xml:space="preserve">Kortgezegd bepaalt artikel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dat het vestigen van pandrechten om een verrekeningsbevoegdheid te creëren in het zicht van een faillissement niet geoorloofd is. De Rabobank in de casus is </w:t>
      </w:r>
      <w:r w:rsidR="00D279A0" w:rsidRPr="00C743FB">
        <w:rPr>
          <w:rFonts w:asciiTheme="minorHAnsi" w:hAnsiTheme="minorHAnsi" w:cstheme="minorHAnsi"/>
          <w:b w:val="0"/>
          <w:sz w:val="22"/>
          <w:szCs w:val="22"/>
        </w:rPr>
        <w:t xml:space="preserve">immers </w:t>
      </w:r>
      <w:r w:rsidRPr="00C743FB">
        <w:rPr>
          <w:rFonts w:asciiTheme="minorHAnsi" w:hAnsiTheme="minorHAnsi" w:cstheme="minorHAnsi"/>
          <w:b w:val="0"/>
          <w:sz w:val="22"/>
          <w:szCs w:val="22"/>
        </w:rPr>
        <w:t xml:space="preserve">op de hoogte van het komende faillissement van de schoenenwinkel en vestigt zodoende niet te goeder trouw pandrechten om voor zichzelf een </w:t>
      </w:r>
      <w:proofErr w:type="spellStart"/>
      <w:r w:rsidRPr="00C743FB">
        <w:rPr>
          <w:rFonts w:asciiTheme="minorHAnsi" w:hAnsiTheme="minorHAnsi" w:cstheme="minorHAnsi"/>
          <w:b w:val="0"/>
          <w:sz w:val="22"/>
          <w:szCs w:val="22"/>
        </w:rPr>
        <w:t>verrekeningspositie</w:t>
      </w:r>
      <w:proofErr w:type="spellEnd"/>
      <w:r w:rsidRPr="00C743FB">
        <w:rPr>
          <w:rFonts w:asciiTheme="minorHAnsi" w:hAnsiTheme="minorHAnsi" w:cstheme="minorHAnsi"/>
          <w:b w:val="0"/>
          <w:sz w:val="22"/>
          <w:szCs w:val="22"/>
        </w:rPr>
        <w:t xml:space="preserve"> te creëren.</w:t>
      </w:r>
    </w:p>
    <w:p w:rsidR="0075431F" w:rsidRPr="00C743FB" w:rsidRDefault="0075431F" w:rsidP="00777539">
      <w:pPr>
        <w:jc w:val="left"/>
        <w:rPr>
          <w:rFonts w:asciiTheme="minorHAnsi" w:hAnsiTheme="minorHAnsi" w:cstheme="minorHAnsi"/>
          <w:b w:val="0"/>
          <w:sz w:val="22"/>
          <w:szCs w:val="22"/>
        </w:rPr>
      </w:pPr>
    </w:p>
    <w:p w:rsidR="00777539" w:rsidRPr="00C743FB" w:rsidRDefault="00777539"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De rechtspraak geeft verduidelijking over wanneer dan wel verrekend mag worden in het zicht van een faillissement. Het arr</w:t>
      </w:r>
      <w:r w:rsidR="00852FA3" w:rsidRPr="00C743FB">
        <w:rPr>
          <w:rFonts w:asciiTheme="minorHAnsi" w:hAnsiTheme="minorHAnsi" w:cstheme="minorHAnsi"/>
          <w:b w:val="0"/>
          <w:sz w:val="22"/>
          <w:szCs w:val="22"/>
        </w:rPr>
        <w:t>est Mulder q.q./CLBN heeft immers bepaalt</w:t>
      </w:r>
      <w:r w:rsidRPr="00C743FB">
        <w:rPr>
          <w:rFonts w:asciiTheme="minorHAnsi" w:hAnsiTheme="minorHAnsi" w:cstheme="minorHAnsi"/>
          <w:b w:val="0"/>
          <w:sz w:val="22"/>
          <w:szCs w:val="22"/>
        </w:rPr>
        <w:t xml:space="preserve"> dat verrekenen in het zicht van </w:t>
      </w:r>
      <w:r w:rsidRPr="00C743FB">
        <w:rPr>
          <w:rFonts w:asciiTheme="minorHAnsi" w:hAnsiTheme="minorHAnsi" w:cstheme="minorHAnsi"/>
          <w:b w:val="0"/>
          <w:sz w:val="22"/>
          <w:szCs w:val="22"/>
        </w:rPr>
        <w:lastRenderedPageBreak/>
        <w:t>een faillissement niet mag, tenzij de bank die verrekent een stil pandrecht heeft op de betreffende vorderingen van de winkel.</w:t>
      </w:r>
      <w:r w:rsidRPr="00C743FB">
        <w:rPr>
          <w:rStyle w:val="Voetnootmarkering"/>
          <w:rFonts w:asciiTheme="minorHAnsi" w:hAnsiTheme="minorHAnsi" w:cstheme="minorHAnsi"/>
          <w:b w:val="0"/>
          <w:sz w:val="22"/>
          <w:szCs w:val="22"/>
        </w:rPr>
        <w:footnoteReference w:id="94"/>
      </w:r>
      <w:r w:rsidRPr="00C743FB">
        <w:rPr>
          <w:rFonts w:asciiTheme="minorHAnsi" w:hAnsiTheme="minorHAnsi" w:cstheme="minorHAnsi"/>
          <w:b w:val="0"/>
          <w:sz w:val="22"/>
          <w:szCs w:val="22"/>
        </w:rPr>
        <w:t xml:space="preserve"> </w:t>
      </w:r>
      <w:r w:rsidRPr="00C743FB">
        <w:rPr>
          <w:rStyle w:val="Voetnootmarkering"/>
          <w:rFonts w:asciiTheme="minorHAnsi" w:hAnsiTheme="minorHAnsi" w:cstheme="minorHAnsi"/>
          <w:b w:val="0"/>
          <w:sz w:val="22"/>
          <w:szCs w:val="22"/>
        </w:rPr>
        <w:footnoteReference w:id="95"/>
      </w:r>
      <w:r w:rsidRPr="00C743FB">
        <w:rPr>
          <w:rFonts w:asciiTheme="minorHAnsi" w:hAnsiTheme="minorHAnsi" w:cstheme="minorHAnsi"/>
          <w:b w:val="0"/>
          <w:sz w:val="22"/>
          <w:szCs w:val="22"/>
        </w:rPr>
        <w:t xml:space="preserve"> </w:t>
      </w:r>
    </w:p>
    <w:p w:rsidR="00777539" w:rsidRPr="00C743FB" w:rsidRDefault="00777539" w:rsidP="00777539">
      <w:pPr>
        <w:jc w:val="left"/>
        <w:rPr>
          <w:rFonts w:asciiTheme="minorHAnsi" w:hAnsiTheme="minorHAnsi" w:cstheme="minorHAnsi"/>
          <w:b w:val="0"/>
          <w:sz w:val="22"/>
          <w:szCs w:val="22"/>
        </w:rPr>
      </w:pPr>
    </w:p>
    <w:p w:rsidR="00777539" w:rsidRPr="00C743FB" w:rsidRDefault="00F56D90" w:rsidP="00777539">
      <w:pPr>
        <w:jc w:val="left"/>
        <w:rPr>
          <w:rFonts w:asciiTheme="minorHAnsi" w:hAnsiTheme="minorHAnsi" w:cstheme="minorHAnsi"/>
          <w:b w:val="0"/>
          <w:sz w:val="22"/>
          <w:szCs w:val="22"/>
          <w:u w:val="single"/>
        </w:rPr>
      </w:pPr>
      <w:r w:rsidRPr="00C743FB">
        <w:rPr>
          <w:rFonts w:asciiTheme="minorHAnsi" w:hAnsiTheme="minorHAnsi" w:cstheme="minorHAnsi"/>
          <w:b w:val="0"/>
          <w:sz w:val="22"/>
          <w:szCs w:val="22"/>
          <w:u w:val="single"/>
        </w:rPr>
        <w:t>§3</w:t>
      </w:r>
      <w:r w:rsidR="00777539" w:rsidRPr="00C743FB">
        <w:rPr>
          <w:rFonts w:asciiTheme="minorHAnsi" w:hAnsiTheme="minorHAnsi" w:cstheme="minorHAnsi"/>
          <w:b w:val="0"/>
          <w:sz w:val="22"/>
          <w:szCs w:val="22"/>
          <w:u w:val="single"/>
        </w:rPr>
        <w:t>.2 Vestigen pandrecht</w:t>
      </w:r>
    </w:p>
    <w:p w:rsidR="007910F3" w:rsidRPr="00C743FB" w:rsidRDefault="00777539"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Het hebben van een pandrecht is dus een vereiste voor het kunnen verrekenen in het zicht van een faillissement. Echter, kan er überhaupt een pandrecht worden gevestigd in het zicht van een faillissement</w:t>
      </w:r>
      <w:r w:rsidR="004D0A22" w:rsidRPr="00C743FB">
        <w:rPr>
          <w:rFonts w:asciiTheme="minorHAnsi" w:hAnsiTheme="minorHAnsi" w:cstheme="minorHAnsi"/>
          <w:b w:val="0"/>
          <w:sz w:val="22"/>
          <w:szCs w:val="22"/>
        </w:rPr>
        <w:t xml:space="preserve">. Het  </w:t>
      </w:r>
      <w:r w:rsidRPr="00C743FB">
        <w:rPr>
          <w:rFonts w:asciiTheme="minorHAnsi" w:hAnsiTheme="minorHAnsi" w:cstheme="minorHAnsi"/>
          <w:b w:val="0"/>
          <w:sz w:val="22"/>
          <w:szCs w:val="22"/>
        </w:rPr>
        <w:t xml:space="preserve">arrest Mulder </w:t>
      </w:r>
      <w:r w:rsidR="004D0A22" w:rsidRPr="00C743FB">
        <w:rPr>
          <w:rFonts w:asciiTheme="minorHAnsi" w:hAnsiTheme="minorHAnsi" w:cstheme="minorHAnsi"/>
          <w:b w:val="0"/>
          <w:sz w:val="22"/>
          <w:szCs w:val="22"/>
        </w:rPr>
        <w:t>bepaalt inderdaad dat men mag verrekenen in het zicht van een faillissement indien men stille pandrechten heeft, maar zegt niet dat er nieuwe pandrechten gevestigd mogen worden in het zicht van een faillissement. Daar komt bij dat d</w:t>
      </w:r>
      <w:r w:rsidR="00B758CE" w:rsidRPr="00C743FB">
        <w:rPr>
          <w:rFonts w:asciiTheme="minorHAnsi" w:hAnsiTheme="minorHAnsi" w:cstheme="minorHAnsi"/>
          <w:b w:val="0"/>
          <w:sz w:val="22"/>
          <w:szCs w:val="22"/>
        </w:rPr>
        <w:t xml:space="preserve">e artikelen 47 en 54 </w:t>
      </w:r>
      <w:proofErr w:type="spellStart"/>
      <w:r w:rsidR="00B758CE" w:rsidRPr="00C743FB">
        <w:rPr>
          <w:rFonts w:asciiTheme="minorHAnsi" w:hAnsiTheme="minorHAnsi" w:cstheme="minorHAnsi"/>
          <w:b w:val="0"/>
          <w:sz w:val="22"/>
          <w:szCs w:val="22"/>
        </w:rPr>
        <w:t>Fw</w:t>
      </w:r>
      <w:proofErr w:type="spellEnd"/>
      <w:r w:rsidR="00B758CE" w:rsidRPr="00C743FB">
        <w:rPr>
          <w:rFonts w:asciiTheme="minorHAnsi" w:hAnsiTheme="minorHAnsi" w:cstheme="minorHAnsi"/>
          <w:b w:val="0"/>
          <w:sz w:val="22"/>
          <w:szCs w:val="22"/>
        </w:rPr>
        <w:t xml:space="preserve"> bepalen dat er geen verrekeningsbevoegdheden in het zicht van een faillissement gecreëerd mogen worden</w:t>
      </w:r>
      <w:r w:rsidRPr="00C743FB">
        <w:rPr>
          <w:rFonts w:asciiTheme="minorHAnsi" w:hAnsiTheme="minorHAnsi" w:cstheme="minorHAnsi"/>
          <w:b w:val="0"/>
          <w:sz w:val="22"/>
          <w:szCs w:val="22"/>
        </w:rPr>
        <w:t>.</w:t>
      </w:r>
    </w:p>
    <w:p w:rsidR="007910F3" w:rsidRPr="00C743FB" w:rsidRDefault="007910F3" w:rsidP="00777539">
      <w:pPr>
        <w:jc w:val="left"/>
        <w:rPr>
          <w:rFonts w:asciiTheme="minorHAnsi" w:hAnsiTheme="minorHAnsi" w:cstheme="minorHAnsi"/>
          <w:b w:val="0"/>
          <w:sz w:val="22"/>
          <w:szCs w:val="22"/>
        </w:rPr>
      </w:pPr>
    </w:p>
    <w:p w:rsidR="007178BC" w:rsidRPr="00C743FB" w:rsidRDefault="00BB085B" w:rsidP="00BB085B">
      <w:pPr>
        <w:jc w:val="left"/>
        <w:rPr>
          <w:rFonts w:asciiTheme="minorHAnsi" w:hAnsiTheme="minorHAnsi" w:cstheme="minorHAnsi"/>
          <w:b w:val="0"/>
          <w:sz w:val="22"/>
          <w:szCs w:val="22"/>
        </w:rPr>
      </w:pPr>
      <w:r w:rsidRPr="00C743FB">
        <w:rPr>
          <w:rFonts w:asciiTheme="minorHAnsi" w:hAnsiTheme="minorHAnsi" w:cstheme="minorHAnsi"/>
          <w:b w:val="0"/>
          <w:sz w:val="22"/>
          <w:szCs w:val="22"/>
        </w:rPr>
        <w:t>De enige handelingen die in het zicht van een faillissement verricht mogen worden zijn verplichte rechtshandelingen.</w:t>
      </w:r>
      <w:r w:rsidR="007178BC" w:rsidRPr="00C743FB">
        <w:rPr>
          <w:rFonts w:asciiTheme="minorHAnsi" w:hAnsiTheme="minorHAnsi" w:cstheme="minorHAnsi"/>
          <w:b w:val="0"/>
          <w:sz w:val="22"/>
          <w:szCs w:val="22"/>
        </w:rPr>
        <w:t xml:space="preserve"> </w:t>
      </w:r>
      <w:r w:rsidR="00777539" w:rsidRPr="00C743FB">
        <w:rPr>
          <w:rFonts w:asciiTheme="minorHAnsi" w:hAnsiTheme="minorHAnsi" w:cstheme="minorHAnsi"/>
          <w:b w:val="0"/>
          <w:sz w:val="22"/>
          <w:szCs w:val="22"/>
        </w:rPr>
        <w:t xml:space="preserve">De rechter heeft op 1 februari 2013 bepaald dat een verplichte rechtshandeling alleen kan worden vernietigd als er sprake is van een </w:t>
      </w:r>
      <w:proofErr w:type="spellStart"/>
      <w:r w:rsidR="00777539" w:rsidRPr="00C743FB">
        <w:rPr>
          <w:rFonts w:asciiTheme="minorHAnsi" w:hAnsiTheme="minorHAnsi" w:cstheme="minorHAnsi"/>
          <w:b w:val="0"/>
          <w:sz w:val="22"/>
          <w:szCs w:val="22"/>
        </w:rPr>
        <w:t>actio</w:t>
      </w:r>
      <w:proofErr w:type="spellEnd"/>
      <w:r w:rsidR="00777539" w:rsidRPr="00C743FB">
        <w:rPr>
          <w:rFonts w:asciiTheme="minorHAnsi" w:hAnsiTheme="minorHAnsi" w:cstheme="minorHAnsi"/>
          <w:b w:val="0"/>
          <w:sz w:val="22"/>
          <w:szCs w:val="22"/>
        </w:rPr>
        <w:t xml:space="preserve"> </w:t>
      </w:r>
      <w:proofErr w:type="spellStart"/>
      <w:r w:rsidR="00777539" w:rsidRPr="00C743FB">
        <w:rPr>
          <w:rFonts w:asciiTheme="minorHAnsi" w:hAnsiTheme="minorHAnsi" w:cstheme="minorHAnsi"/>
          <w:b w:val="0"/>
          <w:sz w:val="22"/>
          <w:szCs w:val="22"/>
        </w:rPr>
        <w:t>pauliana</w:t>
      </w:r>
      <w:proofErr w:type="spellEnd"/>
      <w:r w:rsidR="00777539" w:rsidRPr="00C743FB">
        <w:rPr>
          <w:rFonts w:asciiTheme="minorHAnsi" w:hAnsiTheme="minorHAnsi" w:cstheme="minorHAnsi"/>
          <w:b w:val="0"/>
          <w:sz w:val="22"/>
          <w:szCs w:val="22"/>
        </w:rPr>
        <w:t xml:space="preserve">, artikel 47 </w:t>
      </w:r>
      <w:proofErr w:type="spellStart"/>
      <w:r w:rsidR="00777539" w:rsidRPr="00C743FB">
        <w:rPr>
          <w:rFonts w:asciiTheme="minorHAnsi" w:hAnsiTheme="minorHAnsi" w:cstheme="minorHAnsi"/>
          <w:b w:val="0"/>
          <w:sz w:val="22"/>
          <w:szCs w:val="22"/>
        </w:rPr>
        <w:t>Fw</w:t>
      </w:r>
      <w:proofErr w:type="spellEnd"/>
      <w:r w:rsidR="00777539" w:rsidRPr="00C743FB">
        <w:rPr>
          <w:rFonts w:asciiTheme="minorHAnsi" w:hAnsiTheme="minorHAnsi" w:cstheme="minorHAnsi"/>
          <w:b w:val="0"/>
          <w:sz w:val="22"/>
          <w:szCs w:val="22"/>
        </w:rPr>
        <w:t xml:space="preserve">. </w:t>
      </w:r>
      <w:r w:rsidR="007178BC" w:rsidRPr="00C743FB">
        <w:rPr>
          <w:rFonts w:asciiTheme="minorHAnsi" w:hAnsiTheme="minorHAnsi" w:cstheme="minorHAnsi"/>
          <w:b w:val="0"/>
          <w:sz w:val="22"/>
          <w:szCs w:val="22"/>
        </w:rPr>
        <w:t xml:space="preserve">De situatie wordt daarom getoetst aan het criterium van ‘wetenschap van de faillissementsaanvraag’. Er wordt aan dit criterium voldaan als </w:t>
      </w:r>
      <w:r w:rsidR="00777539" w:rsidRPr="00C743FB">
        <w:rPr>
          <w:rFonts w:asciiTheme="minorHAnsi" w:hAnsiTheme="minorHAnsi" w:cstheme="minorHAnsi"/>
          <w:b w:val="0"/>
          <w:sz w:val="22"/>
          <w:szCs w:val="22"/>
        </w:rPr>
        <w:t xml:space="preserve">de </w:t>
      </w:r>
      <w:r w:rsidR="007E100E" w:rsidRPr="00C743FB">
        <w:rPr>
          <w:rFonts w:asciiTheme="minorHAnsi" w:hAnsiTheme="minorHAnsi" w:cstheme="minorHAnsi"/>
          <w:b w:val="0"/>
          <w:sz w:val="22"/>
          <w:szCs w:val="22"/>
        </w:rPr>
        <w:t>pandhouder</w:t>
      </w:r>
      <w:r w:rsidR="00777539" w:rsidRPr="00C743FB">
        <w:rPr>
          <w:rFonts w:asciiTheme="minorHAnsi" w:hAnsiTheme="minorHAnsi" w:cstheme="minorHAnsi"/>
          <w:b w:val="0"/>
          <w:sz w:val="22"/>
          <w:szCs w:val="22"/>
        </w:rPr>
        <w:t xml:space="preserve"> wist van de faillissementsaanvraag van de </w:t>
      </w:r>
      <w:r w:rsidR="007E100E" w:rsidRPr="00C743FB">
        <w:rPr>
          <w:rFonts w:asciiTheme="minorHAnsi" w:hAnsiTheme="minorHAnsi" w:cstheme="minorHAnsi"/>
          <w:b w:val="0"/>
          <w:sz w:val="22"/>
          <w:szCs w:val="22"/>
        </w:rPr>
        <w:t>pandgever</w:t>
      </w:r>
      <w:r w:rsidR="00777539" w:rsidRPr="00C743FB">
        <w:rPr>
          <w:rFonts w:asciiTheme="minorHAnsi" w:hAnsiTheme="minorHAnsi" w:cstheme="minorHAnsi"/>
          <w:b w:val="0"/>
          <w:sz w:val="22"/>
          <w:szCs w:val="22"/>
        </w:rPr>
        <w:t xml:space="preserve"> of als er sprake was van overleg tussen de </w:t>
      </w:r>
      <w:r w:rsidR="007178BC" w:rsidRPr="00C743FB">
        <w:rPr>
          <w:rFonts w:asciiTheme="minorHAnsi" w:hAnsiTheme="minorHAnsi" w:cstheme="minorHAnsi"/>
          <w:b w:val="0"/>
          <w:sz w:val="22"/>
          <w:szCs w:val="22"/>
        </w:rPr>
        <w:t>pandgever</w:t>
      </w:r>
      <w:r w:rsidR="00777539" w:rsidRPr="00C743FB">
        <w:rPr>
          <w:rFonts w:asciiTheme="minorHAnsi" w:hAnsiTheme="minorHAnsi" w:cstheme="minorHAnsi"/>
          <w:b w:val="0"/>
          <w:sz w:val="22"/>
          <w:szCs w:val="22"/>
        </w:rPr>
        <w:t xml:space="preserve"> en de </w:t>
      </w:r>
      <w:r w:rsidR="00FF41D0" w:rsidRPr="00C743FB">
        <w:rPr>
          <w:rFonts w:asciiTheme="minorHAnsi" w:hAnsiTheme="minorHAnsi" w:cstheme="minorHAnsi"/>
          <w:b w:val="0"/>
          <w:sz w:val="22"/>
          <w:szCs w:val="22"/>
        </w:rPr>
        <w:t>pandhouder</w:t>
      </w:r>
      <w:r w:rsidR="00777539" w:rsidRPr="00C743FB">
        <w:rPr>
          <w:rFonts w:asciiTheme="minorHAnsi" w:hAnsiTheme="minorHAnsi" w:cstheme="minorHAnsi"/>
          <w:b w:val="0"/>
          <w:sz w:val="22"/>
          <w:szCs w:val="22"/>
        </w:rPr>
        <w:t xml:space="preserve"> om de </w:t>
      </w:r>
      <w:r w:rsidR="00FF41D0" w:rsidRPr="00C743FB">
        <w:rPr>
          <w:rFonts w:asciiTheme="minorHAnsi" w:hAnsiTheme="minorHAnsi" w:cstheme="minorHAnsi"/>
          <w:b w:val="0"/>
          <w:sz w:val="22"/>
          <w:szCs w:val="22"/>
        </w:rPr>
        <w:t>pandhouder</w:t>
      </w:r>
      <w:r w:rsidR="00777539" w:rsidRPr="00C743FB">
        <w:rPr>
          <w:rFonts w:asciiTheme="minorHAnsi" w:hAnsiTheme="minorHAnsi" w:cstheme="minorHAnsi"/>
          <w:b w:val="0"/>
          <w:sz w:val="22"/>
          <w:szCs w:val="22"/>
        </w:rPr>
        <w:t xml:space="preserve"> ten </w:t>
      </w:r>
      <w:proofErr w:type="spellStart"/>
      <w:r w:rsidR="00777539" w:rsidRPr="00C743FB">
        <w:rPr>
          <w:rFonts w:asciiTheme="minorHAnsi" w:hAnsiTheme="minorHAnsi" w:cstheme="minorHAnsi"/>
          <w:b w:val="0"/>
          <w:sz w:val="22"/>
          <w:szCs w:val="22"/>
        </w:rPr>
        <w:t>nadele</w:t>
      </w:r>
      <w:proofErr w:type="spellEnd"/>
      <w:r w:rsidR="00777539" w:rsidRPr="00C743FB">
        <w:rPr>
          <w:rFonts w:asciiTheme="minorHAnsi" w:hAnsiTheme="minorHAnsi" w:cstheme="minorHAnsi"/>
          <w:b w:val="0"/>
          <w:sz w:val="22"/>
          <w:szCs w:val="22"/>
        </w:rPr>
        <w:t xml:space="preserve"> van andere schuldeisers te bevoordelen. </w:t>
      </w:r>
    </w:p>
    <w:p w:rsidR="007178BC" w:rsidRPr="00C743FB" w:rsidRDefault="007178BC" w:rsidP="00BB085B">
      <w:pPr>
        <w:jc w:val="left"/>
        <w:rPr>
          <w:rFonts w:asciiTheme="minorHAnsi" w:hAnsiTheme="minorHAnsi" w:cstheme="minorHAnsi"/>
          <w:b w:val="0"/>
          <w:sz w:val="22"/>
          <w:szCs w:val="22"/>
        </w:rPr>
      </w:pPr>
    </w:p>
    <w:p w:rsidR="00BA4B4C" w:rsidRPr="00C743FB" w:rsidRDefault="007178BC" w:rsidP="00BB085B">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Wat valt dan precies onder een verplichte rechtshandeling. </w:t>
      </w:r>
      <w:r w:rsidR="00777539" w:rsidRPr="00C743FB">
        <w:rPr>
          <w:rFonts w:asciiTheme="minorHAnsi" w:hAnsiTheme="minorHAnsi" w:cstheme="minorHAnsi"/>
          <w:b w:val="0"/>
          <w:sz w:val="22"/>
          <w:szCs w:val="22"/>
        </w:rPr>
        <w:t xml:space="preserve">De </w:t>
      </w:r>
      <w:r w:rsidRPr="00C743FB">
        <w:rPr>
          <w:rFonts w:asciiTheme="minorHAnsi" w:hAnsiTheme="minorHAnsi" w:cstheme="minorHAnsi"/>
          <w:b w:val="0"/>
          <w:sz w:val="22"/>
          <w:szCs w:val="22"/>
        </w:rPr>
        <w:t>Hoge Raad</w:t>
      </w:r>
      <w:r w:rsidR="00777539" w:rsidRPr="00C743FB">
        <w:rPr>
          <w:rFonts w:asciiTheme="minorHAnsi" w:hAnsiTheme="minorHAnsi" w:cstheme="minorHAnsi"/>
          <w:b w:val="0"/>
          <w:sz w:val="22"/>
          <w:szCs w:val="22"/>
        </w:rPr>
        <w:t xml:space="preserve"> </w:t>
      </w:r>
      <w:r w:rsidRPr="00C743FB">
        <w:rPr>
          <w:rFonts w:asciiTheme="minorHAnsi" w:hAnsiTheme="minorHAnsi" w:cstheme="minorHAnsi"/>
          <w:b w:val="0"/>
          <w:sz w:val="22"/>
          <w:szCs w:val="22"/>
        </w:rPr>
        <w:t xml:space="preserve">heeft </w:t>
      </w:r>
      <w:r w:rsidR="00BA4B4C" w:rsidRPr="00C743FB">
        <w:rPr>
          <w:rFonts w:asciiTheme="minorHAnsi" w:hAnsiTheme="minorHAnsi" w:cstheme="minorHAnsi"/>
          <w:b w:val="0"/>
          <w:sz w:val="22"/>
          <w:szCs w:val="22"/>
        </w:rPr>
        <w:t xml:space="preserve">in het betreffende arrest </w:t>
      </w:r>
      <w:r w:rsidR="00777539" w:rsidRPr="00C743FB">
        <w:rPr>
          <w:rFonts w:asciiTheme="minorHAnsi" w:hAnsiTheme="minorHAnsi" w:cstheme="minorHAnsi"/>
          <w:b w:val="0"/>
          <w:sz w:val="22"/>
          <w:szCs w:val="22"/>
        </w:rPr>
        <w:t>bepaalt dat verpanden volgens een verzamelpandakte</w:t>
      </w:r>
      <w:r w:rsidRPr="00C743FB">
        <w:rPr>
          <w:rFonts w:asciiTheme="minorHAnsi" w:hAnsiTheme="minorHAnsi" w:cstheme="minorHAnsi"/>
          <w:b w:val="0"/>
          <w:sz w:val="22"/>
          <w:szCs w:val="22"/>
        </w:rPr>
        <w:t xml:space="preserve"> een</w:t>
      </w:r>
      <w:r w:rsidR="00777539" w:rsidRPr="00C743FB">
        <w:rPr>
          <w:rFonts w:asciiTheme="minorHAnsi" w:hAnsiTheme="minorHAnsi" w:cstheme="minorHAnsi"/>
          <w:b w:val="0"/>
          <w:sz w:val="22"/>
          <w:szCs w:val="22"/>
        </w:rPr>
        <w:t xml:space="preserve"> </w:t>
      </w:r>
      <w:r w:rsidRPr="00C743FB">
        <w:rPr>
          <w:rFonts w:asciiTheme="minorHAnsi" w:hAnsiTheme="minorHAnsi" w:cstheme="minorHAnsi"/>
          <w:b w:val="0"/>
          <w:sz w:val="22"/>
          <w:szCs w:val="22"/>
        </w:rPr>
        <w:t>verplichte rechtshandeling is</w:t>
      </w:r>
      <w:r w:rsidR="00777539" w:rsidRPr="00C743FB">
        <w:rPr>
          <w:rFonts w:asciiTheme="minorHAnsi" w:hAnsiTheme="minorHAnsi" w:cstheme="minorHAnsi"/>
          <w:b w:val="0"/>
          <w:sz w:val="22"/>
          <w:szCs w:val="22"/>
        </w:rPr>
        <w:t xml:space="preserve">, zoals benoemd in artikel 42 </w:t>
      </w:r>
      <w:proofErr w:type="spellStart"/>
      <w:r w:rsidR="00777539" w:rsidRPr="00C743FB">
        <w:rPr>
          <w:rFonts w:asciiTheme="minorHAnsi" w:hAnsiTheme="minorHAnsi" w:cstheme="minorHAnsi"/>
          <w:b w:val="0"/>
          <w:sz w:val="22"/>
          <w:szCs w:val="22"/>
        </w:rPr>
        <w:t>Fw</w:t>
      </w:r>
      <w:proofErr w:type="spellEnd"/>
      <w:r w:rsidR="00777539" w:rsidRPr="00C743FB">
        <w:rPr>
          <w:rFonts w:asciiTheme="minorHAnsi" w:hAnsiTheme="minorHAnsi" w:cstheme="minorHAnsi"/>
          <w:b w:val="0"/>
          <w:sz w:val="22"/>
          <w:szCs w:val="22"/>
        </w:rPr>
        <w:t xml:space="preserve">. </w:t>
      </w:r>
      <w:r w:rsidRPr="00C743FB">
        <w:rPr>
          <w:rFonts w:asciiTheme="minorHAnsi" w:hAnsiTheme="minorHAnsi" w:cstheme="minorHAnsi"/>
          <w:b w:val="0"/>
          <w:sz w:val="22"/>
          <w:szCs w:val="22"/>
        </w:rPr>
        <w:t>De Hoge Raad zegt dat de volmachtsverlening in een verzamelpandakte geen verplichte rechtshandeling is, maar dat de verpanding zelf als gevolg van de volmacht wel een verplichte rechtshandeling is. Echter, er speelt nog veel onduidelijkheid over dit onderwerp en er dient meer jurisprudentie over te komen om duidelijkheid te creëren.</w:t>
      </w:r>
      <w:r w:rsidR="00BA4B4C" w:rsidRPr="00C743FB">
        <w:rPr>
          <w:rFonts w:asciiTheme="minorHAnsi" w:hAnsiTheme="minorHAnsi" w:cstheme="minorHAnsi"/>
          <w:b w:val="0"/>
          <w:sz w:val="22"/>
          <w:szCs w:val="22"/>
        </w:rPr>
        <w:t xml:space="preserve"> Wat wel duidelijk is </w:t>
      </w:r>
      <w:proofErr w:type="spellStart"/>
      <w:r w:rsidR="00BA4B4C" w:rsidRPr="00C743FB">
        <w:rPr>
          <w:rFonts w:asciiTheme="minorHAnsi" w:hAnsiTheme="minorHAnsi" w:cstheme="minorHAnsi"/>
          <w:b w:val="0"/>
          <w:sz w:val="22"/>
          <w:szCs w:val="22"/>
        </w:rPr>
        <w:t>is</w:t>
      </w:r>
      <w:proofErr w:type="spellEnd"/>
      <w:r w:rsidR="00BA4B4C" w:rsidRPr="00C743FB">
        <w:rPr>
          <w:rFonts w:asciiTheme="minorHAnsi" w:hAnsiTheme="minorHAnsi" w:cstheme="minorHAnsi"/>
          <w:b w:val="0"/>
          <w:sz w:val="22"/>
          <w:szCs w:val="22"/>
        </w:rPr>
        <w:t xml:space="preserve"> dat alleen verplichte rechtshandelingen in het zicht van een faillissement uitgevoerd mogen worden. </w:t>
      </w:r>
      <w:r w:rsidR="00777539" w:rsidRPr="00C743FB">
        <w:rPr>
          <w:rFonts w:asciiTheme="minorHAnsi" w:hAnsiTheme="minorHAnsi" w:cstheme="minorHAnsi"/>
          <w:b w:val="0"/>
          <w:sz w:val="22"/>
          <w:szCs w:val="22"/>
        </w:rPr>
        <w:t xml:space="preserve">Een onverplichte rechtshandeling in het zicht van het faillissement kan door de curator </w:t>
      </w:r>
      <w:r w:rsidRPr="00C743FB">
        <w:rPr>
          <w:rFonts w:asciiTheme="minorHAnsi" w:hAnsiTheme="minorHAnsi" w:cstheme="minorHAnsi"/>
          <w:b w:val="0"/>
          <w:sz w:val="22"/>
          <w:szCs w:val="22"/>
        </w:rPr>
        <w:t xml:space="preserve">immers </w:t>
      </w:r>
      <w:r w:rsidR="00BA4B4C" w:rsidRPr="00C743FB">
        <w:rPr>
          <w:rFonts w:asciiTheme="minorHAnsi" w:hAnsiTheme="minorHAnsi" w:cstheme="minorHAnsi"/>
          <w:b w:val="0"/>
          <w:sz w:val="22"/>
          <w:szCs w:val="22"/>
        </w:rPr>
        <w:t>worden vernietigd.</w:t>
      </w:r>
      <w:r w:rsidR="00777539" w:rsidRPr="00C743FB">
        <w:rPr>
          <w:rStyle w:val="Voetnootmarkering"/>
          <w:rFonts w:asciiTheme="minorHAnsi" w:hAnsiTheme="minorHAnsi" w:cstheme="minorHAnsi"/>
          <w:b w:val="0"/>
          <w:sz w:val="22"/>
          <w:szCs w:val="22"/>
        </w:rPr>
        <w:footnoteReference w:id="96"/>
      </w:r>
      <w:r w:rsidR="00777539" w:rsidRPr="00C743FB">
        <w:rPr>
          <w:rFonts w:asciiTheme="minorHAnsi" w:hAnsiTheme="minorHAnsi" w:cstheme="minorHAnsi"/>
          <w:b w:val="0"/>
          <w:sz w:val="22"/>
          <w:szCs w:val="22"/>
        </w:rPr>
        <w:t xml:space="preserve"> </w:t>
      </w:r>
      <w:r w:rsidR="00777539" w:rsidRPr="00C743FB">
        <w:rPr>
          <w:rStyle w:val="Voetnootmarkering"/>
          <w:rFonts w:asciiTheme="minorHAnsi" w:hAnsiTheme="minorHAnsi" w:cstheme="minorHAnsi"/>
          <w:b w:val="0"/>
          <w:sz w:val="22"/>
          <w:szCs w:val="22"/>
        </w:rPr>
        <w:footnoteReference w:id="97"/>
      </w:r>
      <w:r w:rsidR="00777539" w:rsidRPr="00C743FB">
        <w:rPr>
          <w:rFonts w:asciiTheme="minorHAnsi" w:hAnsiTheme="minorHAnsi" w:cstheme="minorHAnsi"/>
          <w:b w:val="0"/>
          <w:sz w:val="22"/>
          <w:szCs w:val="22"/>
        </w:rPr>
        <w:t xml:space="preserve"> </w:t>
      </w:r>
    </w:p>
    <w:p w:rsidR="00BA4B4C" w:rsidRPr="00C743FB" w:rsidRDefault="00BA4B4C" w:rsidP="00BB085B">
      <w:pPr>
        <w:jc w:val="left"/>
        <w:rPr>
          <w:rFonts w:asciiTheme="minorHAnsi" w:hAnsiTheme="minorHAnsi" w:cstheme="minorHAnsi"/>
          <w:b w:val="0"/>
          <w:sz w:val="22"/>
          <w:szCs w:val="22"/>
        </w:rPr>
      </w:pPr>
    </w:p>
    <w:p w:rsidR="00777539" w:rsidRPr="00C743FB" w:rsidRDefault="00777539" w:rsidP="006F1AB8">
      <w:pPr>
        <w:jc w:val="left"/>
        <w:rPr>
          <w:rFonts w:asciiTheme="minorHAnsi" w:hAnsiTheme="minorHAnsi" w:cstheme="minorHAnsi"/>
          <w:b w:val="0"/>
          <w:sz w:val="22"/>
          <w:szCs w:val="22"/>
        </w:rPr>
      </w:pPr>
      <w:r w:rsidRPr="00C743FB">
        <w:rPr>
          <w:rFonts w:asciiTheme="minorHAnsi" w:hAnsiTheme="minorHAnsi" w:cstheme="minorHAnsi"/>
          <w:b w:val="0"/>
          <w:sz w:val="22"/>
          <w:szCs w:val="22"/>
        </w:rPr>
        <w:t>Wat hieruit wel naar voren komt is dat het vestigen van een verzamelpa</w:t>
      </w:r>
      <w:r w:rsidR="00BA4B4C" w:rsidRPr="00C743FB">
        <w:rPr>
          <w:rFonts w:asciiTheme="minorHAnsi" w:hAnsiTheme="minorHAnsi" w:cstheme="minorHAnsi"/>
          <w:b w:val="0"/>
          <w:sz w:val="22"/>
          <w:szCs w:val="22"/>
        </w:rPr>
        <w:t>ndakte door een bank die op de hoogte is van de</w:t>
      </w:r>
      <w:r w:rsidRPr="00C743FB">
        <w:rPr>
          <w:rFonts w:asciiTheme="minorHAnsi" w:hAnsiTheme="minorHAnsi" w:cstheme="minorHAnsi"/>
          <w:b w:val="0"/>
          <w:sz w:val="22"/>
          <w:szCs w:val="22"/>
        </w:rPr>
        <w:t xml:space="preserve"> faillissement</w:t>
      </w:r>
      <w:r w:rsidR="00BA4B4C" w:rsidRPr="00C743FB">
        <w:rPr>
          <w:rFonts w:asciiTheme="minorHAnsi" w:hAnsiTheme="minorHAnsi" w:cstheme="minorHAnsi"/>
          <w:b w:val="0"/>
          <w:sz w:val="22"/>
          <w:szCs w:val="22"/>
        </w:rPr>
        <w:t>saanvraag</w:t>
      </w:r>
      <w:r w:rsidRPr="00C743FB">
        <w:rPr>
          <w:rFonts w:asciiTheme="minorHAnsi" w:hAnsiTheme="minorHAnsi" w:cstheme="minorHAnsi"/>
          <w:b w:val="0"/>
          <w:sz w:val="22"/>
          <w:szCs w:val="22"/>
        </w:rPr>
        <w:t xml:space="preserve"> niet mag. </w:t>
      </w:r>
      <w:r w:rsidR="00007A13" w:rsidRPr="00C743FB">
        <w:rPr>
          <w:rFonts w:asciiTheme="minorHAnsi" w:hAnsiTheme="minorHAnsi" w:cstheme="minorHAnsi"/>
          <w:b w:val="0"/>
          <w:sz w:val="22"/>
          <w:szCs w:val="22"/>
        </w:rPr>
        <w:t>Enkel het vestigen van pandrechten ten gevolge van de volmacht in de verzamelpandakte is mogelijk, maar dit is nog niet geheel duidelijk. Stel,</w:t>
      </w:r>
      <w:r w:rsidRPr="00C743FB">
        <w:rPr>
          <w:rFonts w:asciiTheme="minorHAnsi" w:hAnsiTheme="minorHAnsi" w:cstheme="minorHAnsi"/>
          <w:b w:val="0"/>
          <w:sz w:val="22"/>
          <w:szCs w:val="22"/>
        </w:rPr>
        <w:t xml:space="preserve"> het vestigen van een pandrecht</w:t>
      </w:r>
      <w:r w:rsidR="00007A13" w:rsidRPr="00C743FB">
        <w:rPr>
          <w:rFonts w:asciiTheme="minorHAnsi" w:hAnsiTheme="minorHAnsi" w:cstheme="minorHAnsi"/>
          <w:b w:val="0"/>
          <w:sz w:val="22"/>
          <w:szCs w:val="22"/>
        </w:rPr>
        <w:t xml:space="preserve"> als gevolg van een verzamelpandakte is</w:t>
      </w:r>
      <w:r w:rsidRPr="00C743FB">
        <w:rPr>
          <w:rFonts w:asciiTheme="minorHAnsi" w:hAnsiTheme="minorHAnsi" w:cstheme="minorHAnsi"/>
          <w:b w:val="0"/>
          <w:sz w:val="22"/>
          <w:szCs w:val="22"/>
        </w:rPr>
        <w:t xml:space="preserve"> e</w:t>
      </w:r>
      <w:r w:rsidR="00007A13" w:rsidRPr="00C743FB">
        <w:rPr>
          <w:rFonts w:asciiTheme="minorHAnsi" w:hAnsiTheme="minorHAnsi" w:cstheme="minorHAnsi"/>
          <w:b w:val="0"/>
          <w:sz w:val="22"/>
          <w:szCs w:val="22"/>
        </w:rPr>
        <w:t>en verplichte rechtshandeling,</w:t>
      </w:r>
      <w:r w:rsidRPr="00C743FB">
        <w:rPr>
          <w:rFonts w:asciiTheme="minorHAnsi" w:hAnsiTheme="minorHAnsi" w:cstheme="minorHAnsi"/>
          <w:b w:val="0"/>
          <w:sz w:val="22"/>
          <w:szCs w:val="22"/>
        </w:rPr>
        <w:t xml:space="preserve"> </w:t>
      </w:r>
      <w:r w:rsidR="00007A13" w:rsidRPr="00C743FB">
        <w:rPr>
          <w:rFonts w:asciiTheme="minorHAnsi" w:hAnsiTheme="minorHAnsi" w:cstheme="minorHAnsi"/>
          <w:b w:val="0"/>
          <w:sz w:val="22"/>
          <w:szCs w:val="22"/>
        </w:rPr>
        <w:t xml:space="preserve">dan mag </w:t>
      </w:r>
      <w:r w:rsidRPr="00C743FB">
        <w:rPr>
          <w:rFonts w:asciiTheme="minorHAnsi" w:hAnsiTheme="minorHAnsi" w:cstheme="minorHAnsi"/>
          <w:b w:val="0"/>
          <w:sz w:val="22"/>
          <w:szCs w:val="22"/>
        </w:rPr>
        <w:t xml:space="preserve">de bank niet op de hoogte zijn van </w:t>
      </w:r>
      <w:r w:rsidR="00007A13" w:rsidRPr="00C743FB">
        <w:rPr>
          <w:rFonts w:asciiTheme="minorHAnsi" w:hAnsiTheme="minorHAnsi" w:cstheme="minorHAnsi"/>
          <w:b w:val="0"/>
          <w:sz w:val="22"/>
          <w:szCs w:val="22"/>
        </w:rPr>
        <w:t>de</w:t>
      </w:r>
      <w:r w:rsidRPr="00C743FB">
        <w:rPr>
          <w:rFonts w:asciiTheme="minorHAnsi" w:hAnsiTheme="minorHAnsi" w:cstheme="minorHAnsi"/>
          <w:b w:val="0"/>
          <w:sz w:val="22"/>
          <w:szCs w:val="22"/>
        </w:rPr>
        <w:t xml:space="preserve"> faillissement</w:t>
      </w:r>
      <w:r w:rsidR="00007A13" w:rsidRPr="00C743FB">
        <w:rPr>
          <w:rFonts w:asciiTheme="minorHAnsi" w:hAnsiTheme="minorHAnsi" w:cstheme="minorHAnsi"/>
          <w:b w:val="0"/>
          <w:sz w:val="22"/>
          <w:szCs w:val="22"/>
        </w:rPr>
        <w:t>saanvraag. Stel, het vestigen van zo een pandrecht is</w:t>
      </w:r>
      <w:r w:rsidRPr="00C743FB">
        <w:rPr>
          <w:rFonts w:asciiTheme="minorHAnsi" w:hAnsiTheme="minorHAnsi" w:cstheme="minorHAnsi"/>
          <w:b w:val="0"/>
          <w:sz w:val="22"/>
          <w:szCs w:val="22"/>
        </w:rPr>
        <w:t xml:space="preserve"> e</w:t>
      </w:r>
      <w:r w:rsidR="00007A13" w:rsidRPr="00C743FB">
        <w:rPr>
          <w:rFonts w:asciiTheme="minorHAnsi" w:hAnsiTheme="minorHAnsi" w:cstheme="minorHAnsi"/>
          <w:b w:val="0"/>
          <w:sz w:val="22"/>
          <w:szCs w:val="22"/>
        </w:rPr>
        <w:t>en onverplichte rechtshandeling</w:t>
      </w:r>
      <w:r w:rsidRPr="00C743FB">
        <w:rPr>
          <w:rFonts w:asciiTheme="minorHAnsi" w:hAnsiTheme="minorHAnsi" w:cstheme="minorHAnsi"/>
          <w:b w:val="0"/>
          <w:sz w:val="22"/>
          <w:szCs w:val="22"/>
        </w:rPr>
        <w:t xml:space="preserve">, dan mag het vestigen van het pandrecht überhaupt niet. </w:t>
      </w:r>
      <w:r w:rsidR="006F1AB8" w:rsidRPr="00C743FB">
        <w:rPr>
          <w:rFonts w:asciiTheme="minorHAnsi" w:hAnsiTheme="minorHAnsi" w:cstheme="minorHAnsi"/>
          <w:b w:val="0"/>
          <w:sz w:val="22"/>
          <w:szCs w:val="22"/>
        </w:rPr>
        <w:t xml:space="preserve">In ieder geval mag een </w:t>
      </w:r>
      <w:r w:rsidR="00FF41D0" w:rsidRPr="00C743FB">
        <w:rPr>
          <w:rFonts w:asciiTheme="minorHAnsi" w:hAnsiTheme="minorHAnsi" w:cstheme="minorHAnsi"/>
          <w:b w:val="0"/>
          <w:sz w:val="22"/>
          <w:szCs w:val="22"/>
        </w:rPr>
        <w:t>pandhouder</w:t>
      </w:r>
      <w:r w:rsidR="006F1AB8" w:rsidRPr="00C743FB">
        <w:rPr>
          <w:rFonts w:asciiTheme="minorHAnsi" w:hAnsiTheme="minorHAnsi" w:cstheme="minorHAnsi"/>
          <w:b w:val="0"/>
          <w:sz w:val="22"/>
          <w:szCs w:val="22"/>
        </w:rPr>
        <w:t xml:space="preserve"> niet op de hoogte zijn van de faillissementsaanvraag indien hij pandrechten wil vestigen, zelfs niet als het vestigen van deze pandrechten verplichte rechtshandelingen zouden zijn.</w:t>
      </w:r>
    </w:p>
    <w:p w:rsidR="00777539" w:rsidRPr="00C743FB" w:rsidRDefault="00777539" w:rsidP="00777539">
      <w:pPr>
        <w:jc w:val="left"/>
        <w:rPr>
          <w:rFonts w:asciiTheme="minorHAnsi" w:hAnsiTheme="minorHAnsi" w:cstheme="minorHAnsi"/>
          <w:b w:val="0"/>
          <w:sz w:val="22"/>
          <w:szCs w:val="22"/>
        </w:rPr>
      </w:pPr>
    </w:p>
    <w:p w:rsidR="00777539" w:rsidRPr="00C743FB" w:rsidRDefault="00777539" w:rsidP="00777539">
      <w:pPr>
        <w:jc w:val="left"/>
        <w:rPr>
          <w:rFonts w:asciiTheme="minorHAnsi" w:hAnsiTheme="minorHAnsi" w:cstheme="minorHAnsi"/>
          <w:b w:val="0"/>
          <w:sz w:val="22"/>
          <w:szCs w:val="22"/>
          <w:u w:val="single"/>
        </w:rPr>
      </w:pPr>
      <w:r w:rsidRPr="00C743FB">
        <w:rPr>
          <w:rFonts w:asciiTheme="minorHAnsi" w:hAnsiTheme="minorHAnsi" w:cstheme="minorHAnsi"/>
          <w:b w:val="0"/>
          <w:sz w:val="22"/>
          <w:szCs w:val="22"/>
          <w:u w:val="single"/>
        </w:rPr>
        <w:t>§</w:t>
      </w:r>
      <w:r w:rsidR="00F56D90" w:rsidRPr="00C743FB">
        <w:rPr>
          <w:rFonts w:asciiTheme="minorHAnsi" w:hAnsiTheme="minorHAnsi" w:cstheme="minorHAnsi"/>
          <w:b w:val="0"/>
          <w:sz w:val="22"/>
          <w:szCs w:val="22"/>
          <w:u w:val="single"/>
        </w:rPr>
        <w:t>3</w:t>
      </w:r>
      <w:r w:rsidRPr="00C743FB">
        <w:rPr>
          <w:rFonts w:asciiTheme="minorHAnsi" w:hAnsiTheme="minorHAnsi" w:cstheme="minorHAnsi"/>
          <w:b w:val="0"/>
          <w:sz w:val="22"/>
          <w:szCs w:val="22"/>
          <w:u w:val="single"/>
        </w:rPr>
        <w:t>.3 Kortom</w:t>
      </w:r>
    </w:p>
    <w:p w:rsidR="00B31123" w:rsidRPr="00C743FB" w:rsidRDefault="00D559BB"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De</w:t>
      </w:r>
      <w:r w:rsidR="00777539" w:rsidRPr="00C743FB">
        <w:rPr>
          <w:rFonts w:asciiTheme="minorHAnsi" w:hAnsiTheme="minorHAnsi" w:cstheme="minorHAnsi"/>
          <w:b w:val="0"/>
          <w:sz w:val="22"/>
          <w:szCs w:val="22"/>
        </w:rPr>
        <w:t xml:space="preserve"> </w:t>
      </w:r>
      <w:proofErr w:type="spellStart"/>
      <w:r w:rsidR="00777539" w:rsidRPr="00C743FB">
        <w:rPr>
          <w:rFonts w:asciiTheme="minorHAnsi" w:hAnsiTheme="minorHAnsi" w:cstheme="minorHAnsi"/>
          <w:b w:val="0"/>
          <w:sz w:val="22"/>
          <w:szCs w:val="22"/>
        </w:rPr>
        <w:t>verrekeningsmogelijkheden</w:t>
      </w:r>
      <w:proofErr w:type="spellEnd"/>
      <w:r w:rsidR="00777539" w:rsidRPr="00C743FB">
        <w:rPr>
          <w:rFonts w:asciiTheme="minorHAnsi" w:hAnsiTheme="minorHAnsi" w:cstheme="minorHAnsi"/>
          <w:b w:val="0"/>
          <w:sz w:val="22"/>
          <w:szCs w:val="22"/>
        </w:rPr>
        <w:t xml:space="preserve"> in </w:t>
      </w:r>
      <w:r w:rsidRPr="00C743FB">
        <w:rPr>
          <w:rFonts w:asciiTheme="minorHAnsi" w:hAnsiTheme="minorHAnsi" w:cstheme="minorHAnsi"/>
          <w:b w:val="0"/>
          <w:sz w:val="22"/>
          <w:szCs w:val="22"/>
        </w:rPr>
        <w:t xml:space="preserve">het zicht van </w:t>
      </w:r>
      <w:r w:rsidR="00777539" w:rsidRPr="00C743FB">
        <w:rPr>
          <w:rFonts w:asciiTheme="minorHAnsi" w:hAnsiTheme="minorHAnsi" w:cstheme="minorHAnsi"/>
          <w:b w:val="0"/>
          <w:sz w:val="22"/>
          <w:szCs w:val="22"/>
        </w:rPr>
        <w:t xml:space="preserve">een faillissement zijn voor stil verpande vorderingen aanzienlijker dan voor niet-stil verpanden vorderingen. Indien een bank een stil pandrecht </w:t>
      </w:r>
      <w:r w:rsidR="00B31123" w:rsidRPr="00C743FB">
        <w:rPr>
          <w:rFonts w:asciiTheme="minorHAnsi" w:hAnsiTheme="minorHAnsi" w:cstheme="minorHAnsi"/>
          <w:b w:val="0"/>
          <w:sz w:val="22"/>
          <w:szCs w:val="22"/>
        </w:rPr>
        <w:t>heeft</w:t>
      </w:r>
      <w:r w:rsidR="00777539" w:rsidRPr="00C743FB">
        <w:rPr>
          <w:rFonts w:asciiTheme="minorHAnsi" w:hAnsiTheme="minorHAnsi" w:cstheme="minorHAnsi"/>
          <w:b w:val="0"/>
          <w:sz w:val="22"/>
          <w:szCs w:val="22"/>
        </w:rPr>
        <w:t xml:space="preserve"> op vorderingen, mag zij deze </w:t>
      </w:r>
      <w:r w:rsidR="00B31123" w:rsidRPr="00C743FB">
        <w:rPr>
          <w:rFonts w:asciiTheme="minorHAnsi" w:hAnsiTheme="minorHAnsi" w:cstheme="minorHAnsi"/>
          <w:b w:val="0"/>
          <w:sz w:val="22"/>
          <w:szCs w:val="22"/>
        </w:rPr>
        <w:t xml:space="preserve">verpande </w:t>
      </w:r>
      <w:r w:rsidR="00777539" w:rsidRPr="00C743FB">
        <w:rPr>
          <w:rFonts w:asciiTheme="minorHAnsi" w:hAnsiTheme="minorHAnsi" w:cstheme="minorHAnsi"/>
          <w:b w:val="0"/>
          <w:sz w:val="22"/>
          <w:szCs w:val="22"/>
        </w:rPr>
        <w:t xml:space="preserve">vorderingen, die worden voldaan met pinbetalingen, in het zicht van een faillissement verrekenen. </w:t>
      </w:r>
      <w:r w:rsidR="00B31123" w:rsidRPr="00C743FB">
        <w:rPr>
          <w:rFonts w:asciiTheme="minorHAnsi" w:hAnsiTheme="minorHAnsi" w:cstheme="minorHAnsi"/>
          <w:b w:val="0"/>
          <w:sz w:val="22"/>
          <w:szCs w:val="22"/>
        </w:rPr>
        <w:t>De vorderingen waar stille pandrechten op liggen kunnen echter teniet gaan</w:t>
      </w:r>
      <w:r w:rsidR="00777539" w:rsidRPr="00C743FB">
        <w:rPr>
          <w:rFonts w:asciiTheme="minorHAnsi" w:hAnsiTheme="minorHAnsi" w:cstheme="minorHAnsi"/>
          <w:b w:val="0"/>
          <w:sz w:val="22"/>
          <w:szCs w:val="22"/>
        </w:rPr>
        <w:t xml:space="preserve">. Het moment van teniet gaan van de vordering is de creditering van de pinbetaling op de rekening van de winkel. </w:t>
      </w:r>
      <w:r w:rsidR="00B31123" w:rsidRPr="00C743FB">
        <w:rPr>
          <w:rFonts w:asciiTheme="minorHAnsi" w:hAnsiTheme="minorHAnsi" w:cstheme="minorHAnsi"/>
          <w:b w:val="0"/>
          <w:sz w:val="22"/>
          <w:szCs w:val="22"/>
        </w:rPr>
        <w:t xml:space="preserve">Echter, ook al gaat het pandrecht teniet door betaling van de vordering </w:t>
      </w:r>
      <w:r w:rsidR="00B31123" w:rsidRPr="00C743FB">
        <w:rPr>
          <w:rFonts w:asciiTheme="minorHAnsi" w:hAnsiTheme="minorHAnsi" w:cstheme="minorHAnsi"/>
          <w:b w:val="0"/>
          <w:sz w:val="22"/>
          <w:szCs w:val="22"/>
        </w:rPr>
        <w:lastRenderedPageBreak/>
        <w:t xml:space="preserve">waarop het pandrecht ligt of door inning van de vordering door de curator, de </w:t>
      </w:r>
      <w:r w:rsidR="00FF41D0" w:rsidRPr="00C743FB">
        <w:rPr>
          <w:rFonts w:asciiTheme="minorHAnsi" w:hAnsiTheme="minorHAnsi" w:cstheme="minorHAnsi"/>
          <w:b w:val="0"/>
          <w:sz w:val="22"/>
          <w:szCs w:val="22"/>
        </w:rPr>
        <w:t>pandhouder</w:t>
      </w:r>
      <w:r w:rsidR="00B31123" w:rsidRPr="00C743FB">
        <w:rPr>
          <w:rFonts w:asciiTheme="minorHAnsi" w:hAnsiTheme="minorHAnsi" w:cstheme="minorHAnsi"/>
          <w:b w:val="0"/>
          <w:sz w:val="22"/>
          <w:szCs w:val="22"/>
        </w:rPr>
        <w:t xml:space="preserve"> blijft nog steeds  haar voorrang op de gelden behouden.</w:t>
      </w:r>
    </w:p>
    <w:p w:rsidR="00B31123" w:rsidRPr="00C743FB" w:rsidRDefault="00B31123" w:rsidP="00777539">
      <w:pPr>
        <w:jc w:val="left"/>
        <w:rPr>
          <w:rFonts w:asciiTheme="minorHAnsi" w:hAnsiTheme="minorHAnsi" w:cstheme="minorHAnsi"/>
          <w:b w:val="0"/>
          <w:sz w:val="22"/>
          <w:szCs w:val="22"/>
        </w:rPr>
      </w:pPr>
    </w:p>
    <w:p w:rsidR="00CA3BD8" w:rsidRPr="00C743FB" w:rsidRDefault="00777539"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Volgens het arrest Mulder q.q./CLBN kan verrekening in het zicht van een faillissement alleen met pandrechten die al bestonden voor de faillissementsaanvraag. </w:t>
      </w:r>
      <w:r w:rsidR="00CA3BD8" w:rsidRPr="00C743FB">
        <w:rPr>
          <w:rFonts w:asciiTheme="minorHAnsi" w:hAnsiTheme="minorHAnsi" w:cstheme="minorHAnsi"/>
          <w:b w:val="0"/>
          <w:sz w:val="22"/>
          <w:szCs w:val="22"/>
        </w:rPr>
        <w:t xml:space="preserve">De Rabobank in de casus vestigt echter nieuwe pandrechten </w:t>
      </w:r>
      <w:r w:rsidR="00542537" w:rsidRPr="00C743FB">
        <w:rPr>
          <w:rFonts w:asciiTheme="minorHAnsi" w:hAnsiTheme="minorHAnsi" w:cstheme="minorHAnsi"/>
          <w:b w:val="0"/>
          <w:sz w:val="22"/>
          <w:szCs w:val="22"/>
        </w:rPr>
        <w:t xml:space="preserve">op grond van haar verzamelpandakte </w:t>
      </w:r>
      <w:r w:rsidR="00CA3BD8" w:rsidRPr="00C743FB">
        <w:rPr>
          <w:rFonts w:asciiTheme="minorHAnsi" w:hAnsiTheme="minorHAnsi" w:cstheme="minorHAnsi"/>
          <w:b w:val="0"/>
          <w:sz w:val="22"/>
          <w:szCs w:val="22"/>
        </w:rPr>
        <w:t xml:space="preserve">om te kunnen verrekenen. </w:t>
      </w:r>
      <w:r w:rsidRPr="00C743FB">
        <w:rPr>
          <w:rFonts w:asciiTheme="minorHAnsi" w:hAnsiTheme="minorHAnsi" w:cstheme="minorHAnsi"/>
          <w:b w:val="0"/>
          <w:sz w:val="22"/>
          <w:szCs w:val="22"/>
        </w:rPr>
        <w:t xml:space="preserve">Een nieuw pandrecht kan alleen worden gevestigd indien het een verplichte rechtshandeling is. Indien er een volmacht is gegeven door de </w:t>
      </w:r>
      <w:r w:rsidR="00FF41D0" w:rsidRPr="00C743FB">
        <w:rPr>
          <w:rFonts w:asciiTheme="minorHAnsi" w:hAnsiTheme="minorHAnsi" w:cstheme="minorHAnsi"/>
          <w:b w:val="0"/>
          <w:sz w:val="22"/>
          <w:szCs w:val="22"/>
        </w:rPr>
        <w:t>pandgever</w:t>
      </w:r>
      <w:r w:rsidRPr="00C743FB">
        <w:rPr>
          <w:rFonts w:asciiTheme="minorHAnsi" w:hAnsiTheme="minorHAnsi" w:cstheme="minorHAnsi"/>
          <w:b w:val="0"/>
          <w:sz w:val="22"/>
          <w:szCs w:val="22"/>
        </w:rPr>
        <w:t xml:space="preserve"> om verzamelpandakten te kunnen vestigen, dan </w:t>
      </w:r>
      <w:r w:rsidR="00CA3BD8" w:rsidRPr="00C743FB">
        <w:rPr>
          <w:rFonts w:asciiTheme="minorHAnsi" w:hAnsiTheme="minorHAnsi" w:cstheme="minorHAnsi"/>
          <w:b w:val="0"/>
          <w:sz w:val="22"/>
          <w:szCs w:val="22"/>
        </w:rPr>
        <w:t>zal</w:t>
      </w:r>
      <w:r w:rsidRPr="00C743FB">
        <w:rPr>
          <w:rFonts w:asciiTheme="minorHAnsi" w:hAnsiTheme="minorHAnsi" w:cstheme="minorHAnsi"/>
          <w:b w:val="0"/>
          <w:sz w:val="22"/>
          <w:szCs w:val="22"/>
        </w:rPr>
        <w:t xml:space="preserve"> het v</w:t>
      </w:r>
      <w:r w:rsidR="00CA3BD8" w:rsidRPr="00C743FB">
        <w:rPr>
          <w:rFonts w:asciiTheme="minorHAnsi" w:hAnsiTheme="minorHAnsi" w:cstheme="minorHAnsi"/>
          <w:b w:val="0"/>
          <w:sz w:val="22"/>
          <w:szCs w:val="22"/>
        </w:rPr>
        <w:t>estigen van een pandrecht waarschijnlijk</w:t>
      </w:r>
      <w:r w:rsidRPr="00C743FB">
        <w:rPr>
          <w:rFonts w:asciiTheme="minorHAnsi" w:hAnsiTheme="minorHAnsi" w:cstheme="minorHAnsi"/>
          <w:b w:val="0"/>
          <w:sz w:val="22"/>
          <w:szCs w:val="22"/>
        </w:rPr>
        <w:t xml:space="preserve"> een verplichte rechtshandeling zijn. Echter, het kan het zo zijn dat een pandrecht helemaal niet gevestigd mag worden in het zicht van een faillissement, omdat het geen verplichte rechtshandeling is. De rechtspraak dient in de toekomst meer duidelijkheid te scheppen </w:t>
      </w:r>
      <w:r w:rsidR="00CA3BD8" w:rsidRPr="00C743FB">
        <w:rPr>
          <w:rFonts w:asciiTheme="minorHAnsi" w:hAnsiTheme="minorHAnsi" w:cstheme="minorHAnsi"/>
          <w:b w:val="0"/>
          <w:sz w:val="22"/>
          <w:szCs w:val="22"/>
        </w:rPr>
        <w:t>omtrent dit onderwerp.</w:t>
      </w:r>
    </w:p>
    <w:p w:rsidR="00CA3BD8" w:rsidRPr="00C743FB" w:rsidRDefault="00CA3BD8" w:rsidP="00777539">
      <w:pPr>
        <w:jc w:val="left"/>
        <w:rPr>
          <w:rFonts w:asciiTheme="minorHAnsi" w:hAnsiTheme="minorHAnsi" w:cstheme="minorHAnsi"/>
          <w:b w:val="0"/>
          <w:sz w:val="22"/>
          <w:szCs w:val="22"/>
        </w:rPr>
      </w:pPr>
    </w:p>
    <w:p w:rsidR="00777539" w:rsidRPr="00C743FB" w:rsidRDefault="00CA3BD8" w:rsidP="00777539">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Wat wel vaststaat is </w:t>
      </w:r>
      <w:r w:rsidR="00777539" w:rsidRPr="00C743FB">
        <w:rPr>
          <w:rFonts w:asciiTheme="minorHAnsi" w:hAnsiTheme="minorHAnsi" w:cstheme="minorHAnsi"/>
          <w:b w:val="0"/>
          <w:sz w:val="22"/>
          <w:szCs w:val="22"/>
        </w:rPr>
        <w:t xml:space="preserve">dat er bij kennis van het </w:t>
      </w:r>
      <w:r w:rsidR="00F11E35" w:rsidRPr="00C743FB">
        <w:rPr>
          <w:rFonts w:asciiTheme="minorHAnsi" w:hAnsiTheme="minorHAnsi" w:cstheme="minorHAnsi"/>
          <w:b w:val="0"/>
          <w:sz w:val="22"/>
          <w:szCs w:val="22"/>
        </w:rPr>
        <w:t>naderende</w:t>
      </w:r>
      <w:r w:rsidR="00777539" w:rsidRPr="00C743FB">
        <w:rPr>
          <w:rFonts w:asciiTheme="minorHAnsi" w:hAnsiTheme="minorHAnsi" w:cstheme="minorHAnsi"/>
          <w:b w:val="0"/>
          <w:sz w:val="22"/>
          <w:szCs w:val="22"/>
        </w:rPr>
        <w:t xml:space="preserve"> faillissement </w:t>
      </w:r>
      <w:r w:rsidR="00F11E35" w:rsidRPr="00C743FB">
        <w:rPr>
          <w:rFonts w:asciiTheme="minorHAnsi" w:hAnsiTheme="minorHAnsi" w:cstheme="minorHAnsi"/>
          <w:b w:val="0"/>
          <w:sz w:val="22"/>
          <w:szCs w:val="22"/>
        </w:rPr>
        <w:t xml:space="preserve">in ieder geval </w:t>
      </w:r>
      <w:r w:rsidR="00777539" w:rsidRPr="00C743FB">
        <w:rPr>
          <w:rFonts w:asciiTheme="minorHAnsi" w:hAnsiTheme="minorHAnsi" w:cstheme="minorHAnsi"/>
          <w:b w:val="0"/>
          <w:sz w:val="22"/>
          <w:szCs w:val="22"/>
        </w:rPr>
        <w:t>geen pandrecht</w:t>
      </w:r>
      <w:r w:rsidR="00F11E35" w:rsidRPr="00C743FB">
        <w:rPr>
          <w:rFonts w:asciiTheme="minorHAnsi" w:hAnsiTheme="minorHAnsi" w:cstheme="minorHAnsi"/>
          <w:b w:val="0"/>
          <w:sz w:val="22"/>
          <w:szCs w:val="22"/>
        </w:rPr>
        <w:t>en</w:t>
      </w:r>
      <w:r w:rsidR="00777539" w:rsidRPr="00C743FB">
        <w:rPr>
          <w:rFonts w:asciiTheme="minorHAnsi" w:hAnsiTheme="minorHAnsi" w:cstheme="minorHAnsi"/>
          <w:b w:val="0"/>
          <w:sz w:val="22"/>
          <w:szCs w:val="22"/>
        </w:rPr>
        <w:t xml:space="preserve"> gevestigd </w:t>
      </w:r>
      <w:r w:rsidR="00F11E35" w:rsidRPr="00C743FB">
        <w:rPr>
          <w:rFonts w:asciiTheme="minorHAnsi" w:hAnsiTheme="minorHAnsi" w:cstheme="minorHAnsi"/>
          <w:b w:val="0"/>
          <w:sz w:val="22"/>
          <w:szCs w:val="22"/>
        </w:rPr>
        <w:t>mogen</w:t>
      </w:r>
      <w:r w:rsidR="00777539" w:rsidRPr="00C743FB">
        <w:rPr>
          <w:rFonts w:asciiTheme="minorHAnsi" w:hAnsiTheme="minorHAnsi" w:cstheme="minorHAnsi"/>
          <w:b w:val="0"/>
          <w:sz w:val="22"/>
          <w:szCs w:val="22"/>
        </w:rPr>
        <w:t xml:space="preserve"> worden en zodoende niet verrekend kan worden in het zicht van een faillissement. </w:t>
      </w:r>
      <w:r w:rsidR="00542537" w:rsidRPr="00C743FB">
        <w:rPr>
          <w:rFonts w:asciiTheme="minorHAnsi" w:hAnsiTheme="minorHAnsi" w:cstheme="minorHAnsi"/>
          <w:b w:val="0"/>
          <w:sz w:val="22"/>
          <w:szCs w:val="22"/>
        </w:rPr>
        <w:t xml:space="preserve">Het maakte hierbij dus niet uit of de Rabobank een verzamelpandakte heeft. </w:t>
      </w:r>
      <w:r w:rsidR="00777539" w:rsidRPr="00C743FB">
        <w:rPr>
          <w:rFonts w:asciiTheme="minorHAnsi" w:hAnsiTheme="minorHAnsi" w:cstheme="minorHAnsi"/>
          <w:b w:val="0"/>
          <w:sz w:val="22"/>
          <w:szCs w:val="22"/>
        </w:rPr>
        <w:t xml:space="preserve">Daarnaast moet men te goeder trouw zijn ten aanzien van het vestigen van pandrechten en mag men zodoende geen andere schuldeisers benadelen door een verrekeningsbevoegdheid te creëren in het zicht van een faillissement. Het nadeel hiervan voor de Rabobank is dat zij geen nieuwe pandrechten mocht vestigen omdat zij op de hoogte was van het naderende faillissement. </w:t>
      </w:r>
      <w:r w:rsidR="00030A9B" w:rsidRPr="00C743FB">
        <w:rPr>
          <w:rFonts w:asciiTheme="minorHAnsi" w:hAnsiTheme="minorHAnsi" w:cstheme="minorHAnsi"/>
          <w:b w:val="0"/>
          <w:sz w:val="22"/>
          <w:szCs w:val="22"/>
        </w:rPr>
        <w:t xml:space="preserve">Indien de Rabobank bestaande </w:t>
      </w:r>
      <w:r w:rsidRPr="00C743FB">
        <w:rPr>
          <w:rFonts w:asciiTheme="minorHAnsi" w:hAnsiTheme="minorHAnsi" w:cstheme="minorHAnsi"/>
          <w:b w:val="0"/>
          <w:sz w:val="22"/>
          <w:szCs w:val="22"/>
        </w:rPr>
        <w:t xml:space="preserve">stille </w:t>
      </w:r>
      <w:r w:rsidR="00030A9B" w:rsidRPr="00C743FB">
        <w:rPr>
          <w:rFonts w:asciiTheme="minorHAnsi" w:hAnsiTheme="minorHAnsi" w:cstheme="minorHAnsi"/>
          <w:b w:val="0"/>
          <w:sz w:val="22"/>
          <w:szCs w:val="22"/>
        </w:rPr>
        <w:t>pandrecht</w:t>
      </w:r>
      <w:r w:rsidRPr="00C743FB">
        <w:rPr>
          <w:rFonts w:asciiTheme="minorHAnsi" w:hAnsiTheme="minorHAnsi" w:cstheme="minorHAnsi"/>
          <w:b w:val="0"/>
          <w:sz w:val="22"/>
          <w:szCs w:val="22"/>
        </w:rPr>
        <w:t>en</w:t>
      </w:r>
      <w:r w:rsidR="00030A9B" w:rsidRPr="00C743FB">
        <w:rPr>
          <w:rFonts w:asciiTheme="minorHAnsi" w:hAnsiTheme="minorHAnsi" w:cstheme="minorHAnsi"/>
          <w:b w:val="0"/>
          <w:sz w:val="22"/>
          <w:szCs w:val="22"/>
        </w:rPr>
        <w:t xml:space="preserve"> bezat, kon zij deze wel </w:t>
      </w:r>
      <w:r w:rsidRPr="00C743FB">
        <w:rPr>
          <w:rFonts w:asciiTheme="minorHAnsi" w:hAnsiTheme="minorHAnsi" w:cstheme="minorHAnsi"/>
          <w:b w:val="0"/>
          <w:sz w:val="22"/>
          <w:szCs w:val="22"/>
        </w:rPr>
        <w:t>verrekenen</w:t>
      </w:r>
      <w:r w:rsidR="00030A9B" w:rsidRPr="00C743FB">
        <w:rPr>
          <w:rFonts w:asciiTheme="minorHAnsi" w:hAnsiTheme="minorHAnsi" w:cstheme="minorHAnsi"/>
          <w:b w:val="0"/>
          <w:sz w:val="22"/>
          <w:szCs w:val="22"/>
        </w:rPr>
        <w:t xml:space="preserve"> op basis van het arrest Mulder. Echter, op grond van </w:t>
      </w:r>
      <w:r w:rsidRPr="00C743FB">
        <w:rPr>
          <w:rFonts w:asciiTheme="minorHAnsi" w:hAnsiTheme="minorHAnsi" w:cstheme="minorHAnsi"/>
          <w:b w:val="0"/>
          <w:sz w:val="22"/>
          <w:szCs w:val="22"/>
        </w:rPr>
        <w:t>de rechtsspraak en de Faillissementswet</w:t>
      </w:r>
      <w:r w:rsidR="00030A9B" w:rsidRPr="00C743FB">
        <w:rPr>
          <w:rFonts w:asciiTheme="minorHAnsi" w:hAnsiTheme="minorHAnsi" w:cstheme="minorHAnsi"/>
          <w:b w:val="0"/>
          <w:sz w:val="22"/>
          <w:szCs w:val="22"/>
        </w:rPr>
        <w:t xml:space="preserve"> </w:t>
      </w:r>
      <w:r w:rsidRPr="00C743FB">
        <w:rPr>
          <w:rFonts w:asciiTheme="minorHAnsi" w:hAnsiTheme="minorHAnsi" w:cstheme="minorHAnsi"/>
          <w:b w:val="0"/>
          <w:sz w:val="22"/>
          <w:szCs w:val="22"/>
        </w:rPr>
        <w:t>mocht</w:t>
      </w:r>
      <w:r w:rsidR="00030A9B" w:rsidRPr="00C743FB">
        <w:rPr>
          <w:rFonts w:asciiTheme="minorHAnsi" w:hAnsiTheme="minorHAnsi" w:cstheme="minorHAnsi"/>
          <w:b w:val="0"/>
          <w:sz w:val="22"/>
          <w:szCs w:val="22"/>
        </w:rPr>
        <w:t xml:space="preserve"> zij geen nieuwe pandrechten vestigen en heeft zij dus geen </w:t>
      </w:r>
      <w:proofErr w:type="spellStart"/>
      <w:r w:rsidR="00030A9B" w:rsidRPr="00C743FB">
        <w:rPr>
          <w:rFonts w:asciiTheme="minorHAnsi" w:hAnsiTheme="minorHAnsi" w:cstheme="minorHAnsi"/>
          <w:b w:val="0"/>
          <w:sz w:val="22"/>
          <w:szCs w:val="22"/>
        </w:rPr>
        <w:t>verrekeningsgrond</w:t>
      </w:r>
      <w:proofErr w:type="spellEnd"/>
      <w:r w:rsidR="00030A9B" w:rsidRPr="00C743FB">
        <w:rPr>
          <w:rFonts w:asciiTheme="minorHAnsi" w:hAnsiTheme="minorHAnsi" w:cstheme="minorHAnsi"/>
          <w:b w:val="0"/>
          <w:sz w:val="22"/>
          <w:szCs w:val="22"/>
        </w:rPr>
        <w:t xml:space="preserve"> in het zicht van </w:t>
      </w:r>
      <w:r w:rsidR="00542537" w:rsidRPr="00C743FB">
        <w:rPr>
          <w:rFonts w:asciiTheme="minorHAnsi" w:hAnsiTheme="minorHAnsi" w:cstheme="minorHAnsi"/>
          <w:b w:val="0"/>
          <w:sz w:val="22"/>
          <w:szCs w:val="22"/>
        </w:rPr>
        <w:t>het</w:t>
      </w:r>
      <w:r w:rsidR="00030A9B" w:rsidRPr="00C743FB">
        <w:rPr>
          <w:rFonts w:asciiTheme="minorHAnsi" w:hAnsiTheme="minorHAnsi" w:cstheme="minorHAnsi"/>
          <w:b w:val="0"/>
          <w:sz w:val="22"/>
          <w:szCs w:val="22"/>
        </w:rPr>
        <w:t xml:space="preserve"> faillissement</w:t>
      </w:r>
      <w:r w:rsidR="00542537" w:rsidRPr="00C743FB">
        <w:rPr>
          <w:rFonts w:asciiTheme="minorHAnsi" w:hAnsiTheme="minorHAnsi" w:cstheme="minorHAnsi"/>
          <w:b w:val="0"/>
          <w:sz w:val="22"/>
          <w:szCs w:val="22"/>
        </w:rPr>
        <w:t xml:space="preserve"> van de winkel</w:t>
      </w:r>
      <w:r w:rsidR="00030A9B" w:rsidRPr="00C743FB">
        <w:rPr>
          <w:rFonts w:asciiTheme="minorHAnsi" w:hAnsiTheme="minorHAnsi" w:cstheme="minorHAnsi"/>
          <w:b w:val="0"/>
          <w:sz w:val="22"/>
          <w:szCs w:val="22"/>
        </w:rPr>
        <w:t>.</w:t>
      </w:r>
    </w:p>
    <w:p w:rsidR="00777539" w:rsidRPr="00C743FB" w:rsidRDefault="00777539" w:rsidP="00777539">
      <w:pPr>
        <w:jc w:val="left"/>
        <w:rPr>
          <w:rFonts w:asciiTheme="minorHAnsi" w:hAnsiTheme="minorHAnsi" w:cstheme="minorHAnsi"/>
          <w:b w:val="0"/>
          <w:sz w:val="22"/>
          <w:szCs w:val="22"/>
        </w:rPr>
      </w:pPr>
    </w:p>
    <w:p w:rsidR="007546BB" w:rsidRPr="00570D50" w:rsidRDefault="007546BB" w:rsidP="00570D50">
      <w:pPr>
        <w:pStyle w:val="Kop2"/>
        <w:spacing w:before="0" w:beforeAutospacing="0" w:after="0" w:afterAutospacing="0"/>
        <w:rPr>
          <w:rFonts w:asciiTheme="minorHAnsi" w:hAnsiTheme="minorHAnsi" w:cstheme="minorHAnsi"/>
          <w:sz w:val="24"/>
          <w:szCs w:val="24"/>
        </w:rPr>
      </w:pPr>
      <w:bookmarkStart w:id="33" w:name="_Toc486246628"/>
      <w:r w:rsidRPr="00570D50">
        <w:rPr>
          <w:rFonts w:asciiTheme="minorHAnsi" w:hAnsiTheme="minorHAnsi" w:cstheme="minorHAnsi"/>
          <w:sz w:val="24"/>
          <w:szCs w:val="24"/>
        </w:rPr>
        <w:t>§4 Concluderend</w:t>
      </w:r>
      <w:bookmarkEnd w:id="33"/>
    </w:p>
    <w:p w:rsidR="00066829" w:rsidRPr="00C743FB" w:rsidRDefault="00066829" w:rsidP="00066829">
      <w:pPr>
        <w:jc w:val="left"/>
        <w:rPr>
          <w:rFonts w:asciiTheme="minorHAnsi" w:hAnsiTheme="minorHAnsi" w:cstheme="minorHAnsi"/>
          <w:b w:val="0"/>
          <w:sz w:val="22"/>
          <w:szCs w:val="22"/>
        </w:rPr>
      </w:pPr>
      <w:r w:rsidRPr="00C743FB">
        <w:rPr>
          <w:rFonts w:asciiTheme="minorHAnsi" w:hAnsiTheme="minorHAnsi" w:cstheme="minorHAnsi"/>
          <w:b w:val="0"/>
          <w:sz w:val="22"/>
          <w:szCs w:val="22"/>
        </w:rPr>
        <w:t>Het faillissement heeft als doel om schuldeisers te voldoen door verkoop van de bezittingen van de schuldenaar. Op het moment dat een schuldenaar failliet wordt verklaard verliest hij het beheer en de beschikking over zijn vermogen. Zodoende mag de failliet geen rechtshandelingen meer verrichten. Het faillissement werkt terug tot 00:00 uur, waardoor alle rechtshandelingen die na dat tijdstip zijn gedaan zijn moeten worden teruggedraaid.</w:t>
      </w:r>
    </w:p>
    <w:p w:rsidR="00066829" w:rsidRPr="00C743FB" w:rsidRDefault="00066829" w:rsidP="00066829">
      <w:pPr>
        <w:jc w:val="left"/>
        <w:rPr>
          <w:rFonts w:asciiTheme="minorHAnsi" w:hAnsiTheme="minorHAnsi" w:cstheme="minorHAnsi"/>
          <w:b w:val="0"/>
          <w:sz w:val="22"/>
          <w:szCs w:val="22"/>
        </w:rPr>
      </w:pPr>
    </w:p>
    <w:p w:rsidR="005220B6" w:rsidRPr="00C743FB" w:rsidRDefault="001A5D6D" w:rsidP="007546BB">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De heersende leer </w:t>
      </w:r>
      <w:r w:rsidR="007546BB" w:rsidRPr="00C743FB">
        <w:rPr>
          <w:rFonts w:asciiTheme="minorHAnsi" w:hAnsiTheme="minorHAnsi" w:cstheme="minorHAnsi"/>
          <w:b w:val="0"/>
          <w:sz w:val="22"/>
          <w:szCs w:val="22"/>
        </w:rPr>
        <w:t xml:space="preserve">omtrent verrekenen in het zicht van een faillissement </w:t>
      </w:r>
      <w:r w:rsidRPr="00C743FB">
        <w:rPr>
          <w:rFonts w:asciiTheme="minorHAnsi" w:hAnsiTheme="minorHAnsi" w:cstheme="minorHAnsi"/>
          <w:b w:val="0"/>
          <w:sz w:val="22"/>
          <w:szCs w:val="22"/>
        </w:rPr>
        <w:t xml:space="preserve">wordt gegeven door het arrest Mulder. Dit arrest heeft </w:t>
      </w:r>
      <w:r w:rsidR="007546BB" w:rsidRPr="00C743FB">
        <w:rPr>
          <w:rFonts w:asciiTheme="minorHAnsi" w:hAnsiTheme="minorHAnsi" w:cstheme="minorHAnsi"/>
          <w:b w:val="0"/>
          <w:sz w:val="22"/>
          <w:szCs w:val="22"/>
        </w:rPr>
        <w:t xml:space="preserve">ervoor gezorgd dat banken nu </w:t>
      </w:r>
      <w:r w:rsidRPr="00C743FB">
        <w:rPr>
          <w:rFonts w:asciiTheme="minorHAnsi" w:hAnsiTheme="minorHAnsi" w:cstheme="minorHAnsi"/>
          <w:b w:val="0"/>
          <w:sz w:val="22"/>
          <w:szCs w:val="22"/>
        </w:rPr>
        <w:t xml:space="preserve">een mogelijkheid hebben om </w:t>
      </w:r>
      <w:r w:rsidR="007546BB" w:rsidRPr="00C743FB">
        <w:rPr>
          <w:rFonts w:asciiTheme="minorHAnsi" w:hAnsiTheme="minorHAnsi" w:cstheme="minorHAnsi"/>
          <w:b w:val="0"/>
          <w:sz w:val="22"/>
          <w:szCs w:val="22"/>
        </w:rPr>
        <w:t xml:space="preserve">stil verpande vorderingen in </w:t>
      </w:r>
      <w:r w:rsidRPr="00C743FB">
        <w:rPr>
          <w:rFonts w:asciiTheme="minorHAnsi" w:hAnsiTheme="minorHAnsi" w:cstheme="minorHAnsi"/>
          <w:b w:val="0"/>
          <w:sz w:val="22"/>
          <w:szCs w:val="22"/>
        </w:rPr>
        <w:t>het zicht van een faillissement te</w:t>
      </w:r>
      <w:r w:rsidR="007546BB" w:rsidRPr="00C743FB">
        <w:rPr>
          <w:rFonts w:asciiTheme="minorHAnsi" w:hAnsiTheme="minorHAnsi" w:cstheme="minorHAnsi"/>
          <w:b w:val="0"/>
          <w:sz w:val="22"/>
          <w:szCs w:val="22"/>
        </w:rPr>
        <w:t xml:space="preserve"> kunnen verrekenen. </w:t>
      </w:r>
      <w:r w:rsidR="00066829" w:rsidRPr="00C743FB">
        <w:rPr>
          <w:rFonts w:asciiTheme="minorHAnsi" w:hAnsiTheme="minorHAnsi" w:cstheme="minorHAnsi"/>
          <w:b w:val="0"/>
          <w:sz w:val="22"/>
          <w:szCs w:val="22"/>
        </w:rPr>
        <w:t>Echter, dit arrest zegt uitdrukkelijk dat er alleen verrekend kan worden met bestaande pandrechten. Het vestigen van nieuwe pandrechten kan alleen in het zicht van een faillissement</w:t>
      </w:r>
      <w:r w:rsidR="005220B6" w:rsidRPr="00C743FB">
        <w:rPr>
          <w:rFonts w:asciiTheme="minorHAnsi" w:hAnsiTheme="minorHAnsi" w:cstheme="minorHAnsi"/>
          <w:b w:val="0"/>
          <w:sz w:val="22"/>
          <w:szCs w:val="22"/>
        </w:rPr>
        <w:t xml:space="preserve"> indien het een verplichte rechtshandeling is. De rechtspraak is echter nog niet geheel duidelijk of het vestigen van een pandrecht een verplichte rechtshandeling is.</w:t>
      </w:r>
    </w:p>
    <w:p w:rsidR="005220B6" w:rsidRPr="00C743FB" w:rsidRDefault="005220B6" w:rsidP="007546BB">
      <w:pPr>
        <w:jc w:val="left"/>
        <w:rPr>
          <w:rFonts w:asciiTheme="minorHAnsi" w:hAnsiTheme="minorHAnsi" w:cstheme="minorHAnsi"/>
          <w:b w:val="0"/>
          <w:sz w:val="22"/>
          <w:szCs w:val="22"/>
        </w:rPr>
      </w:pPr>
    </w:p>
    <w:p w:rsidR="00066829" w:rsidRPr="00C743FB" w:rsidRDefault="005220B6" w:rsidP="007546BB">
      <w:pPr>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In ieder geval heeft de Hoge Raad duidelijk gemaakt dat </w:t>
      </w:r>
      <w:r w:rsidR="00066829" w:rsidRPr="00C743FB">
        <w:rPr>
          <w:rFonts w:asciiTheme="minorHAnsi" w:hAnsiTheme="minorHAnsi" w:cstheme="minorHAnsi"/>
          <w:b w:val="0"/>
          <w:sz w:val="22"/>
          <w:szCs w:val="22"/>
        </w:rPr>
        <w:t xml:space="preserve">indien </w:t>
      </w:r>
      <w:r w:rsidR="00FF41D0" w:rsidRPr="00C743FB">
        <w:rPr>
          <w:rFonts w:asciiTheme="minorHAnsi" w:hAnsiTheme="minorHAnsi" w:cstheme="minorHAnsi"/>
          <w:b w:val="0"/>
          <w:sz w:val="22"/>
          <w:szCs w:val="22"/>
        </w:rPr>
        <w:t xml:space="preserve">de pandhouder </w:t>
      </w:r>
      <w:r w:rsidR="00066829" w:rsidRPr="00C743FB">
        <w:rPr>
          <w:rFonts w:asciiTheme="minorHAnsi" w:hAnsiTheme="minorHAnsi" w:cstheme="minorHAnsi"/>
          <w:b w:val="0"/>
          <w:sz w:val="22"/>
          <w:szCs w:val="22"/>
        </w:rPr>
        <w:t xml:space="preserve">op de hoogte </w:t>
      </w:r>
      <w:r w:rsidRPr="00C743FB">
        <w:rPr>
          <w:rFonts w:asciiTheme="minorHAnsi" w:hAnsiTheme="minorHAnsi" w:cstheme="minorHAnsi"/>
          <w:b w:val="0"/>
          <w:sz w:val="22"/>
          <w:szCs w:val="22"/>
        </w:rPr>
        <w:t>is</w:t>
      </w:r>
      <w:r w:rsidR="00066829" w:rsidRPr="00C743FB">
        <w:rPr>
          <w:rFonts w:asciiTheme="minorHAnsi" w:hAnsiTheme="minorHAnsi" w:cstheme="minorHAnsi"/>
          <w:b w:val="0"/>
          <w:sz w:val="22"/>
          <w:szCs w:val="22"/>
        </w:rPr>
        <w:t xml:space="preserve"> van het naderende faillissement</w:t>
      </w:r>
      <w:r w:rsidR="002D41C0" w:rsidRPr="00C743FB">
        <w:rPr>
          <w:rFonts w:asciiTheme="minorHAnsi" w:hAnsiTheme="minorHAnsi" w:cstheme="minorHAnsi"/>
          <w:b w:val="0"/>
          <w:sz w:val="22"/>
          <w:szCs w:val="22"/>
        </w:rPr>
        <w:t xml:space="preserve"> van de </w:t>
      </w:r>
      <w:r w:rsidR="00FF41D0" w:rsidRPr="00C743FB">
        <w:rPr>
          <w:rFonts w:asciiTheme="minorHAnsi" w:hAnsiTheme="minorHAnsi" w:cstheme="minorHAnsi"/>
          <w:b w:val="0"/>
          <w:sz w:val="22"/>
          <w:szCs w:val="22"/>
        </w:rPr>
        <w:t>pandgever</w:t>
      </w:r>
      <w:r w:rsidRPr="00C743FB">
        <w:rPr>
          <w:rFonts w:asciiTheme="minorHAnsi" w:hAnsiTheme="minorHAnsi" w:cstheme="minorHAnsi"/>
          <w:b w:val="0"/>
          <w:sz w:val="22"/>
          <w:szCs w:val="22"/>
        </w:rPr>
        <w:t>, er geen pandrechten gevestigd mogen worden</w:t>
      </w:r>
      <w:r w:rsidR="00066829" w:rsidRPr="00C743FB">
        <w:rPr>
          <w:rFonts w:asciiTheme="minorHAnsi" w:hAnsiTheme="minorHAnsi" w:cstheme="minorHAnsi"/>
          <w:b w:val="0"/>
          <w:sz w:val="22"/>
          <w:szCs w:val="22"/>
        </w:rPr>
        <w:t>. De Rabobank in de casus wist van de faillissementsaanvraag van de winkel en mocht zodoende geen nieuwe stille pandrechten vestigen. De Rabobank heeft zodoende geen grond om te kunnen verrekenen in het zicht van een faillissement, aangezien het hebben van een pandrecht daarvoor een vereiste is</w:t>
      </w:r>
      <w:r w:rsidR="002D41C0" w:rsidRPr="00C743FB">
        <w:rPr>
          <w:rFonts w:asciiTheme="minorHAnsi" w:hAnsiTheme="minorHAnsi" w:cstheme="minorHAnsi"/>
          <w:b w:val="0"/>
          <w:sz w:val="22"/>
          <w:szCs w:val="22"/>
        </w:rPr>
        <w:t xml:space="preserve"> volgens het arrest Mulder</w:t>
      </w:r>
      <w:r w:rsidR="00066829" w:rsidRPr="00C743FB">
        <w:rPr>
          <w:rFonts w:asciiTheme="minorHAnsi" w:hAnsiTheme="minorHAnsi" w:cstheme="minorHAnsi"/>
          <w:b w:val="0"/>
          <w:sz w:val="22"/>
          <w:szCs w:val="22"/>
        </w:rPr>
        <w:t>.</w:t>
      </w:r>
    </w:p>
    <w:p w:rsidR="00066829" w:rsidRDefault="00066829" w:rsidP="007546BB">
      <w:pPr>
        <w:jc w:val="left"/>
        <w:rPr>
          <w:rFonts w:asciiTheme="minorHAnsi" w:hAnsiTheme="minorHAnsi" w:cstheme="minorHAnsi"/>
          <w:b w:val="0"/>
          <w:sz w:val="20"/>
        </w:rPr>
      </w:pPr>
    </w:p>
    <w:p w:rsidR="00654D3D" w:rsidRDefault="00654D3D" w:rsidP="007546BB">
      <w:pPr>
        <w:jc w:val="left"/>
        <w:rPr>
          <w:rFonts w:asciiTheme="minorHAnsi" w:hAnsiTheme="minorHAnsi" w:cstheme="minorHAnsi"/>
          <w:b w:val="0"/>
          <w:sz w:val="20"/>
        </w:rPr>
      </w:pPr>
    </w:p>
    <w:p w:rsidR="00654D3D" w:rsidRPr="007546BB" w:rsidRDefault="00654D3D" w:rsidP="007546BB">
      <w:pPr>
        <w:jc w:val="left"/>
        <w:rPr>
          <w:rFonts w:asciiTheme="minorHAnsi" w:hAnsiTheme="minorHAnsi" w:cstheme="minorHAnsi"/>
          <w:b w:val="0"/>
          <w:sz w:val="20"/>
        </w:rPr>
      </w:pPr>
    </w:p>
    <w:p w:rsidR="007546BB" w:rsidRPr="007546BB" w:rsidRDefault="007546BB" w:rsidP="007546BB">
      <w:pPr>
        <w:jc w:val="left"/>
        <w:rPr>
          <w:rFonts w:asciiTheme="minorHAnsi" w:hAnsiTheme="minorHAnsi" w:cstheme="minorHAnsi"/>
          <w:b w:val="0"/>
          <w:sz w:val="20"/>
        </w:rPr>
      </w:pPr>
    </w:p>
    <w:p w:rsidR="00041595" w:rsidRDefault="00041595" w:rsidP="001A5D6D">
      <w:pPr>
        <w:jc w:val="both"/>
        <w:rPr>
          <w:rFonts w:asciiTheme="minorHAnsi" w:hAnsiTheme="minorHAnsi" w:cstheme="minorHAnsi"/>
          <w:b w:val="0"/>
          <w:sz w:val="20"/>
        </w:rPr>
      </w:pPr>
      <w:r>
        <w:rPr>
          <w:rFonts w:asciiTheme="minorHAnsi" w:hAnsiTheme="minorHAnsi" w:cstheme="minorHAnsi"/>
          <w:b w:val="0"/>
          <w:sz w:val="20"/>
        </w:rPr>
        <w:br w:type="page"/>
      </w:r>
    </w:p>
    <w:p w:rsidR="00041595" w:rsidRPr="00914D82" w:rsidRDefault="00202B3C" w:rsidP="00041595">
      <w:pPr>
        <w:pStyle w:val="Kop1"/>
        <w:rPr>
          <w:sz w:val="36"/>
        </w:rPr>
      </w:pPr>
      <w:bookmarkStart w:id="34" w:name="_Toc486246629"/>
      <w:r w:rsidRPr="00914D82">
        <w:rPr>
          <w:sz w:val="36"/>
        </w:rPr>
        <w:lastRenderedPageBreak/>
        <w:t>Hoofdstuk 6</w:t>
      </w:r>
      <w:bookmarkEnd w:id="34"/>
    </w:p>
    <w:p w:rsidR="00813093" w:rsidRPr="00813093" w:rsidRDefault="00D76593" w:rsidP="00813093">
      <w:pPr>
        <w:pStyle w:val="Kop3"/>
        <w:rPr>
          <w:sz w:val="28"/>
        </w:rPr>
      </w:pPr>
      <w:bookmarkStart w:id="35" w:name="_Toc486244171"/>
      <w:bookmarkStart w:id="36" w:name="_Toc486246630"/>
      <w:r>
        <w:rPr>
          <w:sz w:val="28"/>
        </w:rPr>
        <w:t>- Resultaten -</w:t>
      </w:r>
      <w:bookmarkEnd w:id="35"/>
      <w:bookmarkEnd w:id="36"/>
    </w:p>
    <w:p w:rsidR="00064FB2" w:rsidRPr="00914D82" w:rsidRDefault="00064FB2" w:rsidP="00064FB2">
      <w:pPr>
        <w:pStyle w:val="Kop4"/>
        <w:rPr>
          <w:sz w:val="26"/>
          <w:szCs w:val="26"/>
        </w:rPr>
      </w:pPr>
      <w:r w:rsidRPr="00914D82">
        <w:rPr>
          <w:sz w:val="26"/>
          <w:szCs w:val="26"/>
        </w:rPr>
        <w:t xml:space="preserve">- </w:t>
      </w:r>
      <w:r w:rsidR="008720F5" w:rsidRPr="00914D82">
        <w:rPr>
          <w:sz w:val="26"/>
          <w:szCs w:val="26"/>
        </w:rPr>
        <w:t>De</w:t>
      </w:r>
      <w:r w:rsidRPr="00914D82">
        <w:rPr>
          <w:sz w:val="26"/>
          <w:szCs w:val="26"/>
        </w:rPr>
        <w:t xml:space="preserve"> omstandigheden om te mogen verrekenen in het zicht van het faillissement</w:t>
      </w:r>
      <w:r w:rsidR="008720F5" w:rsidRPr="00914D82">
        <w:rPr>
          <w:sz w:val="26"/>
          <w:szCs w:val="26"/>
        </w:rPr>
        <w:t xml:space="preserve"> volgens jurisprudentie</w:t>
      </w:r>
      <w:r w:rsidRPr="00914D82">
        <w:rPr>
          <w:sz w:val="26"/>
          <w:szCs w:val="26"/>
        </w:rPr>
        <w:t xml:space="preserve"> -</w:t>
      </w:r>
    </w:p>
    <w:p w:rsidR="00064FB2" w:rsidRDefault="00064FB2" w:rsidP="00064FB2">
      <w:pPr>
        <w:jc w:val="left"/>
        <w:rPr>
          <w:rFonts w:asciiTheme="minorHAnsi" w:hAnsiTheme="minorHAnsi" w:cstheme="minorHAnsi"/>
          <w:b w:val="0"/>
          <w:sz w:val="20"/>
        </w:rPr>
      </w:pPr>
    </w:p>
    <w:p w:rsidR="00ED0771" w:rsidRPr="006F6DF8" w:rsidRDefault="000B36BA" w:rsidP="00064FB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In de vorige vier hoofdstukken heeft het om de theorie achter mijn onderzoek gedraaid. Zo is naar voren gekomen </w:t>
      </w:r>
      <w:r w:rsidR="00740481" w:rsidRPr="006F6DF8">
        <w:rPr>
          <w:rFonts w:asciiTheme="minorHAnsi" w:hAnsiTheme="minorHAnsi" w:cstheme="minorHAnsi"/>
          <w:b w:val="0"/>
          <w:sz w:val="22"/>
          <w:szCs w:val="22"/>
        </w:rPr>
        <w:t>wat het pandrecht inhoudt en</w:t>
      </w:r>
      <w:r w:rsidR="0013467B" w:rsidRPr="006F6DF8">
        <w:rPr>
          <w:rFonts w:asciiTheme="minorHAnsi" w:hAnsiTheme="minorHAnsi" w:cstheme="minorHAnsi"/>
          <w:b w:val="0"/>
          <w:sz w:val="22"/>
          <w:szCs w:val="22"/>
        </w:rPr>
        <w:t xml:space="preserve"> </w:t>
      </w:r>
      <w:r w:rsidR="00740481" w:rsidRPr="006F6DF8">
        <w:rPr>
          <w:rFonts w:asciiTheme="minorHAnsi" w:hAnsiTheme="minorHAnsi" w:cstheme="minorHAnsi"/>
          <w:b w:val="0"/>
          <w:sz w:val="22"/>
          <w:szCs w:val="22"/>
        </w:rPr>
        <w:t>dat</w:t>
      </w:r>
      <w:r w:rsidR="0013467B" w:rsidRPr="006F6DF8">
        <w:rPr>
          <w:rFonts w:asciiTheme="minorHAnsi" w:hAnsiTheme="minorHAnsi" w:cstheme="minorHAnsi"/>
          <w:b w:val="0"/>
          <w:sz w:val="22"/>
          <w:szCs w:val="22"/>
        </w:rPr>
        <w:t xml:space="preserve"> vorderingen</w:t>
      </w:r>
      <w:r w:rsidR="00740481" w:rsidRPr="006F6DF8">
        <w:rPr>
          <w:rFonts w:asciiTheme="minorHAnsi" w:hAnsiTheme="minorHAnsi" w:cstheme="minorHAnsi"/>
          <w:b w:val="0"/>
          <w:sz w:val="22"/>
          <w:szCs w:val="22"/>
        </w:rPr>
        <w:t xml:space="preserve"> die door middel van pintransacties ontstaan en voldaan worden vatbaar zijn voor verpanding. Verder is besproken wat verrekenen is en hoe dit in zijn werk gaat. Tot slot is gebleken dat men slechts in bepaalde omstandigheden mag verrekenen in het zicht van een faillissement.</w:t>
      </w:r>
    </w:p>
    <w:p w:rsidR="001D089F" w:rsidRPr="006F6DF8" w:rsidRDefault="001D089F" w:rsidP="00064FB2">
      <w:pPr>
        <w:jc w:val="left"/>
        <w:rPr>
          <w:rFonts w:asciiTheme="minorHAnsi" w:hAnsiTheme="minorHAnsi" w:cstheme="minorHAnsi"/>
          <w:b w:val="0"/>
          <w:sz w:val="22"/>
          <w:szCs w:val="22"/>
        </w:rPr>
      </w:pPr>
    </w:p>
    <w:p w:rsidR="004249C7" w:rsidRPr="006F6DF8" w:rsidRDefault="001D089F" w:rsidP="00064FB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In dit onderzoek is een groot gedeelte gewijd aan theorie. Dit komt omdat het over een zeer specifiek en theoretisch onderwerp gaat. Er is tevens weinig jurisprudentie over verrekenen in het zicht van faillissementen te vinden en rechters zijn daardoor soms nog onzeker over sommige vraagstukken omtrent dit onderwerp. Het zwaartepunt van mijn onderzoek ligt zodoende in de theorie. </w:t>
      </w:r>
      <w:r w:rsidR="004249C7" w:rsidRPr="006F6DF8">
        <w:rPr>
          <w:rFonts w:asciiTheme="minorHAnsi" w:hAnsiTheme="minorHAnsi" w:cstheme="minorHAnsi"/>
          <w:b w:val="0"/>
          <w:sz w:val="22"/>
          <w:szCs w:val="22"/>
        </w:rPr>
        <w:t xml:space="preserve">In dit hoofdstuk staat </w:t>
      </w:r>
      <w:r w:rsidRPr="006F6DF8">
        <w:rPr>
          <w:rFonts w:asciiTheme="minorHAnsi" w:hAnsiTheme="minorHAnsi" w:cstheme="minorHAnsi"/>
          <w:b w:val="0"/>
          <w:sz w:val="22"/>
          <w:szCs w:val="22"/>
        </w:rPr>
        <w:t xml:space="preserve">de praktijkkant van mijn </w:t>
      </w:r>
      <w:r w:rsidR="004249C7" w:rsidRPr="006F6DF8">
        <w:rPr>
          <w:rFonts w:asciiTheme="minorHAnsi" w:hAnsiTheme="minorHAnsi" w:cstheme="minorHAnsi"/>
          <w:b w:val="0"/>
          <w:sz w:val="22"/>
          <w:szCs w:val="22"/>
        </w:rPr>
        <w:t>onderzoek centraal</w:t>
      </w:r>
      <w:r w:rsidRPr="006F6DF8">
        <w:rPr>
          <w:rFonts w:asciiTheme="minorHAnsi" w:hAnsiTheme="minorHAnsi" w:cstheme="minorHAnsi"/>
          <w:b w:val="0"/>
          <w:sz w:val="22"/>
          <w:szCs w:val="22"/>
        </w:rPr>
        <w:t xml:space="preserve"> middels een jurisprudentieonderzoek</w:t>
      </w:r>
      <w:r w:rsidR="004249C7" w:rsidRPr="006F6DF8">
        <w:rPr>
          <w:rFonts w:asciiTheme="minorHAnsi" w:hAnsiTheme="minorHAnsi" w:cstheme="minorHAnsi"/>
          <w:b w:val="0"/>
          <w:sz w:val="22"/>
          <w:szCs w:val="22"/>
        </w:rPr>
        <w:t xml:space="preserve">. Door middel van dit jurisprudentieonderzoek wil ik niet alleen aantonen of de Rabobank in mijn casus wel/niet mag verrekenen in het zicht van een faillissement, maar ook in welke gevallen het verrekenen in het zicht van een faillissement in </w:t>
      </w:r>
      <w:r w:rsidRPr="006F6DF8">
        <w:rPr>
          <w:rFonts w:asciiTheme="minorHAnsi" w:hAnsiTheme="minorHAnsi" w:cstheme="minorHAnsi"/>
          <w:b w:val="0"/>
          <w:sz w:val="22"/>
          <w:szCs w:val="22"/>
        </w:rPr>
        <w:t>het algemeen mag</w:t>
      </w:r>
      <w:r w:rsidR="0096782E" w:rsidRPr="006F6DF8">
        <w:rPr>
          <w:rFonts w:asciiTheme="minorHAnsi" w:hAnsiTheme="minorHAnsi" w:cstheme="minorHAnsi"/>
          <w:b w:val="0"/>
          <w:sz w:val="22"/>
          <w:szCs w:val="22"/>
        </w:rPr>
        <w:t xml:space="preserve"> en wat belangrijke leerstukken zijn die uit de jurisprudentie naar voren komen</w:t>
      </w:r>
      <w:r w:rsidR="004249C7" w:rsidRPr="006F6DF8">
        <w:rPr>
          <w:rFonts w:asciiTheme="minorHAnsi" w:hAnsiTheme="minorHAnsi" w:cstheme="minorHAnsi"/>
          <w:b w:val="0"/>
          <w:sz w:val="22"/>
          <w:szCs w:val="22"/>
        </w:rPr>
        <w:t xml:space="preserve">. </w:t>
      </w:r>
      <w:r w:rsidR="00632102" w:rsidRPr="006F6DF8">
        <w:rPr>
          <w:rFonts w:asciiTheme="minorHAnsi" w:hAnsiTheme="minorHAnsi" w:cstheme="minorHAnsi"/>
          <w:b w:val="0"/>
          <w:sz w:val="22"/>
          <w:szCs w:val="22"/>
        </w:rPr>
        <w:t>Het jurisprudentieonderzoek is een belangrijke aanvulling voor dit onderzoek, omdat het nieuwe inzichten ka</w:t>
      </w:r>
      <w:r w:rsidR="00DD4BE9" w:rsidRPr="006F6DF8">
        <w:rPr>
          <w:rFonts w:asciiTheme="minorHAnsi" w:hAnsiTheme="minorHAnsi" w:cstheme="minorHAnsi"/>
          <w:b w:val="0"/>
          <w:sz w:val="22"/>
          <w:szCs w:val="22"/>
        </w:rPr>
        <w:t>n bieden waar de theorie tekort</w:t>
      </w:r>
      <w:r w:rsidR="00632102" w:rsidRPr="006F6DF8">
        <w:rPr>
          <w:rFonts w:asciiTheme="minorHAnsi" w:hAnsiTheme="minorHAnsi" w:cstheme="minorHAnsi"/>
          <w:b w:val="0"/>
          <w:sz w:val="22"/>
          <w:szCs w:val="22"/>
        </w:rPr>
        <w:t>schiet omtrent het verrekenen in h</w:t>
      </w:r>
      <w:r w:rsidR="00096AC5" w:rsidRPr="006F6DF8">
        <w:rPr>
          <w:rFonts w:asciiTheme="minorHAnsi" w:hAnsiTheme="minorHAnsi" w:cstheme="minorHAnsi"/>
          <w:b w:val="0"/>
          <w:sz w:val="22"/>
          <w:szCs w:val="22"/>
        </w:rPr>
        <w:t>et zicht van het faillissement.</w:t>
      </w:r>
    </w:p>
    <w:p w:rsidR="00263B50" w:rsidRPr="006F6DF8" w:rsidRDefault="00263B50" w:rsidP="00064FB2">
      <w:pPr>
        <w:jc w:val="left"/>
        <w:rPr>
          <w:rFonts w:asciiTheme="minorHAnsi" w:hAnsiTheme="minorHAnsi" w:cstheme="minorHAnsi"/>
          <w:b w:val="0"/>
          <w:sz w:val="22"/>
          <w:szCs w:val="22"/>
        </w:rPr>
      </w:pPr>
    </w:p>
    <w:p w:rsidR="00263B50" w:rsidRPr="006F6DF8" w:rsidRDefault="00202B3C" w:rsidP="00064FB2">
      <w:pPr>
        <w:jc w:val="left"/>
        <w:rPr>
          <w:rFonts w:asciiTheme="minorHAnsi" w:hAnsiTheme="minorHAnsi" w:cstheme="minorHAnsi"/>
          <w:b w:val="0"/>
          <w:sz w:val="22"/>
          <w:szCs w:val="22"/>
        </w:rPr>
      </w:pPr>
      <w:r w:rsidRPr="006F6DF8">
        <w:rPr>
          <w:rFonts w:asciiTheme="minorHAnsi" w:hAnsiTheme="minorHAnsi" w:cstheme="minorHAnsi"/>
          <w:b w:val="0"/>
          <w:sz w:val="22"/>
          <w:szCs w:val="22"/>
        </w:rPr>
        <w:t>In hoofdstuk 5</w:t>
      </w:r>
      <w:r w:rsidR="00263B50" w:rsidRPr="006F6DF8">
        <w:rPr>
          <w:rFonts w:asciiTheme="minorHAnsi" w:hAnsiTheme="minorHAnsi" w:cstheme="minorHAnsi"/>
          <w:b w:val="0"/>
          <w:sz w:val="22"/>
          <w:szCs w:val="22"/>
        </w:rPr>
        <w:t xml:space="preserve"> is gebleken dat het </w:t>
      </w:r>
      <w:r w:rsidR="001D39CD" w:rsidRPr="006F6DF8">
        <w:rPr>
          <w:rFonts w:asciiTheme="minorHAnsi" w:hAnsiTheme="minorHAnsi" w:cstheme="minorHAnsi"/>
          <w:b w:val="0"/>
          <w:sz w:val="22"/>
          <w:szCs w:val="22"/>
        </w:rPr>
        <w:t>wettelijk</w:t>
      </w:r>
      <w:r w:rsidR="00263B50" w:rsidRPr="006F6DF8">
        <w:rPr>
          <w:rFonts w:asciiTheme="minorHAnsi" w:hAnsiTheme="minorHAnsi" w:cstheme="minorHAnsi"/>
          <w:b w:val="0"/>
          <w:sz w:val="22"/>
          <w:szCs w:val="22"/>
        </w:rPr>
        <w:t xml:space="preserve"> slechts beperkt mogelijk is om te verrekenen in h</w:t>
      </w:r>
      <w:r w:rsidR="004A29A9" w:rsidRPr="006F6DF8">
        <w:rPr>
          <w:rFonts w:asciiTheme="minorHAnsi" w:hAnsiTheme="minorHAnsi" w:cstheme="minorHAnsi"/>
          <w:b w:val="0"/>
          <w:sz w:val="22"/>
          <w:szCs w:val="22"/>
        </w:rPr>
        <w:t xml:space="preserve">et zicht van een faillissement. </w:t>
      </w:r>
      <w:r w:rsidR="00A83E8D" w:rsidRPr="006F6DF8">
        <w:rPr>
          <w:rFonts w:asciiTheme="minorHAnsi" w:hAnsiTheme="minorHAnsi" w:cstheme="minorHAnsi"/>
          <w:b w:val="0"/>
          <w:sz w:val="22"/>
          <w:szCs w:val="22"/>
        </w:rPr>
        <w:t xml:space="preserve">Men mag in het zicht van een faillissement alleen bestaande stil verpande vorderingen verrekenen. </w:t>
      </w:r>
      <w:r w:rsidR="00846202" w:rsidRPr="006F6DF8">
        <w:rPr>
          <w:rFonts w:asciiTheme="minorHAnsi" w:hAnsiTheme="minorHAnsi" w:cstheme="minorHAnsi"/>
          <w:b w:val="0"/>
          <w:sz w:val="22"/>
          <w:szCs w:val="22"/>
        </w:rPr>
        <w:t xml:space="preserve">Er zitten hier een aantal kenmerken in, ten eerste dienen de pandrechten al bestaan te hebben alvorens er sprake is van een komend faillissement. Daarnaast dienen de pandrechten stil te zijn. Voorstaande vloeit voort uit het arrest Mulder q.q./CLBN. </w:t>
      </w:r>
      <w:r w:rsidR="00576DF5" w:rsidRPr="006F6DF8">
        <w:rPr>
          <w:rFonts w:asciiTheme="minorHAnsi" w:hAnsiTheme="minorHAnsi" w:cstheme="minorHAnsi"/>
          <w:b w:val="0"/>
          <w:sz w:val="22"/>
          <w:szCs w:val="22"/>
        </w:rPr>
        <w:t xml:space="preserve">Dit arrest geeft nog altijd de heersende leer aan omtrent verrekenen in het zicht van een faillissement. </w:t>
      </w:r>
    </w:p>
    <w:p w:rsidR="00196ACA" w:rsidRPr="006F6DF8" w:rsidRDefault="00196ACA" w:rsidP="00064FB2">
      <w:pPr>
        <w:jc w:val="left"/>
        <w:rPr>
          <w:rFonts w:asciiTheme="minorHAnsi" w:hAnsiTheme="minorHAnsi" w:cstheme="minorHAnsi"/>
          <w:b w:val="0"/>
          <w:sz w:val="22"/>
          <w:szCs w:val="22"/>
        </w:rPr>
      </w:pPr>
    </w:p>
    <w:p w:rsidR="00196ACA" w:rsidRPr="006F6DF8" w:rsidRDefault="00196ACA" w:rsidP="00064FB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Echter, er zijn mogelijkheden waarop wel nieuwe stille pandrechten in het zicht van een faillissement gevestigd kunnen worden. De rechtspraak is hier alleen nog niet geheel duidelijk over. Het vestigen van nieuwe pandrechten zou namelijk kunnen als het vestigen van een pandrecht een verplichte rechtshandeling is. Nu is bepaald dat het vestigen van een pandrecht alleen geen verplichte handeling is, maar het vestigen van een pandrecht als gevolg van een verzamelpandakte waar een volmacht aan verbonden is, zou wel is een verplichte rechtshandeling kunnen zijn. </w:t>
      </w:r>
      <w:r w:rsidR="001D39CD" w:rsidRPr="006F6DF8">
        <w:rPr>
          <w:rFonts w:asciiTheme="minorHAnsi" w:hAnsiTheme="minorHAnsi" w:cstheme="minorHAnsi"/>
          <w:b w:val="0"/>
          <w:sz w:val="22"/>
          <w:szCs w:val="22"/>
        </w:rPr>
        <w:t xml:space="preserve">De Rabobank in de casus heeft een verzamelpandakte met volmacht op basis waarvan zij pandrechten vestigt en zou zodoende dus nieuwe pandrechten in het zicht van het faillissement van de winkel kunnen vestigen. </w:t>
      </w:r>
    </w:p>
    <w:p w:rsidR="001D39CD" w:rsidRPr="006F6DF8" w:rsidRDefault="001D39CD" w:rsidP="00064FB2">
      <w:pPr>
        <w:jc w:val="left"/>
        <w:rPr>
          <w:rFonts w:asciiTheme="minorHAnsi" w:hAnsiTheme="minorHAnsi" w:cstheme="minorHAnsi"/>
          <w:b w:val="0"/>
          <w:sz w:val="22"/>
          <w:szCs w:val="22"/>
        </w:rPr>
      </w:pPr>
    </w:p>
    <w:p w:rsidR="00AD72F3" w:rsidRPr="006F6DF8" w:rsidRDefault="001D39CD" w:rsidP="004A29A9">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De wet en de rechtspraak hebben echter nog meer invulling gegeven aan het vestigen van pandrechten op basis van een verzamelpandakte. Er is namelijk vastgesteld dat de </w:t>
      </w:r>
      <w:r w:rsidR="00FF41D0" w:rsidRPr="006F6DF8">
        <w:rPr>
          <w:rFonts w:asciiTheme="minorHAnsi" w:hAnsiTheme="minorHAnsi" w:cstheme="minorHAnsi"/>
          <w:b w:val="0"/>
          <w:sz w:val="22"/>
          <w:szCs w:val="22"/>
        </w:rPr>
        <w:t>pandhouder</w:t>
      </w:r>
      <w:r w:rsidRPr="006F6DF8">
        <w:rPr>
          <w:rFonts w:asciiTheme="minorHAnsi" w:hAnsiTheme="minorHAnsi" w:cstheme="minorHAnsi"/>
          <w:b w:val="0"/>
          <w:sz w:val="22"/>
          <w:szCs w:val="22"/>
        </w:rPr>
        <w:t xml:space="preserve"> in ieder geval niet op de hoogte mag zijn van het naderende faillissement. De Rabobank was op de hoogte van de faillissementsaanvraag van de winkel. Zij mocht, ondanks dat ze een verzamelpandakte had en wellicht verplichte rechtshandelingen uitvoerde, dus geen nieuwe stille pandrechten vestigen omdat zij wist van het naderende faillissement.</w:t>
      </w:r>
      <w:r w:rsidR="00AD72F3" w:rsidRPr="006F6DF8">
        <w:rPr>
          <w:rFonts w:asciiTheme="minorHAnsi" w:hAnsiTheme="minorHAnsi" w:cstheme="minorHAnsi"/>
          <w:b w:val="0"/>
          <w:sz w:val="22"/>
          <w:szCs w:val="22"/>
        </w:rPr>
        <w:t xml:space="preserve"> Tevens dienen zowel de </w:t>
      </w:r>
      <w:r w:rsidR="00FF41D0" w:rsidRPr="006F6DF8">
        <w:rPr>
          <w:rFonts w:asciiTheme="minorHAnsi" w:hAnsiTheme="minorHAnsi" w:cstheme="minorHAnsi"/>
          <w:b w:val="0"/>
          <w:sz w:val="22"/>
          <w:szCs w:val="22"/>
        </w:rPr>
        <w:t>pandhouder</w:t>
      </w:r>
      <w:r w:rsidR="00AD72F3" w:rsidRPr="006F6DF8">
        <w:rPr>
          <w:rFonts w:asciiTheme="minorHAnsi" w:hAnsiTheme="minorHAnsi" w:cstheme="minorHAnsi"/>
          <w:b w:val="0"/>
          <w:sz w:val="22"/>
          <w:szCs w:val="22"/>
        </w:rPr>
        <w:t xml:space="preserve"> als de pandgever </w:t>
      </w:r>
      <w:r w:rsidR="004A29A9" w:rsidRPr="006F6DF8">
        <w:rPr>
          <w:rFonts w:asciiTheme="minorHAnsi" w:hAnsiTheme="minorHAnsi" w:cstheme="minorHAnsi"/>
          <w:b w:val="0"/>
          <w:sz w:val="22"/>
          <w:szCs w:val="22"/>
        </w:rPr>
        <w:t xml:space="preserve">te goeder trouw </w:t>
      </w:r>
      <w:r w:rsidR="00AD72F3" w:rsidRPr="006F6DF8">
        <w:rPr>
          <w:rFonts w:asciiTheme="minorHAnsi" w:hAnsiTheme="minorHAnsi" w:cstheme="minorHAnsi"/>
          <w:b w:val="0"/>
          <w:sz w:val="22"/>
          <w:szCs w:val="22"/>
        </w:rPr>
        <w:t xml:space="preserve">te </w:t>
      </w:r>
      <w:r w:rsidR="004A29A9" w:rsidRPr="006F6DF8">
        <w:rPr>
          <w:rFonts w:asciiTheme="minorHAnsi" w:hAnsiTheme="minorHAnsi" w:cstheme="minorHAnsi"/>
          <w:b w:val="0"/>
          <w:sz w:val="22"/>
          <w:szCs w:val="22"/>
        </w:rPr>
        <w:t xml:space="preserve">zijn ten aanzien van het vestigen van pandrechten en mag men zodoende geen andere schuldeisers benadelen door een verrekeningsbevoegdheid te creëren in het zicht van een faillissement. </w:t>
      </w:r>
    </w:p>
    <w:p w:rsidR="00AD72F3" w:rsidRPr="006F6DF8" w:rsidRDefault="00AD72F3" w:rsidP="004A29A9">
      <w:pPr>
        <w:jc w:val="left"/>
        <w:rPr>
          <w:rFonts w:asciiTheme="minorHAnsi" w:hAnsiTheme="minorHAnsi" w:cstheme="minorHAnsi"/>
          <w:b w:val="0"/>
          <w:sz w:val="22"/>
          <w:szCs w:val="22"/>
        </w:rPr>
      </w:pPr>
    </w:p>
    <w:p w:rsidR="004A29A9" w:rsidRPr="006F6DF8" w:rsidRDefault="00AD72F3" w:rsidP="00064FB2">
      <w:pPr>
        <w:jc w:val="left"/>
        <w:rPr>
          <w:rFonts w:asciiTheme="minorHAnsi" w:hAnsiTheme="minorHAnsi" w:cstheme="minorHAnsi"/>
          <w:b w:val="0"/>
          <w:sz w:val="22"/>
          <w:szCs w:val="22"/>
        </w:rPr>
      </w:pPr>
      <w:r w:rsidRPr="006F6DF8">
        <w:rPr>
          <w:rFonts w:asciiTheme="minorHAnsi" w:hAnsiTheme="minorHAnsi" w:cstheme="minorHAnsi"/>
          <w:b w:val="0"/>
          <w:sz w:val="22"/>
          <w:szCs w:val="22"/>
        </w:rPr>
        <w:lastRenderedPageBreak/>
        <w:t>Er spelen dus een aantal elementen om te mogen verrekenen in het zicht van een faillissement. Allereerst moet men bestaande pandrechten hebben. Daarnaast moeten het stille pandrechten zijn. Verder dient men nieuwe pandrechten middels een verplichte rechtshandeling te vestigen, dit zou wellicht via een verzamelpandakte kunnen zijn. Tot slot mag men niet op de hoogte zijn van het naderende faillissement of andere schuldeisers benadelen om nieuwe pandrechten te kunnen vestigen in het zicht van een faillissement.</w:t>
      </w:r>
    </w:p>
    <w:p w:rsidR="004D389A" w:rsidRPr="006F6DF8" w:rsidRDefault="004D389A" w:rsidP="00064FB2">
      <w:pPr>
        <w:jc w:val="left"/>
        <w:rPr>
          <w:rFonts w:asciiTheme="minorHAnsi" w:hAnsiTheme="minorHAnsi" w:cstheme="minorHAnsi"/>
          <w:b w:val="0"/>
          <w:sz w:val="22"/>
          <w:szCs w:val="22"/>
        </w:rPr>
      </w:pPr>
    </w:p>
    <w:p w:rsidR="007730E1" w:rsidRPr="00570D50" w:rsidRDefault="007730E1" w:rsidP="00570D50">
      <w:pPr>
        <w:pStyle w:val="Kop2"/>
        <w:spacing w:before="0" w:beforeAutospacing="0" w:after="0" w:afterAutospacing="0"/>
        <w:rPr>
          <w:rFonts w:asciiTheme="minorHAnsi" w:hAnsiTheme="minorHAnsi" w:cstheme="minorHAnsi"/>
          <w:sz w:val="24"/>
          <w:szCs w:val="24"/>
        </w:rPr>
      </w:pPr>
      <w:bookmarkStart w:id="37" w:name="_Toc486246631"/>
      <w:r w:rsidRPr="00570D50">
        <w:rPr>
          <w:rFonts w:asciiTheme="minorHAnsi" w:hAnsiTheme="minorHAnsi" w:cstheme="minorHAnsi"/>
          <w:sz w:val="24"/>
          <w:szCs w:val="24"/>
        </w:rPr>
        <w:t>§1 Onderzoeksmethode</w:t>
      </w:r>
      <w:bookmarkEnd w:id="37"/>
    </w:p>
    <w:p w:rsidR="007730E1" w:rsidRPr="006F6DF8" w:rsidRDefault="00387D1D" w:rsidP="00064FB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In hoofdstuk 1 ben ik ingegaan op de onderzoeksmethoden die ik per deelvraag wilde toepassen. Voor dit hoofdstuk heb ik gekozen voor een jurisprudentieonderzoek. </w:t>
      </w:r>
      <w:r w:rsidR="008A3B99" w:rsidRPr="006F6DF8">
        <w:rPr>
          <w:rFonts w:asciiTheme="minorHAnsi" w:hAnsiTheme="minorHAnsi" w:cstheme="minorHAnsi"/>
          <w:b w:val="0"/>
          <w:sz w:val="22"/>
          <w:szCs w:val="22"/>
        </w:rPr>
        <w:t>Wat ik wilde onderzoeken was welke omstandigheden en afwegingen ervoor zorgen dat een rechter het verrekenen in het zicht van een faillissement goed-/afkeurt</w:t>
      </w:r>
      <w:r w:rsidR="00F03F8F" w:rsidRPr="006F6DF8">
        <w:rPr>
          <w:rFonts w:asciiTheme="minorHAnsi" w:hAnsiTheme="minorHAnsi" w:cstheme="minorHAnsi"/>
          <w:b w:val="0"/>
          <w:sz w:val="22"/>
          <w:szCs w:val="22"/>
        </w:rPr>
        <w:t xml:space="preserve">. </w:t>
      </w:r>
      <w:r w:rsidRPr="006F6DF8">
        <w:rPr>
          <w:rFonts w:asciiTheme="minorHAnsi" w:hAnsiTheme="minorHAnsi" w:cstheme="minorHAnsi"/>
          <w:b w:val="0"/>
          <w:sz w:val="22"/>
          <w:szCs w:val="22"/>
        </w:rPr>
        <w:t xml:space="preserve">Mijn oorspronkelijke idee om deze onderzoeksmethode toe te passen was door een aantal rechtszaken </w:t>
      </w:r>
      <w:r w:rsidR="00F03F8F" w:rsidRPr="006F6DF8">
        <w:rPr>
          <w:rFonts w:asciiTheme="minorHAnsi" w:hAnsiTheme="minorHAnsi" w:cstheme="minorHAnsi"/>
          <w:b w:val="0"/>
          <w:sz w:val="22"/>
          <w:szCs w:val="22"/>
        </w:rPr>
        <w:t xml:space="preserve">omtrent het arrest Mulder q.q./CLBN </w:t>
      </w:r>
      <w:r w:rsidRPr="006F6DF8">
        <w:rPr>
          <w:rFonts w:asciiTheme="minorHAnsi" w:hAnsiTheme="minorHAnsi" w:cstheme="minorHAnsi"/>
          <w:b w:val="0"/>
          <w:sz w:val="22"/>
          <w:szCs w:val="22"/>
        </w:rPr>
        <w:t xml:space="preserve">te onderzoeken en met elkaar te vergelijken. </w:t>
      </w:r>
      <w:r w:rsidR="00F03F8F" w:rsidRPr="006F6DF8">
        <w:rPr>
          <w:rFonts w:asciiTheme="minorHAnsi" w:hAnsiTheme="minorHAnsi" w:cstheme="minorHAnsi"/>
          <w:b w:val="0"/>
          <w:sz w:val="22"/>
          <w:szCs w:val="22"/>
        </w:rPr>
        <w:t xml:space="preserve">In totaal heb ik toen 38 uitspraken gevonden tussen 1995 en 2016. Dit zijn er niet heel veel en ik wilde hiervan de </w:t>
      </w:r>
      <w:r w:rsidR="00751FF4" w:rsidRPr="006F6DF8">
        <w:rPr>
          <w:rFonts w:asciiTheme="minorHAnsi" w:hAnsiTheme="minorHAnsi" w:cstheme="minorHAnsi"/>
          <w:b w:val="0"/>
          <w:sz w:val="22"/>
          <w:szCs w:val="22"/>
        </w:rPr>
        <w:t xml:space="preserve">30 </w:t>
      </w:r>
      <w:r w:rsidR="00F03F8F" w:rsidRPr="006F6DF8">
        <w:rPr>
          <w:rFonts w:asciiTheme="minorHAnsi" w:hAnsiTheme="minorHAnsi" w:cstheme="minorHAnsi"/>
          <w:b w:val="0"/>
          <w:sz w:val="22"/>
          <w:szCs w:val="22"/>
        </w:rPr>
        <w:t xml:space="preserve">meest interessante uitspraken gebruiken. </w:t>
      </w:r>
      <w:r w:rsidR="00751FF4" w:rsidRPr="006F6DF8">
        <w:rPr>
          <w:rFonts w:asciiTheme="minorHAnsi" w:hAnsiTheme="minorHAnsi" w:cstheme="minorHAnsi"/>
          <w:b w:val="0"/>
          <w:sz w:val="22"/>
          <w:szCs w:val="22"/>
        </w:rPr>
        <w:t>Om deze uitspraken te toetsen was het de bedoeling dat ik via een tiental topics gegevens zou verzamelen over de uitspraken en aan de hand van die gegevens conclusies kon trekken over de overwegingen van rechters om verrekenen in het zicht van een faillissement goed/af te keuren.</w:t>
      </w:r>
      <w:r w:rsidR="00A030CA" w:rsidRPr="006F6DF8">
        <w:rPr>
          <w:rFonts w:asciiTheme="minorHAnsi" w:hAnsiTheme="minorHAnsi" w:cstheme="minorHAnsi"/>
          <w:b w:val="0"/>
          <w:sz w:val="22"/>
          <w:szCs w:val="22"/>
        </w:rPr>
        <w:t xml:space="preserve"> Ik heb voor de onderstaande topics gekozen omdat die onderwerpen in</w:t>
      </w:r>
      <w:r w:rsidR="00F5785A" w:rsidRPr="006F6DF8">
        <w:rPr>
          <w:rFonts w:asciiTheme="minorHAnsi" w:hAnsiTheme="minorHAnsi" w:cstheme="minorHAnsi"/>
          <w:b w:val="0"/>
          <w:sz w:val="22"/>
          <w:szCs w:val="22"/>
        </w:rPr>
        <w:t xml:space="preserve"> de jurisprudentie steeds terug </w:t>
      </w:r>
      <w:r w:rsidR="00A030CA" w:rsidRPr="006F6DF8">
        <w:rPr>
          <w:rFonts w:asciiTheme="minorHAnsi" w:hAnsiTheme="minorHAnsi" w:cstheme="minorHAnsi"/>
          <w:b w:val="0"/>
          <w:sz w:val="22"/>
          <w:szCs w:val="22"/>
        </w:rPr>
        <w:t>kwamen en doorslaggevend leken te zijn om te mogen verrekenen in het zicht van een faillissement.</w:t>
      </w:r>
    </w:p>
    <w:p w:rsidR="00A030CA" w:rsidRPr="006F6DF8" w:rsidRDefault="00A030CA" w:rsidP="00064FB2">
      <w:pPr>
        <w:jc w:val="left"/>
        <w:rPr>
          <w:rFonts w:asciiTheme="minorHAnsi" w:hAnsiTheme="minorHAnsi" w:cstheme="minorHAnsi"/>
          <w:b w:val="0"/>
          <w:sz w:val="22"/>
          <w:szCs w:val="22"/>
        </w:rPr>
      </w:pPr>
    </w:p>
    <w:p w:rsidR="00A030CA" w:rsidRPr="006F6DF8" w:rsidRDefault="00A030CA" w:rsidP="00064FB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De topics: </w:t>
      </w:r>
    </w:p>
    <w:p w:rsidR="00A030CA" w:rsidRPr="006F6DF8" w:rsidRDefault="00A030CA" w:rsidP="00A030CA">
      <w:pPr>
        <w:pStyle w:val="Lijstalinea"/>
        <w:numPr>
          <w:ilvl w:val="0"/>
          <w:numId w:val="28"/>
        </w:numPr>
        <w:jc w:val="left"/>
        <w:rPr>
          <w:rFonts w:asciiTheme="minorHAnsi" w:hAnsiTheme="minorHAnsi" w:cstheme="minorHAnsi"/>
          <w:b w:val="0"/>
          <w:sz w:val="22"/>
          <w:szCs w:val="22"/>
        </w:rPr>
      </w:pPr>
      <w:r w:rsidRPr="006F6DF8">
        <w:rPr>
          <w:rFonts w:asciiTheme="minorHAnsi" w:hAnsiTheme="minorHAnsi" w:cstheme="minorHAnsi"/>
          <w:b w:val="0"/>
          <w:sz w:val="22"/>
          <w:szCs w:val="22"/>
        </w:rPr>
        <w:t>Pandrecht op roerende zaak</w:t>
      </w:r>
    </w:p>
    <w:p w:rsidR="00A030CA" w:rsidRPr="006F6DF8" w:rsidRDefault="00A030CA" w:rsidP="00A030CA">
      <w:pPr>
        <w:pStyle w:val="Lijstalinea"/>
        <w:numPr>
          <w:ilvl w:val="0"/>
          <w:numId w:val="28"/>
        </w:numPr>
        <w:jc w:val="left"/>
        <w:rPr>
          <w:rFonts w:asciiTheme="minorHAnsi" w:hAnsiTheme="minorHAnsi" w:cstheme="minorHAnsi"/>
          <w:b w:val="0"/>
          <w:sz w:val="22"/>
          <w:szCs w:val="22"/>
        </w:rPr>
      </w:pPr>
      <w:r w:rsidRPr="006F6DF8">
        <w:rPr>
          <w:rFonts w:asciiTheme="minorHAnsi" w:hAnsiTheme="minorHAnsi" w:cstheme="minorHAnsi"/>
          <w:b w:val="0"/>
          <w:sz w:val="22"/>
          <w:szCs w:val="22"/>
        </w:rPr>
        <w:t>Pandrecht op vordering</w:t>
      </w:r>
    </w:p>
    <w:p w:rsidR="00A030CA" w:rsidRPr="006F6DF8" w:rsidRDefault="00A030CA" w:rsidP="00A030CA">
      <w:pPr>
        <w:pStyle w:val="Lijstalinea"/>
        <w:numPr>
          <w:ilvl w:val="0"/>
          <w:numId w:val="28"/>
        </w:numPr>
        <w:jc w:val="left"/>
        <w:rPr>
          <w:rFonts w:asciiTheme="minorHAnsi" w:hAnsiTheme="minorHAnsi" w:cstheme="minorHAnsi"/>
          <w:b w:val="0"/>
          <w:sz w:val="22"/>
          <w:szCs w:val="22"/>
        </w:rPr>
      </w:pPr>
      <w:r w:rsidRPr="006F6DF8">
        <w:rPr>
          <w:rFonts w:asciiTheme="minorHAnsi" w:hAnsiTheme="minorHAnsi" w:cstheme="minorHAnsi"/>
          <w:b w:val="0"/>
          <w:sz w:val="22"/>
          <w:szCs w:val="22"/>
        </w:rPr>
        <w:t>Pandrecht teniet gegaan</w:t>
      </w:r>
    </w:p>
    <w:p w:rsidR="00A030CA" w:rsidRPr="006F6DF8" w:rsidRDefault="00A030CA" w:rsidP="00A030CA">
      <w:pPr>
        <w:pStyle w:val="Lijstalinea"/>
        <w:numPr>
          <w:ilvl w:val="0"/>
          <w:numId w:val="28"/>
        </w:numPr>
        <w:jc w:val="left"/>
        <w:rPr>
          <w:rFonts w:asciiTheme="minorHAnsi" w:hAnsiTheme="minorHAnsi" w:cstheme="minorHAnsi"/>
          <w:b w:val="0"/>
          <w:sz w:val="22"/>
          <w:szCs w:val="22"/>
        </w:rPr>
      </w:pPr>
      <w:r w:rsidRPr="006F6DF8">
        <w:rPr>
          <w:rFonts w:asciiTheme="minorHAnsi" w:hAnsiTheme="minorHAnsi" w:cstheme="minorHAnsi"/>
          <w:b w:val="0"/>
          <w:sz w:val="22"/>
          <w:szCs w:val="22"/>
        </w:rPr>
        <w:t>Pandrecht openbaar gemaakt</w:t>
      </w:r>
    </w:p>
    <w:p w:rsidR="00A030CA" w:rsidRPr="006F6DF8" w:rsidRDefault="00A030CA" w:rsidP="00A030CA">
      <w:pPr>
        <w:pStyle w:val="Lijstalinea"/>
        <w:numPr>
          <w:ilvl w:val="0"/>
          <w:numId w:val="28"/>
        </w:numPr>
        <w:jc w:val="left"/>
        <w:rPr>
          <w:rFonts w:asciiTheme="minorHAnsi" w:hAnsiTheme="minorHAnsi" w:cstheme="minorHAnsi"/>
          <w:b w:val="0"/>
          <w:sz w:val="22"/>
          <w:szCs w:val="22"/>
        </w:rPr>
      </w:pPr>
      <w:r w:rsidRPr="006F6DF8">
        <w:rPr>
          <w:rFonts w:asciiTheme="minorHAnsi" w:hAnsiTheme="minorHAnsi" w:cstheme="minorHAnsi"/>
          <w:b w:val="0"/>
          <w:sz w:val="22"/>
          <w:szCs w:val="22"/>
        </w:rPr>
        <w:t>Stil Pandrecht</w:t>
      </w:r>
    </w:p>
    <w:p w:rsidR="00A030CA" w:rsidRPr="006F6DF8" w:rsidRDefault="00A030CA" w:rsidP="00A030CA">
      <w:pPr>
        <w:pStyle w:val="Lijstalinea"/>
        <w:numPr>
          <w:ilvl w:val="0"/>
          <w:numId w:val="28"/>
        </w:numPr>
        <w:jc w:val="left"/>
        <w:rPr>
          <w:rFonts w:asciiTheme="minorHAnsi" w:hAnsiTheme="minorHAnsi" w:cstheme="minorHAnsi"/>
          <w:b w:val="0"/>
          <w:sz w:val="22"/>
          <w:szCs w:val="22"/>
        </w:rPr>
      </w:pPr>
      <w:r w:rsidRPr="006F6DF8">
        <w:rPr>
          <w:rFonts w:asciiTheme="minorHAnsi" w:hAnsiTheme="minorHAnsi" w:cstheme="minorHAnsi"/>
          <w:b w:val="0"/>
          <w:sz w:val="22"/>
          <w:szCs w:val="22"/>
        </w:rPr>
        <w:t>Verzamelpandakte</w:t>
      </w:r>
    </w:p>
    <w:p w:rsidR="00A030CA" w:rsidRPr="006F6DF8" w:rsidRDefault="00A030CA" w:rsidP="00A030CA">
      <w:pPr>
        <w:pStyle w:val="Lijstalinea"/>
        <w:numPr>
          <w:ilvl w:val="0"/>
          <w:numId w:val="28"/>
        </w:numPr>
        <w:jc w:val="left"/>
        <w:rPr>
          <w:rFonts w:asciiTheme="minorHAnsi" w:hAnsiTheme="minorHAnsi" w:cstheme="minorHAnsi"/>
          <w:b w:val="0"/>
          <w:sz w:val="22"/>
          <w:szCs w:val="22"/>
        </w:rPr>
      </w:pPr>
      <w:r w:rsidRPr="006F6DF8">
        <w:rPr>
          <w:rFonts w:asciiTheme="minorHAnsi" w:hAnsiTheme="minorHAnsi" w:cstheme="minorHAnsi"/>
          <w:b w:val="0"/>
          <w:sz w:val="22"/>
          <w:szCs w:val="22"/>
        </w:rPr>
        <w:t>Recht van parate executie uitgeoefend</w:t>
      </w:r>
    </w:p>
    <w:p w:rsidR="00A030CA" w:rsidRPr="006F6DF8" w:rsidRDefault="00A030CA" w:rsidP="00A030CA">
      <w:pPr>
        <w:pStyle w:val="Lijstalinea"/>
        <w:numPr>
          <w:ilvl w:val="0"/>
          <w:numId w:val="28"/>
        </w:numPr>
        <w:jc w:val="left"/>
        <w:rPr>
          <w:rFonts w:asciiTheme="minorHAnsi" w:hAnsiTheme="minorHAnsi" w:cstheme="minorHAnsi"/>
          <w:b w:val="0"/>
          <w:sz w:val="22"/>
          <w:szCs w:val="22"/>
        </w:rPr>
      </w:pPr>
      <w:r w:rsidRPr="006F6DF8">
        <w:rPr>
          <w:rFonts w:asciiTheme="minorHAnsi" w:hAnsiTheme="minorHAnsi" w:cstheme="minorHAnsi"/>
          <w:b w:val="0"/>
          <w:sz w:val="22"/>
          <w:szCs w:val="22"/>
        </w:rPr>
        <w:t>Sprake van verrekening</w:t>
      </w:r>
    </w:p>
    <w:p w:rsidR="00A030CA" w:rsidRPr="006F6DF8" w:rsidRDefault="00A030CA" w:rsidP="00A030CA">
      <w:pPr>
        <w:pStyle w:val="Lijstalinea"/>
        <w:numPr>
          <w:ilvl w:val="0"/>
          <w:numId w:val="28"/>
        </w:numPr>
        <w:jc w:val="left"/>
        <w:rPr>
          <w:rFonts w:asciiTheme="minorHAnsi" w:hAnsiTheme="minorHAnsi" w:cstheme="minorHAnsi"/>
          <w:b w:val="0"/>
          <w:sz w:val="22"/>
          <w:szCs w:val="22"/>
        </w:rPr>
      </w:pPr>
      <w:r w:rsidRPr="006F6DF8">
        <w:rPr>
          <w:rFonts w:asciiTheme="minorHAnsi" w:hAnsiTheme="minorHAnsi" w:cstheme="minorHAnsi"/>
          <w:b w:val="0"/>
          <w:sz w:val="22"/>
          <w:szCs w:val="22"/>
        </w:rPr>
        <w:t>Zicht van faillissement</w:t>
      </w:r>
    </w:p>
    <w:p w:rsidR="00A030CA" w:rsidRPr="006F6DF8" w:rsidRDefault="00A030CA" w:rsidP="00A030CA">
      <w:pPr>
        <w:pStyle w:val="Lijstalinea"/>
        <w:numPr>
          <w:ilvl w:val="0"/>
          <w:numId w:val="28"/>
        </w:numPr>
        <w:jc w:val="left"/>
        <w:rPr>
          <w:rFonts w:asciiTheme="minorHAnsi" w:hAnsiTheme="minorHAnsi" w:cstheme="minorHAnsi"/>
          <w:b w:val="0"/>
          <w:sz w:val="22"/>
          <w:szCs w:val="22"/>
        </w:rPr>
      </w:pPr>
      <w:r w:rsidRPr="006F6DF8">
        <w:rPr>
          <w:rFonts w:asciiTheme="minorHAnsi" w:hAnsiTheme="minorHAnsi" w:cstheme="minorHAnsi"/>
          <w:b w:val="0"/>
          <w:sz w:val="22"/>
          <w:szCs w:val="22"/>
        </w:rPr>
        <w:t>Bestaand pandrecht of nieuw pandrecht</w:t>
      </w:r>
    </w:p>
    <w:p w:rsidR="005E1EDD" w:rsidRPr="006F6DF8" w:rsidRDefault="005E1EDD" w:rsidP="00064FB2">
      <w:pPr>
        <w:jc w:val="left"/>
        <w:rPr>
          <w:rFonts w:asciiTheme="minorHAnsi" w:hAnsiTheme="minorHAnsi" w:cstheme="minorHAnsi"/>
          <w:b w:val="0"/>
          <w:sz w:val="22"/>
          <w:szCs w:val="22"/>
        </w:rPr>
      </w:pPr>
    </w:p>
    <w:p w:rsidR="00E1332C" w:rsidRPr="006F6DF8" w:rsidRDefault="00E1332C" w:rsidP="00E1332C">
      <w:pPr>
        <w:jc w:val="left"/>
        <w:rPr>
          <w:rFonts w:asciiTheme="minorHAnsi" w:hAnsiTheme="minorHAnsi" w:cstheme="minorHAnsi"/>
          <w:b w:val="0"/>
          <w:sz w:val="22"/>
          <w:szCs w:val="22"/>
          <w:u w:val="single"/>
        </w:rPr>
      </w:pPr>
      <w:r w:rsidRPr="006F6DF8">
        <w:rPr>
          <w:rFonts w:asciiTheme="minorHAnsi" w:hAnsiTheme="minorHAnsi" w:cstheme="minorHAnsi"/>
          <w:b w:val="0"/>
          <w:sz w:val="22"/>
          <w:szCs w:val="22"/>
          <w:u w:val="single"/>
        </w:rPr>
        <w:t>§1.1 Wijziging onderzoeksmethode</w:t>
      </w:r>
    </w:p>
    <w:p w:rsidR="00E1332C" w:rsidRPr="006F6DF8" w:rsidRDefault="00E1332C" w:rsidP="00064FB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Eenmaal begonnen met mijn jurisprudentieonderzoek kwam ik er reeds achter </w:t>
      </w:r>
      <w:r w:rsidR="008348A8" w:rsidRPr="006F6DF8">
        <w:rPr>
          <w:rFonts w:asciiTheme="minorHAnsi" w:hAnsiTheme="minorHAnsi" w:cstheme="minorHAnsi"/>
          <w:b w:val="0"/>
          <w:sz w:val="22"/>
          <w:szCs w:val="22"/>
        </w:rPr>
        <w:t>dat de manier waarop ik het onderzoek wilde uitvoeren geen doel trof.</w:t>
      </w:r>
      <w:r w:rsidR="00747723" w:rsidRPr="006F6DF8">
        <w:rPr>
          <w:rFonts w:asciiTheme="minorHAnsi" w:hAnsiTheme="minorHAnsi" w:cstheme="minorHAnsi"/>
          <w:b w:val="0"/>
          <w:sz w:val="22"/>
          <w:szCs w:val="22"/>
        </w:rPr>
        <w:t xml:space="preserve"> </w:t>
      </w:r>
      <w:r w:rsidR="00E91984" w:rsidRPr="006F6DF8">
        <w:rPr>
          <w:rFonts w:asciiTheme="minorHAnsi" w:hAnsiTheme="minorHAnsi" w:cstheme="minorHAnsi"/>
          <w:b w:val="0"/>
          <w:sz w:val="22"/>
          <w:szCs w:val="22"/>
        </w:rPr>
        <w:t xml:space="preserve">Het idee was om een tabel te maken met daarin de tien verschillende topics. Ik wilde per rechtszaak aangeven of het topic er wel of niet in voorkwam. Op basis van die gegevens probeerde ik conclusies te trekken. </w:t>
      </w:r>
      <w:r w:rsidR="00C11E19" w:rsidRPr="006F6DF8">
        <w:rPr>
          <w:rFonts w:asciiTheme="minorHAnsi" w:hAnsiTheme="minorHAnsi" w:cstheme="minorHAnsi"/>
          <w:b w:val="0"/>
          <w:sz w:val="22"/>
          <w:szCs w:val="22"/>
        </w:rPr>
        <w:t xml:space="preserve">Echter, toen ik eenmaal een tiental zaken aan dit systeem had getoetst kwam ik erachter dat ik niet veel kon zeggen op basis van de data die ik verzamelde. Ik kon geen patroon zien in het voorkomen van de topics en de uiteindelijk beslissing van de rechters. </w:t>
      </w:r>
    </w:p>
    <w:p w:rsidR="00C11E19" w:rsidRPr="006F6DF8" w:rsidRDefault="00C11E19" w:rsidP="00064FB2">
      <w:pPr>
        <w:jc w:val="left"/>
        <w:rPr>
          <w:rFonts w:asciiTheme="minorHAnsi" w:hAnsiTheme="minorHAnsi" w:cstheme="minorHAnsi"/>
          <w:b w:val="0"/>
          <w:sz w:val="22"/>
          <w:szCs w:val="22"/>
        </w:rPr>
      </w:pPr>
    </w:p>
    <w:p w:rsidR="00C11E19" w:rsidRPr="006F6DF8" w:rsidRDefault="00C11E19" w:rsidP="00064FB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Dat ik geen patroon kon zien kwam grotendeels omdat de topics niet vaak genoeg voorkwamen. </w:t>
      </w:r>
      <w:r w:rsidR="00631F13" w:rsidRPr="006F6DF8">
        <w:rPr>
          <w:rFonts w:asciiTheme="minorHAnsi" w:hAnsiTheme="minorHAnsi" w:cstheme="minorHAnsi"/>
          <w:b w:val="0"/>
          <w:sz w:val="22"/>
          <w:szCs w:val="22"/>
        </w:rPr>
        <w:t xml:space="preserve">Ik had dus eigenlijk te weinig meetpunten om daadwerkelijk iets over de afwegingen van rechters te kunnen zeggen. </w:t>
      </w:r>
      <w:r w:rsidR="00114D62" w:rsidRPr="006F6DF8">
        <w:rPr>
          <w:rFonts w:asciiTheme="minorHAnsi" w:hAnsiTheme="minorHAnsi" w:cstheme="minorHAnsi"/>
          <w:b w:val="0"/>
          <w:sz w:val="22"/>
          <w:szCs w:val="22"/>
        </w:rPr>
        <w:t xml:space="preserve">Dat de topics weinig voorkwamen kwam voort uit het feit dat het overgrote deel van de zaken die ik voor het onderzoek wilde gebruiken slechts gedeeltelijk over het arrest Mulder gaan, dan wel over verrekenen. </w:t>
      </w:r>
      <w:r w:rsidR="00A83B4B" w:rsidRPr="006F6DF8">
        <w:rPr>
          <w:rFonts w:asciiTheme="minorHAnsi" w:hAnsiTheme="minorHAnsi" w:cstheme="minorHAnsi"/>
          <w:b w:val="0"/>
          <w:sz w:val="22"/>
          <w:szCs w:val="22"/>
        </w:rPr>
        <w:t>Slechts passages in de rechtszaken hebben betrekking op het arrest Mulder</w:t>
      </w:r>
      <w:r w:rsidR="00DD692C" w:rsidRPr="006F6DF8">
        <w:rPr>
          <w:rFonts w:asciiTheme="minorHAnsi" w:hAnsiTheme="minorHAnsi" w:cstheme="minorHAnsi"/>
          <w:b w:val="0"/>
          <w:sz w:val="22"/>
          <w:szCs w:val="22"/>
        </w:rPr>
        <w:t xml:space="preserve"> of zijn relevant voor het onderzoek</w:t>
      </w:r>
      <w:r w:rsidR="00A83B4B" w:rsidRPr="006F6DF8">
        <w:rPr>
          <w:rFonts w:asciiTheme="minorHAnsi" w:hAnsiTheme="minorHAnsi" w:cstheme="minorHAnsi"/>
          <w:b w:val="0"/>
          <w:sz w:val="22"/>
          <w:szCs w:val="22"/>
        </w:rPr>
        <w:t>. Ik kon die passages in combinatie met de rechterlijke afwegingen niet voldoende koppelen aan de topics, laat staan dat ik er conclusies uit kon trekken.</w:t>
      </w:r>
    </w:p>
    <w:p w:rsidR="001071B3" w:rsidRPr="006F6DF8" w:rsidRDefault="001071B3" w:rsidP="00064FB2">
      <w:pPr>
        <w:jc w:val="left"/>
        <w:rPr>
          <w:rFonts w:asciiTheme="minorHAnsi" w:hAnsiTheme="minorHAnsi" w:cstheme="minorHAnsi"/>
          <w:b w:val="0"/>
          <w:sz w:val="22"/>
          <w:szCs w:val="22"/>
        </w:rPr>
      </w:pPr>
    </w:p>
    <w:p w:rsidR="001071B3" w:rsidRPr="006F6DF8" w:rsidRDefault="001071B3" w:rsidP="00064FB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Aangezien mijn onderzoeksmethode niet werkte op de manier </w:t>
      </w:r>
      <w:r w:rsidR="00DD692C" w:rsidRPr="006F6DF8">
        <w:rPr>
          <w:rFonts w:asciiTheme="minorHAnsi" w:hAnsiTheme="minorHAnsi" w:cstheme="minorHAnsi"/>
          <w:b w:val="0"/>
          <w:sz w:val="22"/>
          <w:szCs w:val="22"/>
        </w:rPr>
        <w:t>waarop</w:t>
      </w:r>
      <w:r w:rsidRPr="006F6DF8">
        <w:rPr>
          <w:rFonts w:asciiTheme="minorHAnsi" w:hAnsiTheme="minorHAnsi" w:cstheme="minorHAnsi"/>
          <w:b w:val="0"/>
          <w:sz w:val="22"/>
          <w:szCs w:val="22"/>
        </w:rPr>
        <w:t xml:space="preserve"> ik het </w:t>
      </w:r>
      <w:r w:rsidR="0022499A" w:rsidRPr="006F6DF8">
        <w:rPr>
          <w:rFonts w:asciiTheme="minorHAnsi" w:hAnsiTheme="minorHAnsi" w:cstheme="minorHAnsi"/>
          <w:b w:val="0"/>
          <w:sz w:val="22"/>
          <w:szCs w:val="22"/>
        </w:rPr>
        <w:t xml:space="preserve">oorspronkelijk van plan was, </w:t>
      </w:r>
      <w:r w:rsidR="00DD692C" w:rsidRPr="006F6DF8">
        <w:rPr>
          <w:rFonts w:asciiTheme="minorHAnsi" w:hAnsiTheme="minorHAnsi" w:cstheme="minorHAnsi"/>
          <w:b w:val="0"/>
          <w:sz w:val="22"/>
          <w:szCs w:val="22"/>
        </w:rPr>
        <w:t xml:space="preserve">heb ik gezocht naar oplossingen. Dit viel echter niet mee aangezien er niet meer zaken over </w:t>
      </w:r>
      <w:r w:rsidR="00DD692C" w:rsidRPr="006F6DF8">
        <w:rPr>
          <w:rFonts w:asciiTheme="minorHAnsi" w:hAnsiTheme="minorHAnsi" w:cstheme="minorHAnsi"/>
          <w:b w:val="0"/>
          <w:sz w:val="22"/>
          <w:szCs w:val="22"/>
        </w:rPr>
        <w:lastRenderedPageBreak/>
        <w:t>mijn onderwerp zijn</w:t>
      </w:r>
      <w:r w:rsidR="00AE20EC" w:rsidRPr="006F6DF8">
        <w:rPr>
          <w:rFonts w:asciiTheme="minorHAnsi" w:hAnsiTheme="minorHAnsi" w:cstheme="minorHAnsi"/>
          <w:b w:val="0"/>
          <w:sz w:val="22"/>
          <w:szCs w:val="22"/>
        </w:rPr>
        <w:t xml:space="preserve"> en de uitspraken die er wel zijn erg lastig zijn</w:t>
      </w:r>
      <w:r w:rsidR="00DD692C" w:rsidRPr="006F6DF8">
        <w:rPr>
          <w:rFonts w:asciiTheme="minorHAnsi" w:hAnsiTheme="minorHAnsi" w:cstheme="minorHAnsi"/>
          <w:b w:val="0"/>
          <w:sz w:val="22"/>
          <w:szCs w:val="22"/>
        </w:rPr>
        <w:t xml:space="preserve">. Het onderwerp is immers zo specifiek en er zijn daarom weinig uitspraken over gedaan. Het </w:t>
      </w:r>
      <w:r w:rsidR="00827DBD" w:rsidRPr="006F6DF8">
        <w:rPr>
          <w:rFonts w:asciiTheme="minorHAnsi" w:hAnsiTheme="minorHAnsi" w:cstheme="minorHAnsi"/>
          <w:b w:val="0"/>
          <w:sz w:val="22"/>
          <w:szCs w:val="22"/>
        </w:rPr>
        <w:t xml:space="preserve">arrest Mulder </w:t>
      </w:r>
      <w:r w:rsidR="00DD692C" w:rsidRPr="006F6DF8">
        <w:rPr>
          <w:rFonts w:asciiTheme="minorHAnsi" w:hAnsiTheme="minorHAnsi" w:cstheme="minorHAnsi"/>
          <w:b w:val="0"/>
          <w:sz w:val="22"/>
          <w:szCs w:val="22"/>
        </w:rPr>
        <w:t>blijft zodoende leidend en er worden slechts kleine aanvullingen gegeven in recentere uitspraken.</w:t>
      </w:r>
      <w:r w:rsidR="00BB65C3" w:rsidRPr="006F6DF8">
        <w:rPr>
          <w:rFonts w:asciiTheme="minorHAnsi" w:hAnsiTheme="minorHAnsi" w:cstheme="minorHAnsi"/>
          <w:b w:val="0"/>
          <w:sz w:val="22"/>
          <w:szCs w:val="22"/>
        </w:rPr>
        <w:t xml:space="preserve"> </w:t>
      </w:r>
      <w:r w:rsidR="00E74694" w:rsidRPr="006F6DF8">
        <w:rPr>
          <w:rFonts w:asciiTheme="minorHAnsi" w:hAnsiTheme="minorHAnsi" w:cstheme="minorHAnsi"/>
          <w:b w:val="0"/>
          <w:sz w:val="22"/>
          <w:szCs w:val="22"/>
        </w:rPr>
        <w:t xml:space="preserve">Zodoende diende ik af te stappen van mijn oorspronkelijke onderzoeksmethode en diende ik dit deel van mijn onderzoek op een andere manier invulling te geven. </w:t>
      </w:r>
    </w:p>
    <w:p w:rsidR="00E1332C" w:rsidRPr="006F6DF8" w:rsidRDefault="00E1332C" w:rsidP="00064FB2">
      <w:pPr>
        <w:jc w:val="left"/>
        <w:rPr>
          <w:rFonts w:asciiTheme="minorHAnsi" w:hAnsiTheme="minorHAnsi" w:cstheme="minorHAnsi"/>
          <w:b w:val="0"/>
          <w:sz w:val="22"/>
          <w:szCs w:val="22"/>
        </w:rPr>
      </w:pPr>
    </w:p>
    <w:p w:rsidR="00E1332C" w:rsidRPr="006F6DF8" w:rsidRDefault="00E1332C" w:rsidP="00E1332C">
      <w:pPr>
        <w:jc w:val="left"/>
        <w:rPr>
          <w:rFonts w:asciiTheme="minorHAnsi" w:hAnsiTheme="minorHAnsi" w:cstheme="minorHAnsi"/>
          <w:b w:val="0"/>
          <w:sz w:val="22"/>
          <w:szCs w:val="22"/>
          <w:u w:val="single"/>
        </w:rPr>
      </w:pPr>
      <w:r w:rsidRPr="006F6DF8">
        <w:rPr>
          <w:rFonts w:asciiTheme="minorHAnsi" w:hAnsiTheme="minorHAnsi" w:cstheme="minorHAnsi"/>
          <w:b w:val="0"/>
          <w:sz w:val="22"/>
          <w:szCs w:val="22"/>
          <w:u w:val="single"/>
        </w:rPr>
        <w:t>§1.2 Nieuwe onderzoeksmethode</w:t>
      </w:r>
    </w:p>
    <w:p w:rsidR="00E1332C" w:rsidRPr="006F6DF8" w:rsidRDefault="006279DA" w:rsidP="00064FB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Zoals ik al aangaf zijn er weinig uitspraken over het verrekenen in het zicht van een faillissement. De uitspraken die erover gaan bevatten veelal slechts passages die interessant zijn voor het onderzoek. </w:t>
      </w:r>
      <w:r w:rsidR="006D0CDE" w:rsidRPr="006F6DF8">
        <w:rPr>
          <w:rFonts w:asciiTheme="minorHAnsi" w:hAnsiTheme="minorHAnsi" w:cstheme="minorHAnsi"/>
          <w:b w:val="0"/>
          <w:sz w:val="22"/>
          <w:szCs w:val="22"/>
        </w:rPr>
        <w:t xml:space="preserve">De </w:t>
      </w:r>
      <w:r w:rsidR="009B0B65" w:rsidRPr="006F6DF8">
        <w:rPr>
          <w:rFonts w:asciiTheme="minorHAnsi" w:hAnsiTheme="minorHAnsi" w:cstheme="minorHAnsi"/>
          <w:b w:val="0"/>
          <w:sz w:val="22"/>
          <w:szCs w:val="22"/>
        </w:rPr>
        <w:t>passages zelf</w:t>
      </w:r>
      <w:r w:rsidR="006D0CDE" w:rsidRPr="006F6DF8">
        <w:rPr>
          <w:rFonts w:asciiTheme="minorHAnsi" w:hAnsiTheme="minorHAnsi" w:cstheme="minorHAnsi"/>
          <w:b w:val="0"/>
          <w:sz w:val="22"/>
          <w:szCs w:val="22"/>
        </w:rPr>
        <w:t xml:space="preserve"> zijn in een aantal gevallen interessant genoeg om mee te nemen in het onderzoek. In mijn nieuwe onderzoeksmethode zullen deze passages daarom centraal staan. </w:t>
      </w:r>
      <w:r w:rsidR="009B0B65" w:rsidRPr="006F6DF8">
        <w:rPr>
          <w:rFonts w:asciiTheme="minorHAnsi" w:hAnsiTheme="minorHAnsi" w:cstheme="minorHAnsi"/>
          <w:b w:val="0"/>
          <w:sz w:val="22"/>
          <w:szCs w:val="22"/>
        </w:rPr>
        <w:t xml:space="preserve">Het jurisprudentieonderzoek heeft nog steeds als fundament het arrest Mulder. Het arrest Mulder is een zaak uit 1995 en weergeeft niet alle omstandigheden en uitzonderingen waarop verrekening in het zicht van een faillissement is toegestaan. </w:t>
      </w:r>
      <w:r w:rsidR="00854A99" w:rsidRPr="006F6DF8">
        <w:rPr>
          <w:rFonts w:asciiTheme="minorHAnsi" w:hAnsiTheme="minorHAnsi" w:cstheme="minorHAnsi"/>
          <w:b w:val="0"/>
          <w:sz w:val="22"/>
          <w:szCs w:val="22"/>
        </w:rPr>
        <w:t xml:space="preserve">Er wordt alleen geschetst dat degene die een pandrecht heeft mag verrekenen in het zicht van een faillissement en dat het zonder pandrecht niet mag. Ik zal als basis nog steeds dezelfde 38 uitspraken gebruiken </w:t>
      </w:r>
      <w:r w:rsidR="00EF59E6" w:rsidRPr="006F6DF8">
        <w:rPr>
          <w:rFonts w:asciiTheme="minorHAnsi" w:hAnsiTheme="minorHAnsi" w:cstheme="minorHAnsi"/>
          <w:b w:val="0"/>
          <w:sz w:val="22"/>
          <w:szCs w:val="22"/>
        </w:rPr>
        <w:t>als in</w:t>
      </w:r>
      <w:r w:rsidR="00480774" w:rsidRPr="006F6DF8">
        <w:rPr>
          <w:rFonts w:asciiTheme="minorHAnsi" w:hAnsiTheme="minorHAnsi" w:cstheme="minorHAnsi"/>
          <w:b w:val="0"/>
          <w:sz w:val="22"/>
          <w:szCs w:val="22"/>
        </w:rPr>
        <w:t xml:space="preserve"> mijn oorspronkelijke onderzoek </w:t>
      </w:r>
      <w:r w:rsidR="00854A99" w:rsidRPr="006F6DF8">
        <w:rPr>
          <w:rFonts w:asciiTheme="minorHAnsi" w:hAnsiTheme="minorHAnsi" w:cstheme="minorHAnsi"/>
          <w:b w:val="0"/>
          <w:sz w:val="22"/>
          <w:szCs w:val="22"/>
        </w:rPr>
        <w:t xml:space="preserve">en </w:t>
      </w:r>
      <w:r w:rsidR="00480774" w:rsidRPr="006F6DF8">
        <w:rPr>
          <w:rFonts w:asciiTheme="minorHAnsi" w:hAnsiTheme="minorHAnsi" w:cstheme="minorHAnsi"/>
          <w:b w:val="0"/>
          <w:sz w:val="22"/>
          <w:szCs w:val="22"/>
        </w:rPr>
        <w:t xml:space="preserve">daarvan </w:t>
      </w:r>
      <w:r w:rsidR="00D86D7E" w:rsidRPr="006F6DF8">
        <w:rPr>
          <w:rFonts w:asciiTheme="minorHAnsi" w:hAnsiTheme="minorHAnsi" w:cstheme="minorHAnsi"/>
          <w:b w:val="0"/>
          <w:sz w:val="22"/>
          <w:szCs w:val="22"/>
        </w:rPr>
        <w:t>uit 20 tot 25</w:t>
      </w:r>
      <w:r w:rsidR="00854A99" w:rsidRPr="006F6DF8">
        <w:rPr>
          <w:rFonts w:asciiTheme="minorHAnsi" w:hAnsiTheme="minorHAnsi" w:cstheme="minorHAnsi"/>
          <w:b w:val="0"/>
          <w:sz w:val="22"/>
          <w:szCs w:val="22"/>
        </w:rPr>
        <w:t xml:space="preserve"> uitspraken belangrijke passages proberen te halen. </w:t>
      </w:r>
      <w:r w:rsidR="00845040" w:rsidRPr="006F6DF8">
        <w:rPr>
          <w:rFonts w:asciiTheme="minorHAnsi" w:hAnsiTheme="minorHAnsi" w:cstheme="minorHAnsi"/>
          <w:b w:val="0"/>
          <w:sz w:val="22"/>
          <w:szCs w:val="22"/>
        </w:rPr>
        <w:t>Er zijn door de jaren heen slechts 38 uitspraken gedaan die enigszins verband houden met mijn onderzoek. Zodoende zal ik deze uitspraken goed moeten filteren en er zoveel mogelijk informatie uit proberen te halen.</w:t>
      </w:r>
    </w:p>
    <w:p w:rsidR="00673F81" w:rsidRPr="006F6DF8" w:rsidRDefault="00673F81" w:rsidP="00064FB2">
      <w:pPr>
        <w:jc w:val="left"/>
        <w:rPr>
          <w:rFonts w:asciiTheme="minorHAnsi" w:hAnsiTheme="minorHAnsi" w:cstheme="minorHAnsi"/>
          <w:b w:val="0"/>
          <w:sz w:val="22"/>
          <w:szCs w:val="22"/>
        </w:rPr>
      </w:pPr>
    </w:p>
    <w:p w:rsidR="00673F81" w:rsidRPr="006F6DF8" w:rsidRDefault="00EF59E6" w:rsidP="00064FB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In deze onderzoeksmethode zal ik dus niet langer met topics werken. Ik zal daarentegen passages gaan bekijken die interessant zijn voor dit onderzoek. </w:t>
      </w:r>
      <w:r w:rsidR="00DF376D" w:rsidRPr="006F6DF8">
        <w:rPr>
          <w:rFonts w:asciiTheme="minorHAnsi" w:hAnsiTheme="minorHAnsi" w:cstheme="minorHAnsi"/>
          <w:b w:val="0"/>
          <w:sz w:val="22"/>
          <w:szCs w:val="22"/>
        </w:rPr>
        <w:t>Bij d</w:t>
      </w:r>
      <w:r w:rsidRPr="006F6DF8">
        <w:rPr>
          <w:rFonts w:asciiTheme="minorHAnsi" w:hAnsiTheme="minorHAnsi" w:cstheme="minorHAnsi"/>
          <w:b w:val="0"/>
          <w:sz w:val="22"/>
          <w:szCs w:val="22"/>
        </w:rPr>
        <w:t xml:space="preserve">e passages die ik tegenkom zal ik toelichten waarom deze interessant zijn en koppelen aan dit onderzoek. </w:t>
      </w:r>
      <w:r w:rsidR="00C05404" w:rsidRPr="006F6DF8">
        <w:rPr>
          <w:rFonts w:asciiTheme="minorHAnsi" w:hAnsiTheme="minorHAnsi" w:cstheme="minorHAnsi"/>
          <w:b w:val="0"/>
          <w:sz w:val="22"/>
          <w:szCs w:val="22"/>
        </w:rPr>
        <w:t xml:space="preserve">De focus </w:t>
      </w:r>
      <w:r w:rsidR="0011639C" w:rsidRPr="006F6DF8">
        <w:rPr>
          <w:rFonts w:asciiTheme="minorHAnsi" w:hAnsiTheme="minorHAnsi" w:cstheme="minorHAnsi"/>
          <w:b w:val="0"/>
          <w:sz w:val="22"/>
          <w:szCs w:val="22"/>
        </w:rPr>
        <w:t>voor het gebruik van</w:t>
      </w:r>
      <w:r w:rsidR="003004EF" w:rsidRPr="006F6DF8">
        <w:rPr>
          <w:rFonts w:asciiTheme="minorHAnsi" w:hAnsiTheme="minorHAnsi" w:cstheme="minorHAnsi"/>
          <w:b w:val="0"/>
          <w:sz w:val="22"/>
          <w:szCs w:val="22"/>
        </w:rPr>
        <w:t xml:space="preserve"> de</w:t>
      </w:r>
      <w:r w:rsidR="00C05404" w:rsidRPr="006F6DF8">
        <w:rPr>
          <w:rFonts w:asciiTheme="minorHAnsi" w:hAnsiTheme="minorHAnsi" w:cstheme="minorHAnsi"/>
          <w:b w:val="0"/>
          <w:sz w:val="22"/>
          <w:szCs w:val="22"/>
        </w:rPr>
        <w:t xml:space="preserve"> passages ligt op </w:t>
      </w:r>
      <w:r w:rsidR="0011639C" w:rsidRPr="006F6DF8">
        <w:rPr>
          <w:rFonts w:asciiTheme="minorHAnsi" w:hAnsiTheme="minorHAnsi" w:cstheme="minorHAnsi"/>
          <w:b w:val="0"/>
          <w:sz w:val="22"/>
          <w:szCs w:val="22"/>
        </w:rPr>
        <w:t xml:space="preserve">de toegevoegde waarde die zij hebben ten aanzien van informatie omtrent het verrekenen in het zicht van een faillissement. Echter, niet </w:t>
      </w:r>
      <w:r w:rsidR="00C05404" w:rsidRPr="006F6DF8">
        <w:rPr>
          <w:rFonts w:asciiTheme="minorHAnsi" w:hAnsiTheme="minorHAnsi" w:cstheme="minorHAnsi"/>
          <w:b w:val="0"/>
          <w:sz w:val="22"/>
          <w:szCs w:val="22"/>
        </w:rPr>
        <w:t xml:space="preserve">alleen passages </w:t>
      </w:r>
      <w:r w:rsidR="0011639C" w:rsidRPr="006F6DF8">
        <w:rPr>
          <w:rFonts w:asciiTheme="minorHAnsi" w:hAnsiTheme="minorHAnsi" w:cstheme="minorHAnsi"/>
          <w:b w:val="0"/>
          <w:sz w:val="22"/>
          <w:szCs w:val="22"/>
        </w:rPr>
        <w:t xml:space="preserve">die om verrekenen </w:t>
      </w:r>
      <w:r w:rsidR="00DF376D" w:rsidRPr="006F6DF8">
        <w:rPr>
          <w:rFonts w:asciiTheme="minorHAnsi" w:hAnsiTheme="minorHAnsi" w:cstheme="minorHAnsi"/>
          <w:b w:val="0"/>
          <w:sz w:val="22"/>
          <w:szCs w:val="22"/>
        </w:rPr>
        <w:t xml:space="preserve">in het zicht van een faillissement </w:t>
      </w:r>
      <w:r w:rsidR="0011639C" w:rsidRPr="006F6DF8">
        <w:rPr>
          <w:rFonts w:asciiTheme="minorHAnsi" w:hAnsiTheme="minorHAnsi" w:cstheme="minorHAnsi"/>
          <w:b w:val="0"/>
          <w:sz w:val="22"/>
          <w:szCs w:val="22"/>
        </w:rPr>
        <w:t xml:space="preserve">draaien hoeven interessant te zijn voor dit onderzoek. </w:t>
      </w:r>
      <w:r w:rsidR="00F63E94" w:rsidRPr="006F6DF8">
        <w:rPr>
          <w:rFonts w:asciiTheme="minorHAnsi" w:hAnsiTheme="minorHAnsi" w:cstheme="minorHAnsi"/>
          <w:b w:val="0"/>
          <w:sz w:val="22"/>
          <w:szCs w:val="22"/>
        </w:rPr>
        <w:t>P</w:t>
      </w:r>
      <w:r w:rsidR="0011639C" w:rsidRPr="006F6DF8">
        <w:rPr>
          <w:rFonts w:asciiTheme="minorHAnsi" w:hAnsiTheme="minorHAnsi" w:cstheme="minorHAnsi"/>
          <w:b w:val="0"/>
          <w:sz w:val="22"/>
          <w:szCs w:val="22"/>
        </w:rPr>
        <w:t xml:space="preserve">assages over het vestigen of openbaar maken van een pandrecht, de inningsbevoegdheid van een curator of de werking van verzamelpandakten, </w:t>
      </w:r>
      <w:r w:rsidR="00F63E94" w:rsidRPr="006F6DF8">
        <w:rPr>
          <w:rFonts w:asciiTheme="minorHAnsi" w:hAnsiTheme="minorHAnsi" w:cstheme="minorHAnsi"/>
          <w:b w:val="0"/>
          <w:sz w:val="22"/>
          <w:szCs w:val="22"/>
        </w:rPr>
        <w:t xml:space="preserve">kunnen immers ook </w:t>
      </w:r>
      <w:r w:rsidR="0011639C" w:rsidRPr="006F6DF8">
        <w:rPr>
          <w:rFonts w:asciiTheme="minorHAnsi" w:hAnsiTheme="minorHAnsi" w:cstheme="minorHAnsi"/>
          <w:b w:val="0"/>
          <w:sz w:val="22"/>
          <w:szCs w:val="22"/>
        </w:rPr>
        <w:t xml:space="preserve">interessant zijn voor dit onderzoek. </w:t>
      </w:r>
    </w:p>
    <w:p w:rsidR="006F6FC1" w:rsidRPr="006F6DF8" w:rsidRDefault="006F6FC1" w:rsidP="00064FB2">
      <w:pPr>
        <w:jc w:val="left"/>
        <w:rPr>
          <w:rFonts w:asciiTheme="minorHAnsi" w:hAnsiTheme="minorHAnsi" w:cstheme="minorHAnsi"/>
          <w:b w:val="0"/>
          <w:sz w:val="22"/>
          <w:szCs w:val="22"/>
        </w:rPr>
      </w:pPr>
    </w:p>
    <w:p w:rsidR="006F6FC1" w:rsidRPr="006F6DF8" w:rsidRDefault="006F6FC1" w:rsidP="00064FB2">
      <w:pPr>
        <w:jc w:val="left"/>
        <w:rPr>
          <w:rFonts w:asciiTheme="minorHAnsi" w:hAnsiTheme="minorHAnsi" w:cstheme="minorHAnsi"/>
          <w:b w:val="0"/>
          <w:sz w:val="22"/>
          <w:szCs w:val="22"/>
        </w:rPr>
      </w:pPr>
      <w:r w:rsidRPr="006F6DF8">
        <w:rPr>
          <w:rFonts w:asciiTheme="minorHAnsi" w:hAnsiTheme="minorHAnsi" w:cstheme="minorHAnsi"/>
          <w:b w:val="0"/>
          <w:sz w:val="22"/>
          <w:szCs w:val="22"/>
        </w:rPr>
        <w:t>De rechtsoverwegingen die voortvloeien uit de passages zal ik koppelen aan dit onderzoek. Ik zal uitleg</w:t>
      </w:r>
      <w:r w:rsidR="00330CD9" w:rsidRPr="006F6DF8">
        <w:rPr>
          <w:rFonts w:asciiTheme="minorHAnsi" w:hAnsiTheme="minorHAnsi" w:cstheme="minorHAnsi"/>
          <w:b w:val="0"/>
          <w:sz w:val="22"/>
          <w:szCs w:val="22"/>
        </w:rPr>
        <w:t xml:space="preserve">gen waarom deze rechtsoverwegingen van belang zijn en </w:t>
      </w:r>
      <w:r w:rsidR="004018CF" w:rsidRPr="006F6DF8">
        <w:rPr>
          <w:rFonts w:asciiTheme="minorHAnsi" w:hAnsiTheme="minorHAnsi" w:cstheme="minorHAnsi"/>
          <w:b w:val="0"/>
          <w:sz w:val="22"/>
          <w:szCs w:val="22"/>
        </w:rPr>
        <w:t xml:space="preserve">wat hun </w:t>
      </w:r>
      <w:r w:rsidR="005C4B43" w:rsidRPr="006F6DF8">
        <w:rPr>
          <w:rFonts w:asciiTheme="minorHAnsi" w:hAnsiTheme="minorHAnsi" w:cstheme="minorHAnsi"/>
          <w:b w:val="0"/>
          <w:sz w:val="22"/>
          <w:szCs w:val="22"/>
        </w:rPr>
        <w:t>toegevoegde</w:t>
      </w:r>
      <w:r w:rsidR="004018CF" w:rsidRPr="006F6DF8">
        <w:rPr>
          <w:rFonts w:asciiTheme="minorHAnsi" w:hAnsiTheme="minorHAnsi" w:cstheme="minorHAnsi"/>
          <w:b w:val="0"/>
          <w:sz w:val="22"/>
          <w:szCs w:val="22"/>
        </w:rPr>
        <w:t xml:space="preserve"> waarde is voor dit onderzoek. </w:t>
      </w:r>
      <w:r w:rsidR="004E4CAC" w:rsidRPr="006F6DF8">
        <w:rPr>
          <w:rFonts w:asciiTheme="minorHAnsi" w:hAnsiTheme="minorHAnsi" w:cstheme="minorHAnsi"/>
          <w:b w:val="0"/>
          <w:sz w:val="22"/>
          <w:szCs w:val="22"/>
        </w:rPr>
        <w:t>O</w:t>
      </w:r>
      <w:r w:rsidRPr="006F6DF8">
        <w:rPr>
          <w:rFonts w:asciiTheme="minorHAnsi" w:hAnsiTheme="minorHAnsi" w:cstheme="minorHAnsi"/>
          <w:b w:val="0"/>
          <w:sz w:val="22"/>
          <w:szCs w:val="22"/>
        </w:rPr>
        <w:t>p basis van alle informatie</w:t>
      </w:r>
      <w:r w:rsidR="00382053" w:rsidRPr="006F6DF8">
        <w:rPr>
          <w:rFonts w:asciiTheme="minorHAnsi" w:hAnsiTheme="minorHAnsi" w:cstheme="minorHAnsi"/>
          <w:b w:val="0"/>
          <w:sz w:val="22"/>
          <w:szCs w:val="22"/>
        </w:rPr>
        <w:t xml:space="preserve"> die ik uit de passages verkrijg</w:t>
      </w:r>
      <w:r w:rsidRPr="006F6DF8">
        <w:rPr>
          <w:rFonts w:asciiTheme="minorHAnsi" w:hAnsiTheme="minorHAnsi" w:cstheme="minorHAnsi"/>
          <w:b w:val="0"/>
          <w:sz w:val="22"/>
          <w:szCs w:val="22"/>
        </w:rPr>
        <w:t xml:space="preserve"> </w:t>
      </w:r>
      <w:r w:rsidR="004E4CAC" w:rsidRPr="006F6DF8">
        <w:rPr>
          <w:rFonts w:asciiTheme="minorHAnsi" w:hAnsiTheme="minorHAnsi" w:cstheme="minorHAnsi"/>
          <w:b w:val="0"/>
          <w:sz w:val="22"/>
          <w:szCs w:val="22"/>
        </w:rPr>
        <w:t xml:space="preserve">zal ik </w:t>
      </w:r>
      <w:r w:rsidRPr="006F6DF8">
        <w:rPr>
          <w:rFonts w:asciiTheme="minorHAnsi" w:hAnsiTheme="minorHAnsi" w:cstheme="minorHAnsi"/>
          <w:b w:val="0"/>
          <w:sz w:val="22"/>
          <w:szCs w:val="22"/>
        </w:rPr>
        <w:t xml:space="preserve">een antwoord proberen te geven op </w:t>
      </w:r>
      <w:r w:rsidR="004E4CAC" w:rsidRPr="006F6DF8">
        <w:rPr>
          <w:rFonts w:asciiTheme="minorHAnsi" w:hAnsiTheme="minorHAnsi" w:cstheme="minorHAnsi"/>
          <w:b w:val="0"/>
          <w:sz w:val="22"/>
          <w:szCs w:val="22"/>
        </w:rPr>
        <w:t xml:space="preserve">deelvraag 5 en zal ik </w:t>
      </w:r>
      <w:r w:rsidR="00382053" w:rsidRPr="006F6DF8">
        <w:rPr>
          <w:rFonts w:asciiTheme="minorHAnsi" w:hAnsiTheme="minorHAnsi" w:cstheme="minorHAnsi"/>
          <w:b w:val="0"/>
          <w:sz w:val="22"/>
          <w:szCs w:val="22"/>
        </w:rPr>
        <w:t xml:space="preserve">zodoende </w:t>
      </w:r>
      <w:r w:rsidR="004E4CAC" w:rsidRPr="006F6DF8">
        <w:rPr>
          <w:rFonts w:asciiTheme="minorHAnsi" w:hAnsiTheme="minorHAnsi" w:cstheme="minorHAnsi"/>
          <w:b w:val="0"/>
          <w:sz w:val="22"/>
          <w:szCs w:val="22"/>
        </w:rPr>
        <w:t xml:space="preserve">in kaart proberen te brengen wat </w:t>
      </w:r>
      <w:r w:rsidR="00287ECE" w:rsidRPr="006F6DF8">
        <w:rPr>
          <w:rFonts w:asciiTheme="minorHAnsi" w:hAnsiTheme="minorHAnsi" w:cstheme="minorHAnsi"/>
          <w:b w:val="0"/>
          <w:sz w:val="22"/>
          <w:szCs w:val="22"/>
        </w:rPr>
        <w:t xml:space="preserve">volgens jurisprudentie </w:t>
      </w:r>
      <w:r w:rsidR="00D11D7D" w:rsidRPr="006F6DF8">
        <w:rPr>
          <w:rFonts w:asciiTheme="minorHAnsi" w:hAnsiTheme="minorHAnsi" w:cstheme="minorHAnsi"/>
          <w:b w:val="0"/>
          <w:sz w:val="22"/>
          <w:szCs w:val="22"/>
        </w:rPr>
        <w:t>de omstandigheden zijn om te mogen verrekenen in het zicht van het faillissement.</w:t>
      </w:r>
      <w:r w:rsidR="00FA1C5A" w:rsidRPr="006F6DF8">
        <w:rPr>
          <w:rFonts w:asciiTheme="minorHAnsi" w:hAnsiTheme="minorHAnsi" w:cstheme="minorHAnsi"/>
          <w:b w:val="0"/>
          <w:sz w:val="22"/>
          <w:szCs w:val="22"/>
        </w:rPr>
        <w:t xml:space="preserve"> </w:t>
      </w:r>
      <w:r w:rsidR="00133936" w:rsidRPr="006F6DF8">
        <w:rPr>
          <w:rFonts w:asciiTheme="minorHAnsi" w:hAnsiTheme="minorHAnsi" w:cstheme="minorHAnsi"/>
          <w:b w:val="0"/>
          <w:sz w:val="22"/>
          <w:szCs w:val="22"/>
        </w:rPr>
        <w:t xml:space="preserve">In bijlage 1 is mijn jurisprudentieonderzoek terug te vinden. Hierin zijn de zaken waarin een belangrijke of interessante rechtsoverweging naar voren kwam omtrent verrekenen in het zicht van een faillissement  opgenomen in de tabel. In de eerste kolom is het zaaknummer terug te vinden, overeenkomend met één van de jurisprudentiezaken onderaan </w:t>
      </w:r>
      <w:r w:rsidR="006206D0" w:rsidRPr="006F6DF8">
        <w:rPr>
          <w:rFonts w:asciiTheme="minorHAnsi" w:hAnsiTheme="minorHAnsi" w:cstheme="minorHAnsi"/>
          <w:b w:val="0"/>
          <w:sz w:val="22"/>
          <w:szCs w:val="22"/>
        </w:rPr>
        <w:t>de</w:t>
      </w:r>
      <w:r w:rsidR="00133936" w:rsidRPr="006F6DF8">
        <w:rPr>
          <w:rFonts w:asciiTheme="minorHAnsi" w:hAnsiTheme="minorHAnsi" w:cstheme="minorHAnsi"/>
          <w:b w:val="0"/>
          <w:sz w:val="22"/>
          <w:szCs w:val="22"/>
        </w:rPr>
        <w:t xml:space="preserve"> bijlage. De interessante rechtsoverweging is daarbij opgenomen in de tweede kolom. </w:t>
      </w:r>
      <w:r w:rsidR="00FA1C5A" w:rsidRPr="006F6DF8">
        <w:rPr>
          <w:rFonts w:asciiTheme="minorHAnsi" w:hAnsiTheme="minorHAnsi" w:cstheme="minorHAnsi"/>
          <w:b w:val="0"/>
          <w:sz w:val="22"/>
          <w:szCs w:val="22"/>
        </w:rPr>
        <w:t>Tot slot is in de derde kolom terug te vinden wat de rechtsoverweging betekent en bepaalt die kolom in combinatie met</w:t>
      </w:r>
      <w:r w:rsidR="006206D0" w:rsidRPr="006F6DF8">
        <w:rPr>
          <w:rFonts w:asciiTheme="minorHAnsi" w:hAnsiTheme="minorHAnsi" w:cstheme="minorHAnsi"/>
          <w:b w:val="0"/>
          <w:sz w:val="22"/>
          <w:szCs w:val="22"/>
        </w:rPr>
        <w:t xml:space="preserve"> onderstaande</w:t>
      </w:r>
      <w:r w:rsidR="00FA1C5A" w:rsidRPr="006F6DF8">
        <w:rPr>
          <w:rFonts w:asciiTheme="minorHAnsi" w:hAnsiTheme="minorHAnsi" w:cstheme="minorHAnsi"/>
          <w:b w:val="0"/>
          <w:sz w:val="22"/>
          <w:szCs w:val="22"/>
        </w:rPr>
        <w:t xml:space="preserve"> paragraaf 2 waarom de rechtsoverweging van belang is voor mijn onderzoek.</w:t>
      </w:r>
    </w:p>
    <w:p w:rsidR="00382053" w:rsidRPr="006F6DF8" w:rsidRDefault="00382053" w:rsidP="00041595">
      <w:pPr>
        <w:jc w:val="left"/>
        <w:rPr>
          <w:rFonts w:asciiTheme="minorHAnsi" w:hAnsiTheme="minorHAnsi" w:cstheme="minorHAnsi"/>
          <w:sz w:val="22"/>
          <w:szCs w:val="22"/>
        </w:rPr>
      </w:pPr>
    </w:p>
    <w:p w:rsidR="00F30FEA" w:rsidRPr="00570D50" w:rsidRDefault="00F30FEA" w:rsidP="00570D50">
      <w:pPr>
        <w:pStyle w:val="Kop2"/>
        <w:spacing w:before="0" w:beforeAutospacing="0" w:after="0" w:afterAutospacing="0"/>
        <w:rPr>
          <w:rFonts w:asciiTheme="minorHAnsi" w:hAnsiTheme="minorHAnsi" w:cstheme="minorHAnsi"/>
          <w:sz w:val="24"/>
          <w:szCs w:val="24"/>
        </w:rPr>
      </w:pPr>
      <w:bookmarkStart w:id="38" w:name="_Toc486246632"/>
      <w:r w:rsidRPr="00570D50">
        <w:rPr>
          <w:rFonts w:asciiTheme="minorHAnsi" w:hAnsiTheme="minorHAnsi" w:cstheme="minorHAnsi"/>
          <w:sz w:val="24"/>
          <w:szCs w:val="24"/>
        </w:rPr>
        <w:t>§2 Het onderzoek</w:t>
      </w:r>
      <w:bookmarkEnd w:id="38"/>
    </w:p>
    <w:p w:rsidR="008F2A1E" w:rsidRPr="006F6DF8" w:rsidRDefault="00927079" w:rsidP="00041595">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Dit onderzoek is gedaan op basis van de resultaten in bijlage 1. </w:t>
      </w:r>
      <w:r w:rsidR="00BE79DA" w:rsidRPr="006F6DF8">
        <w:rPr>
          <w:rFonts w:asciiTheme="minorHAnsi" w:hAnsiTheme="minorHAnsi" w:cstheme="minorHAnsi"/>
          <w:b w:val="0"/>
          <w:sz w:val="22"/>
          <w:szCs w:val="22"/>
        </w:rPr>
        <w:t xml:space="preserve">In deze bijlage zijn de rechtszaken met de interessante rechtsoverwegingen opgenomen. </w:t>
      </w:r>
      <w:r w:rsidR="008F2A1E" w:rsidRPr="006F6DF8">
        <w:rPr>
          <w:rFonts w:asciiTheme="minorHAnsi" w:hAnsiTheme="minorHAnsi" w:cstheme="minorHAnsi"/>
          <w:b w:val="0"/>
          <w:sz w:val="22"/>
          <w:szCs w:val="22"/>
        </w:rPr>
        <w:t>Met dit onderzoek wil ik in kaart brengen waar rechters op letten wanneer iemand wil verrekenen in het zicht van een faillissement.</w:t>
      </w:r>
      <w:r w:rsidR="00FD7AB5" w:rsidRPr="006F6DF8">
        <w:rPr>
          <w:rFonts w:asciiTheme="minorHAnsi" w:hAnsiTheme="minorHAnsi" w:cstheme="minorHAnsi"/>
          <w:b w:val="0"/>
          <w:sz w:val="22"/>
          <w:szCs w:val="22"/>
        </w:rPr>
        <w:t xml:space="preserve"> </w:t>
      </w:r>
      <w:r w:rsidR="008F2A1E" w:rsidRPr="006F6DF8">
        <w:rPr>
          <w:rFonts w:asciiTheme="minorHAnsi" w:hAnsiTheme="minorHAnsi" w:cstheme="minorHAnsi"/>
          <w:b w:val="0"/>
          <w:sz w:val="22"/>
          <w:szCs w:val="22"/>
        </w:rPr>
        <w:t>Uit het arrest Muld</w:t>
      </w:r>
      <w:r w:rsidR="00FD7AB5" w:rsidRPr="006F6DF8">
        <w:rPr>
          <w:rFonts w:asciiTheme="minorHAnsi" w:hAnsiTheme="minorHAnsi" w:cstheme="minorHAnsi"/>
          <w:b w:val="0"/>
          <w:sz w:val="22"/>
          <w:szCs w:val="22"/>
        </w:rPr>
        <w:t xml:space="preserve">er q.q./CLBN is al gebleken dat wanneer een bank </w:t>
      </w:r>
      <w:r w:rsidR="006B2C03" w:rsidRPr="006F6DF8">
        <w:rPr>
          <w:rFonts w:asciiTheme="minorHAnsi" w:hAnsiTheme="minorHAnsi" w:cstheme="minorHAnsi"/>
          <w:b w:val="0"/>
          <w:sz w:val="22"/>
          <w:szCs w:val="22"/>
        </w:rPr>
        <w:t xml:space="preserve">financieel dienstverlener is en tevens </w:t>
      </w:r>
      <w:r w:rsidR="00FD7AB5" w:rsidRPr="006F6DF8">
        <w:rPr>
          <w:rFonts w:asciiTheme="minorHAnsi" w:hAnsiTheme="minorHAnsi" w:cstheme="minorHAnsi"/>
          <w:b w:val="0"/>
          <w:sz w:val="22"/>
          <w:szCs w:val="22"/>
        </w:rPr>
        <w:t>stil</w:t>
      </w:r>
      <w:r w:rsidR="006B2C03" w:rsidRPr="006F6DF8">
        <w:rPr>
          <w:rFonts w:asciiTheme="minorHAnsi" w:hAnsiTheme="minorHAnsi" w:cstheme="minorHAnsi"/>
          <w:b w:val="0"/>
          <w:sz w:val="22"/>
          <w:szCs w:val="22"/>
        </w:rPr>
        <w:t>le</w:t>
      </w:r>
      <w:r w:rsidR="00FD7AB5" w:rsidRPr="006F6DF8">
        <w:rPr>
          <w:rFonts w:asciiTheme="minorHAnsi" w:hAnsiTheme="minorHAnsi" w:cstheme="minorHAnsi"/>
          <w:b w:val="0"/>
          <w:sz w:val="22"/>
          <w:szCs w:val="22"/>
        </w:rPr>
        <w:t xml:space="preserve"> pandrecht</w:t>
      </w:r>
      <w:r w:rsidR="006B2C03" w:rsidRPr="006F6DF8">
        <w:rPr>
          <w:rFonts w:asciiTheme="minorHAnsi" w:hAnsiTheme="minorHAnsi" w:cstheme="minorHAnsi"/>
          <w:b w:val="0"/>
          <w:sz w:val="22"/>
          <w:szCs w:val="22"/>
        </w:rPr>
        <w:t>en</w:t>
      </w:r>
      <w:r w:rsidR="00FD7AB5" w:rsidRPr="006F6DF8">
        <w:rPr>
          <w:rFonts w:asciiTheme="minorHAnsi" w:hAnsiTheme="minorHAnsi" w:cstheme="minorHAnsi"/>
          <w:b w:val="0"/>
          <w:sz w:val="22"/>
          <w:szCs w:val="22"/>
        </w:rPr>
        <w:t xml:space="preserve"> heeft</w:t>
      </w:r>
      <w:r w:rsidR="006B2C03" w:rsidRPr="006F6DF8">
        <w:rPr>
          <w:rFonts w:asciiTheme="minorHAnsi" w:hAnsiTheme="minorHAnsi" w:cstheme="minorHAnsi"/>
          <w:b w:val="0"/>
          <w:sz w:val="22"/>
          <w:szCs w:val="22"/>
        </w:rPr>
        <w:t xml:space="preserve">, zij betalingen aan de </w:t>
      </w:r>
      <w:r w:rsidR="00FF41D0" w:rsidRPr="006F6DF8">
        <w:rPr>
          <w:rFonts w:asciiTheme="minorHAnsi" w:hAnsiTheme="minorHAnsi" w:cstheme="minorHAnsi"/>
          <w:b w:val="0"/>
          <w:sz w:val="22"/>
          <w:szCs w:val="22"/>
        </w:rPr>
        <w:t>pandgever</w:t>
      </w:r>
      <w:r w:rsidR="006B2C03" w:rsidRPr="006F6DF8">
        <w:rPr>
          <w:rFonts w:asciiTheme="minorHAnsi" w:hAnsiTheme="minorHAnsi" w:cstheme="minorHAnsi"/>
          <w:b w:val="0"/>
          <w:sz w:val="22"/>
          <w:szCs w:val="22"/>
        </w:rPr>
        <w:t xml:space="preserve"> </w:t>
      </w:r>
      <w:r w:rsidR="00E244C6" w:rsidRPr="006F6DF8">
        <w:rPr>
          <w:rFonts w:asciiTheme="minorHAnsi" w:hAnsiTheme="minorHAnsi" w:cstheme="minorHAnsi"/>
          <w:b w:val="0"/>
          <w:sz w:val="22"/>
          <w:szCs w:val="22"/>
        </w:rPr>
        <w:t xml:space="preserve">op basis van het pandrecht </w:t>
      </w:r>
      <w:r w:rsidR="006B2C03" w:rsidRPr="006F6DF8">
        <w:rPr>
          <w:rFonts w:asciiTheme="minorHAnsi" w:hAnsiTheme="minorHAnsi" w:cstheme="minorHAnsi"/>
          <w:b w:val="0"/>
          <w:sz w:val="22"/>
          <w:szCs w:val="22"/>
        </w:rPr>
        <w:t xml:space="preserve">mag verrekenen in het zicht van het faillissement van de </w:t>
      </w:r>
      <w:r w:rsidR="00FF41D0" w:rsidRPr="006F6DF8">
        <w:rPr>
          <w:rFonts w:asciiTheme="minorHAnsi" w:hAnsiTheme="minorHAnsi" w:cstheme="minorHAnsi"/>
          <w:b w:val="0"/>
          <w:sz w:val="22"/>
          <w:szCs w:val="22"/>
        </w:rPr>
        <w:t>pandgever</w:t>
      </w:r>
      <w:r w:rsidR="006B2C03" w:rsidRPr="006F6DF8">
        <w:rPr>
          <w:rFonts w:asciiTheme="minorHAnsi" w:hAnsiTheme="minorHAnsi" w:cstheme="minorHAnsi"/>
          <w:b w:val="0"/>
          <w:sz w:val="22"/>
          <w:szCs w:val="22"/>
        </w:rPr>
        <w:t xml:space="preserve">. </w:t>
      </w:r>
      <w:r w:rsidR="00E244C6" w:rsidRPr="006F6DF8">
        <w:rPr>
          <w:rFonts w:asciiTheme="minorHAnsi" w:hAnsiTheme="minorHAnsi" w:cstheme="minorHAnsi"/>
          <w:b w:val="0"/>
          <w:sz w:val="22"/>
          <w:szCs w:val="22"/>
        </w:rPr>
        <w:t>Door dit arrest</w:t>
      </w:r>
      <w:r w:rsidR="006B2C03" w:rsidRPr="006F6DF8">
        <w:rPr>
          <w:rFonts w:asciiTheme="minorHAnsi" w:hAnsiTheme="minorHAnsi" w:cstheme="minorHAnsi"/>
          <w:b w:val="0"/>
          <w:sz w:val="22"/>
          <w:szCs w:val="22"/>
        </w:rPr>
        <w:t xml:space="preserve"> komen een aantal </w:t>
      </w:r>
      <w:r w:rsidR="00E244C6" w:rsidRPr="006F6DF8">
        <w:rPr>
          <w:rFonts w:asciiTheme="minorHAnsi" w:hAnsiTheme="minorHAnsi" w:cstheme="minorHAnsi"/>
          <w:b w:val="0"/>
          <w:sz w:val="22"/>
          <w:szCs w:val="22"/>
        </w:rPr>
        <w:t>interessante overwegingen aan het licht</w:t>
      </w:r>
      <w:r w:rsidR="006B2C03" w:rsidRPr="006F6DF8">
        <w:rPr>
          <w:rFonts w:asciiTheme="minorHAnsi" w:hAnsiTheme="minorHAnsi" w:cstheme="minorHAnsi"/>
          <w:b w:val="0"/>
          <w:sz w:val="22"/>
          <w:szCs w:val="22"/>
        </w:rPr>
        <w:t xml:space="preserve">. Ten eerste dient de bank een lening te hebben verstrekt. Ten tweede dient de bank stille pandrechten te </w:t>
      </w:r>
      <w:r w:rsidR="00E244C6" w:rsidRPr="006F6DF8">
        <w:rPr>
          <w:rFonts w:asciiTheme="minorHAnsi" w:hAnsiTheme="minorHAnsi" w:cstheme="minorHAnsi"/>
          <w:b w:val="0"/>
          <w:sz w:val="22"/>
          <w:szCs w:val="22"/>
        </w:rPr>
        <w:t>bezitten</w:t>
      </w:r>
      <w:r w:rsidR="006B2C03" w:rsidRPr="006F6DF8">
        <w:rPr>
          <w:rFonts w:asciiTheme="minorHAnsi" w:hAnsiTheme="minorHAnsi" w:cstheme="minorHAnsi"/>
          <w:b w:val="0"/>
          <w:sz w:val="22"/>
          <w:szCs w:val="22"/>
        </w:rPr>
        <w:t xml:space="preserve">. Ten derde dienen deze pandrechten al te bestaan alvorens er sprake is van een komend faillissement. </w:t>
      </w:r>
      <w:r w:rsidR="00E244C6" w:rsidRPr="006F6DF8">
        <w:rPr>
          <w:rFonts w:asciiTheme="minorHAnsi" w:hAnsiTheme="minorHAnsi" w:cstheme="minorHAnsi"/>
          <w:b w:val="0"/>
          <w:sz w:val="22"/>
          <w:szCs w:val="22"/>
        </w:rPr>
        <w:t>Tot slot</w:t>
      </w:r>
      <w:r w:rsidR="001B0780" w:rsidRPr="006F6DF8">
        <w:rPr>
          <w:rFonts w:asciiTheme="minorHAnsi" w:hAnsiTheme="minorHAnsi" w:cstheme="minorHAnsi"/>
          <w:b w:val="0"/>
          <w:sz w:val="22"/>
          <w:szCs w:val="22"/>
        </w:rPr>
        <w:t xml:space="preserve"> kunnen de betalingen aan de </w:t>
      </w:r>
      <w:r w:rsidR="00FF41D0" w:rsidRPr="006F6DF8">
        <w:rPr>
          <w:rFonts w:asciiTheme="minorHAnsi" w:hAnsiTheme="minorHAnsi" w:cstheme="minorHAnsi"/>
          <w:b w:val="0"/>
          <w:sz w:val="22"/>
          <w:szCs w:val="22"/>
        </w:rPr>
        <w:t>pandgever</w:t>
      </w:r>
      <w:r w:rsidR="001B0780" w:rsidRPr="006F6DF8">
        <w:rPr>
          <w:rFonts w:asciiTheme="minorHAnsi" w:hAnsiTheme="minorHAnsi" w:cstheme="minorHAnsi"/>
          <w:b w:val="0"/>
          <w:sz w:val="22"/>
          <w:szCs w:val="22"/>
        </w:rPr>
        <w:t xml:space="preserve"> </w:t>
      </w:r>
      <w:r w:rsidR="001B0780" w:rsidRPr="006F6DF8">
        <w:rPr>
          <w:rFonts w:asciiTheme="minorHAnsi" w:hAnsiTheme="minorHAnsi" w:cstheme="minorHAnsi"/>
          <w:b w:val="0"/>
          <w:sz w:val="22"/>
          <w:szCs w:val="22"/>
        </w:rPr>
        <w:lastRenderedPageBreak/>
        <w:t>worden verrekend met de lening op basis van de stille pandrechten.</w:t>
      </w:r>
      <w:r w:rsidR="000A6F5D" w:rsidRPr="006F6DF8">
        <w:rPr>
          <w:rFonts w:asciiTheme="minorHAnsi" w:hAnsiTheme="minorHAnsi" w:cstheme="minorHAnsi"/>
          <w:b w:val="0"/>
          <w:sz w:val="22"/>
          <w:szCs w:val="22"/>
        </w:rPr>
        <w:t xml:space="preserve"> In het onderzoek zal ik er op letten of deze elementen nog steeds relevant zijn en zal ik zoeken naar nieuwe</w:t>
      </w:r>
      <w:r w:rsidR="00EF5C6E" w:rsidRPr="006F6DF8">
        <w:rPr>
          <w:rFonts w:asciiTheme="minorHAnsi" w:hAnsiTheme="minorHAnsi" w:cstheme="minorHAnsi"/>
          <w:b w:val="0"/>
          <w:sz w:val="22"/>
          <w:szCs w:val="22"/>
        </w:rPr>
        <w:t xml:space="preserve"> visies en antwoorden die de jurisprudentie door de jaren heen aan dit onderwerp heeft toegevoegd. </w:t>
      </w:r>
    </w:p>
    <w:p w:rsidR="00FD7AB5" w:rsidRPr="006F6DF8" w:rsidRDefault="00FD7AB5" w:rsidP="00041595">
      <w:pPr>
        <w:jc w:val="left"/>
        <w:rPr>
          <w:rFonts w:asciiTheme="minorHAnsi" w:hAnsiTheme="minorHAnsi" w:cstheme="minorHAnsi"/>
          <w:b w:val="0"/>
          <w:sz w:val="22"/>
          <w:szCs w:val="22"/>
        </w:rPr>
      </w:pPr>
    </w:p>
    <w:p w:rsidR="00FD7AB5" w:rsidRPr="006F6DF8" w:rsidRDefault="00845040" w:rsidP="00041595">
      <w:pPr>
        <w:jc w:val="left"/>
        <w:rPr>
          <w:rFonts w:asciiTheme="minorHAnsi" w:hAnsiTheme="minorHAnsi" w:cstheme="minorHAnsi"/>
          <w:b w:val="0"/>
          <w:sz w:val="22"/>
          <w:szCs w:val="22"/>
          <w:u w:val="single"/>
        </w:rPr>
      </w:pPr>
      <w:r w:rsidRPr="006F6DF8">
        <w:rPr>
          <w:rFonts w:asciiTheme="minorHAnsi" w:hAnsiTheme="minorHAnsi" w:cstheme="minorHAnsi"/>
          <w:b w:val="0"/>
          <w:sz w:val="22"/>
          <w:szCs w:val="22"/>
          <w:u w:val="single"/>
        </w:rPr>
        <w:t>§2.1 Stil pandrecht</w:t>
      </w:r>
    </w:p>
    <w:p w:rsidR="00FD7AB5" w:rsidRPr="006F6DF8" w:rsidRDefault="007375B6" w:rsidP="00041595">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Een belangrijk element in het arrest Mulder q.q./CLBN is het bezitten van een stil pandrecht op basis waarvan verrekend kan worden. </w:t>
      </w:r>
      <w:r w:rsidR="00FB09DB" w:rsidRPr="006F6DF8">
        <w:rPr>
          <w:rFonts w:asciiTheme="minorHAnsi" w:hAnsiTheme="minorHAnsi" w:cstheme="minorHAnsi"/>
          <w:b w:val="0"/>
          <w:sz w:val="22"/>
          <w:szCs w:val="22"/>
        </w:rPr>
        <w:t xml:space="preserve">In </w:t>
      </w:r>
      <w:r w:rsidR="005C3A6D" w:rsidRPr="006F6DF8">
        <w:rPr>
          <w:rFonts w:asciiTheme="minorHAnsi" w:hAnsiTheme="minorHAnsi" w:cstheme="minorHAnsi"/>
          <w:b w:val="0"/>
          <w:sz w:val="22"/>
          <w:szCs w:val="22"/>
        </w:rPr>
        <w:t xml:space="preserve">de jurisprudentie die ik onderzocht heb is het onderwerp stil pandrecht een aantal keren naar voren gekomen. Rechters hebben de regels omtrent het stil pandrecht ten aanzien van de wet en literatuur verduidelijkt en aangescherpt. Allereerst omtrent het uitoefenen van het stil pandrecht in de zin van artikel 57 </w:t>
      </w:r>
      <w:proofErr w:type="spellStart"/>
      <w:r w:rsidR="005C3A6D" w:rsidRPr="006F6DF8">
        <w:rPr>
          <w:rFonts w:asciiTheme="minorHAnsi" w:hAnsiTheme="minorHAnsi" w:cstheme="minorHAnsi"/>
          <w:b w:val="0"/>
          <w:sz w:val="22"/>
          <w:szCs w:val="22"/>
        </w:rPr>
        <w:t>Fw</w:t>
      </w:r>
      <w:proofErr w:type="spellEnd"/>
      <w:r w:rsidR="005C3A6D" w:rsidRPr="006F6DF8">
        <w:rPr>
          <w:rFonts w:asciiTheme="minorHAnsi" w:hAnsiTheme="minorHAnsi" w:cstheme="minorHAnsi"/>
          <w:b w:val="0"/>
          <w:sz w:val="22"/>
          <w:szCs w:val="22"/>
        </w:rPr>
        <w:t>.</w:t>
      </w:r>
      <w:r w:rsidR="00250925" w:rsidRPr="006F6DF8">
        <w:rPr>
          <w:rFonts w:asciiTheme="minorHAnsi" w:hAnsiTheme="minorHAnsi" w:cstheme="minorHAnsi"/>
          <w:b w:val="0"/>
          <w:sz w:val="22"/>
          <w:szCs w:val="22"/>
        </w:rPr>
        <w:t xml:space="preserve"> Dit artikel zegt dat een pandhouder zijn rechten kan uitoefenen als ware er geen faillissement. </w:t>
      </w:r>
      <w:r w:rsidR="00374AD2" w:rsidRPr="006F6DF8">
        <w:rPr>
          <w:rFonts w:asciiTheme="minorHAnsi" w:hAnsiTheme="minorHAnsi" w:cstheme="minorHAnsi"/>
          <w:b w:val="0"/>
          <w:sz w:val="22"/>
          <w:szCs w:val="22"/>
        </w:rPr>
        <w:t xml:space="preserve">Om de pandrechten uit te oefenen dient de pandhouder mededeling van zijn pandrechten te doen. In jurisprudentie is hieromtrent bepaald </w:t>
      </w:r>
      <w:r w:rsidR="00C15102" w:rsidRPr="006F6DF8">
        <w:rPr>
          <w:rFonts w:asciiTheme="minorHAnsi" w:hAnsiTheme="minorHAnsi" w:cstheme="minorHAnsi"/>
          <w:b w:val="0"/>
          <w:sz w:val="22"/>
          <w:szCs w:val="22"/>
        </w:rPr>
        <w:t xml:space="preserve">dat een curator de pandhouder </w:t>
      </w:r>
      <w:r w:rsidR="001D725C" w:rsidRPr="006F6DF8">
        <w:rPr>
          <w:rFonts w:asciiTheme="minorHAnsi" w:hAnsiTheme="minorHAnsi" w:cstheme="minorHAnsi"/>
          <w:b w:val="0"/>
          <w:sz w:val="22"/>
          <w:szCs w:val="22"/>
        </w:rPr>
        <w:t>informatie dient te verstrekken op basis waarvan hij mededeling van zijn pandrecht</w:t>
      </w:r>
      <w:r w:rsidR="00E365BA" w:rsidRPr="006F6DF8">
        <w:rPr>
          <w:rFonts w:asciiTheme="minorHAnsi" w:hAnsiTheme="minorHAnsi" w:cstheme="minorHAnsi"/>
          <w:b w:val="0"/>
          <w:sz w:val="22"/>
          <w:szCs w:val="22"/>
        </w:rPr>
        <w:t>en</w:t>
      </w:r>
      <w:r w:rsidR="001D725C" w:rsidRPr="006F6DF8">
        <w:rPr>
          <w:rFonts w:asciiTheme="minorHAnsi" w:hAnsiTheme="minorHAnsi" w:cstheme="minorHAnsi"/>
          <w:b w:val="0"/>
          <w:sz w:val="22"/>
          <w:szCs w:val="22"/>
        </w:rPr>
        <w:t xml:space="preserve"> kan doen</w:t>
      </w:r>
      <w:r w:rsidR="00E365BA" w:rsidRPr="006F6DF8">
        <w:rPr>
          <w:rFonts w:asciiTheme="minorHAnsi" w:hAnsiTheme="minorHAnsi" w:cstheme="minorHAnsi"/>
          <w:b w:val="0"/>
          <w:sz w:val="22"/>
          <w:szCs w:val="22"/>
        </w:rPr>
        <w:t xml:space="preserve"> aan debiteuren van de </w:t>
      </w:r>
      <w:r w:rsidR="007E100E" w:rsidRPr="006F6DF8">
        <w:rPr>
          <w:rFonts w:asciiTheme="minorHAnsi" w:hAnsiTheme="minorHAnsi" w:cstheme="minorHAnsi"/>
          <w:b w:val="0"/>
          <w:sz w:val="22"/>
          <w:szCs w:val="22"/>
        </w:rPr>
        <w:t>pandgever</w:t>
      </w:r>
      <w:r w:rsidR="001D725C" w:rsidRPr="006F6DF8">
        <w:rPr>
          <w:rFonts w:asciiTheme="minorHAnsi" w:hAnsiTheme="minorHAnsi" w:cstheme="minorHAnsi"/>
          <w:b w:val="0"/>
          <w:sz w:val="22"/>
          <w:szCs w:val="22"/>
        </w:rPr>
        <w:t>.</w:t>
      </w:r>
    </w:p>
    <w:p w:rsidR="00EF7A8C" w:rsidRPr="006F6DF8" w:rsidRDefault="00EF7A8C" w:rsidP="00041595">
      <w:pPr>
        <w:jc w:val="left"/>
        <w:rPr>
          <w:rFonts w:asciiTheme="minorHAnsi" w:hAnsiTheme="minorHAnsi" w:cstheme="minorHAnsi"/>
          <w:b w:val="0"/>
          <w:sz w:val="22"/>
          <w:szCs w:val="22"/>
        </w:rPr>
      </w:pPr>
    </w:p>
    <w:p w:rsidR="00EF7A8C" w:rsidRPr="006F6DF8" w:rsidRDefault="00EF7A8C" w:rsidP="00041595">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§2.1.1 </w:t>
      </w:r>
      <w:r w:rsidR="008E1146" w:rsidRPr="006F6DF8">
        <w:rPr>
          <w:rFonts w:asciiTheme="minorHAnsi" w:hAnsiTheme="minorHAnsi" w:cstheme="minorHAnsi"/>
          <w:b w:val="0"/>
          <w:sz w:val="22"/>
          <w:szCs w:val="22"/>
        </w:rPr>
        <w:t>Termijn mededeling</w:t>
      </w:r>
    </w:p>
    <w:p w:rsidR="00B10381" w:rsidRDefault="00901C24" w:rsidP="00B10381">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De </w:t>
      </w:r>
      <w:r w:rsidR="001D7CE5" w:rsidRPr="006F6DF8">
        <w:rPr>
          <w:rFonts w:asciiTheme="minorHAnsi" w:hAnsiTheme="minorHAnsi" w:cstheme="minorHAnsi"/>
          <w:b w:val="0"/>
          <w:sz w:val="22"/>
          <w:szCs w:val="22"/>
        </w:rPr>
        <w:t xml:space="preserve">rechtspraak </w:t>
      </w:r>
      <w:r w:rsidRPr="006F6DF8">
        <w:rPr>
          <w:rFonts w:asciiTheme="minorHAnsi" w:hAnsiTheme="minorHAnsi" w:cstheme="minorHAnsi"/>
          <w:b w:val="0"/>
          <w:sz w:val="22"/>
          <w:szCs w:val="22"/>
        </w:rPr>
        <w:t xml:space="preserve">heeft </w:t>
      </w:r>
      <w:r w:rsidR="001D7CE5" w:rsidRPr="006F6DF8">
        <w:rPr>
          <w:rFonts w:asciiTheme="minorHAnsi" w:hAnsiTheme="minorHAnsi" w:cstheme="minorHAnsi"/>
          <w:b w:val="0"/>
          <w:sz w:val="22"/>
          <w:szCs w:val="22"/>
        </w:rPr>
        <w:t xml:space="preserve">besloten dat </w:t>
      </w:r>
      <w:r w:rsidR="00C36D2A" w:rsidRPr="006F6DF8">
        <w:rPr>
          <w:rFonts w:asciiTheme="minorHAnsi" w:hAnsiTheme="minorHAnsi" w:cstheme="minorHAnsi"/>
          <w:b w:val="0"/>
          <w:sz w:val="22"/>
          <w:szCs w:val="22"/>
        </w:rPr>
        <w:t>de</w:t>
      </w:r>
      <w:r w:rsidR="001D7CE5" w:rsidRPr="006F6DF8">
        <w:rPr>
          <w:rFonts w:asciiTheme="minorHAnsi" w:hAnsiTheme="minorHAnsi" w:cstheme="minorHAnsi"/>
          <w:b w:val="0"/>
          <w:sz w:val="22"/>
          <w:szCs w:val="22"/>
        </w:rPr>
        <w:t xml:space="preserve"> curator </w:t>
      </w:r>
      <w:r w:rsidR="00DB6C04" w:rsidRPr="006F6DF8">
        <w:rPr>
          <w:rFonts w:asciiTheme="minorHAnsi" w:hAnsiTheme="minorHAnsi" w:cstheme="minorHAnsi"/>
          <w:b w:val="0"/>
          <w:sz w:val="22"/>
          <w:szCs w:val="22"/>
        </w:rPr>
        <w:t xml:space="preserve">de pandhouder in het faillissement een redelijke termijn moet geven om zijn pandrechten te kunnen uitoefenen, zie artikel 58 </w:t>
      </w:r>
      <w:proofErr w:type="spellStart"/>
      <w:r w:rsidR="00DB6C04" w:rsidRPr="006F6DF8">
        <w:rPr>
          <w:rFonts w:asciiTheme="minorHAnsi" w:hAnsiTheme="minorHAnsi" w:cstheme="minorHAnsi"/>
          <w:b w:val="0"/>
          <w:sz w:val="22"/>
          <w:szCs w:val="22"/>
        </w:rPr>
        <w:t>Fw</w:t>
      </w:r>
      <w:proofErr w:type="spellEnd"/>
      <w:r w:rsidR="00DB6C04" w:rsidRPr="006F6DF8">
        <w:rPr>
          <w:rFonts w:asciiTheme="minorHAnsi" w:hAnsiTheme="minorHAnsi" w:cstheme="minorHAnsi"/>
          <w:b w:val="0"/>
          <w:sz w:val="22"/>
          <w:szCs w:val="22"/>
        </w:rPr>
        <w:t xml:space="preserve">. </w:t>
      </w:r>
      <w:r w:rsidR="00506F64" w:rsidRPr="006F6DF8">
        <w:rPr>
          <w:rFonts w:asciiTheme="minorHAnsi" w:hAnsiTheme="minorHAnsi" w:cstheme="minorHAnsi"/>
          <w:b w:val="0"/>
          <w:sz w:val="22"/>
          <w:szCs w:val="22"/>
        </w:rPr>
        <w:t>Volgens de rechtspraak is een redelijke termijn geen zeven dagen</w:t>
      </w:r>
      <w:r w:rsidR="00351060" w:rsidRPr="006F6DF8">
        <w:rPr>
          <w:rFonts w:asciiTheme="minorHAnsi" w:hAnsiTheme="minorHAnsi" w:cstheme="minorHAnsi"/>
          <w:b w:val="0"/>
          <w:sz w:val="22"/>
          <w:szCs w:val="22"/>
        </w:rPr>
        <w:t xml:space="preserve">. </w:t>
      </w:r>
      <w:r w:rsidR="00B10381" w:rsidRPr="006F6DF8">
        <w:rPr>
          <w:rFonts w:asciiTheme="minorHAnsi" w:hAnsiTheme="minorHAnsi" w:cstheme="minorHAnsi"/>
          <w:b w:val="0"/>
          <w:sz w:val="22"/>
          <w:szCs w:val="22"/>
        </w:rPr>
        <w:t xml:space="preserve">Indien een curator een dergelijke onredelijke termijn stelt, is dit in strijd met artikel 58 </w:t>
      </w:r>
      <w:proofErr w:type="spellStart"/>
      <w:r w:rsidR="00B10381" w:rsidRPr="006F6DF8">
        <w:rPr>
          <w:rFonts w:asciiTheme="minorHAnsi" w:hAnsiTheme="minorHAnsi" w:cstheme="minorHAnsi"/>
          <w:b w:val="0"/>
          <w:sz w:val="22"/>
          <w:szCs w:val="22"/>
        </w:rPr>
        <w:t>Fw</w:t>
      </w:r>
      <w:proofErr w:type="spellEnd"/>
      <w:r w:rsidR="00B10381" w:rsidRPr="006F6DF8">
        <w:rPr>
          <w:rFonts w:asciiTheme="minorHAnsi" w:hAnsiTheme="minorHAnsi" w:cstheme="minorHAnsi"/>
          <w:b w:val="0"/>
          <w:sz w:val="22"/>
          <w:szCs w:val="22"/>
        </w:rPr>
        <w:t>. Zodoende acht de rechtbank dat er geen termijn is gesteld door de curator. Nu het wordt gezien alsof er geen termijn is gesteld, kan tevens verlenging van de termijn niet plaatsvinden. Alleen een termijn die al redelijk is kan eventueel verlengd worden. Wat wel als redelijke termijn wordt gezien is een termijn van veertien dagen.</w:t>
      </w:r>
      <w:r w:rsidR="00B10381" w:rsidRPr="006F6DF8">
        <w:rPr>
          <w:rStyle w:val="Voetnootmarkering"/>
          <w:rFonts w:asciiTheme="minorHAnsi" w:hAnsiTheme="minorHAnsi" w:cstheme="minorHAnsi"/>
          <w:b w:val="0"/>
          <w:sz w:val="22"/>
          <w:szCs w:val="22"/>
        </w:rPr>
        <w:footnoteReference w:id="98"/>
      </w:r>
    </w:p>
    <w:p w:rsidR="0032772F" w:rsidRPr="0032772F" w:rsidRDefault="0032772F" w:rsidP="00B10381">
      <w:pPr>
        <w:jc w:val="left"/>
        <w:rPr>
          <w:rFonts w:asciiTheme="minorHAnsi" w:hAnsiTheme="minorHAnsi" w:cstheme="minorHAnsi"/>
          <w:b w:val="0"/>
          <w:i/>
          <w:sz w:val="22"/>
          <w:szCs w:val="22"/>
        </w:rPr>
      </w:pPr>
    </w:p>
    <w:p w:rsidR="0032772F" w:rsidRPr="0032772F" w:rsidRDefault="0032772F" w:rsidP="0032772F">
      <w:pPr>
        <w:ind w:firstLine="708"/>
        <w:jc w:val="left"/>
        <w:rPr>
          <w:rFonts w:asciiTheme="minorHAnsi" w:hAnsiTheme="minorHAnsi" w:cstheme="minorHAnsi"/>
          <w:b w:val="0"/>
          <w:i/>
          <w:sz w:val="22"/>
          <w:szCs w:val="22"/>
        </w:rPr>
      </w:pPr>
      <w:r w:rsidRPr="0032772F">
        <w:rPr>
          <w:rFonts w:asciiTheme="minorHAnsi" w:hAnsiTheme="minorHAnsi" w:cstheme="minorHAnsi"/>
          <w:b w:val="0"/>
          <w:i/>
          <w:sz w:val="22"/>
          <w:szCs w:val="22"/>
        </w:rPr>
        <w:t xml:space="preserve">“Echter, omdat de curator niet de vrijheid heeft de bevoegdheid van de stille pandhouder tot </w:t>
      </w:r>
      <w:r w:rsidRPr="0032772F">
        <w:rPr>
          <w:rFonts w:asciiTheme="minorHAnsi" w:hAnsiTheme="minorHAnsi" w:cstheme="minorHAnsi"/>
          <w:b w:val="0"/>
          <w:i/>
          <w:sz w:val="22"/>
          <w:szCs w:val="22"/>
        </w:rPr>
        <w:tab/>
        <w:t xml:space="preserve">het doen van de genoemde mededeling te frustreren door zijnerzijds aanstonds aan die </w:t>
      </w:r>
      <w:r w:rsidRPr="0032772F">
        <w:rPr>
          <w:rFonts w:asciiTheme="minorHAnsi" w:hAnsiTheme="minorHAnsi" w:cstheme="minorHAnsi"/>
          <w:b w:val="0"/>
          <w:i/>
          <w:sz w:val="22"/>
          <w:szCs w:val="22"/>
        </w:rPr>
        <w:tab/>
        <w:t xml:space="preserve">debiteuren mede te delen dat zij de stil verpande vorderingen op de rekening van de boedel </w:t>
      </w:r>
      <w:r w:rsidRPr="0032772F">
        <w:rPr>
          <w:rFonts w:asciiTheme="minorHAnsi" w:hAnsiTheme="minorHAnsi" w:cstheme="minorHAnsi"/>
          <w:b w:val="0"/>
          <w:i/>
          <w:sz w:val="22"/>
          <w:szCs w:val="22"/>
        </w:rPr>
        <w:tab/>
        <w:t xml:space="preserve">moeten voldoen in plaats van op die van de stille pandhouder, heeft de Hoge Raad tevens </w:t>
      </w:r>
      <w:r w:rsidRPr="0032772F">
        <w:rPr>
          <w:rFonts w:asciiTheme="minorHAnsi" w:hAnsiTheme="minorHAnsi" w:cstheme="minorHAnsi"/>
          <w:b w:val="0"/>
          <w:i/>
          <w:sz w:val="22"/>
          <w:szCs w:val="22"/>
        </w:rPr>
        <w:tab/>
        <w:t xml:space="preserve">beslist dat de curator een redelijke termijn - die aanvangt daags na de faillietverklaring en ten </w:t>
      </w:r>
      <w:r w:rsidRPr="0032772F">
        <w:rPr>
          <w:rFonts w:asciiTheme="minorHAnsi" w:hAnsiTheme="minorHAnsi" w:cstheme="minorHAnsi"/>
          <w:b w:val="0"/>
          <w:i/>
          <w:sz w:val="22"/>
          <w:szCs w:val="22"/>
        </w:rPr>
        <w:tab/>
        <w:t xml:space="preserve">aanzien van een professionele stille pandhouder als een bank in het algemeen is te stellen op </w:t>
      </w:r>
      <w:r w:rsidRPr="0032772F">
        <w:rPr>
          <w:rFonts w:asciiTheme="minorHAnsi" w:hAnsiTheme="minorHAnsi" w:cstheme="minorHAnsi"/>
          <w:b w:val="0"/>
          <w:i/>
          <w:sz w:val="22"/>
          <w:szCs w:val="22"/>
        </w:rPr>
        <w:tab/>
        <w:t xml:space="preserve">veertien dagen - in acht neemt alvorens een dergelijke (op incasso van de verpande </w:t>
      </w:r>
      <w:r w:rsidRPr="0032772F">
        <w:rPr>
          <w:rFonts w:asciiTheme="minorHAnsi" w:hAnsiTheme="minorHAnsi" w:cstheme="minorHAnsi"/>
          <w:b w:val="0"/>
          <w:i/>
          <w:sz w:val="22"/>
          <w:szCs w:val="22"/>
        </w:rPr>
        <w:tab/>
        <w:t xml:space="preserve">vorderingen gerichte) mededeling aan de debiteuren te doen, teneinde de stille pandhouder </w:t>
      </w:r>
      <w:r w:rsidRPr="0032772F">
        <w:rPr>
          <w:rFonts w:asciiTheme="minorHAnsi" w:hAnsiTheme="minorHAnsi" w:cstheme="minorHAnsi"/>
          <w:b w:val="0"/>
          <w:i/>
          <w:sz w:val="22"/>
          <w:szCs w:val="22"/>
        </w:rPr>
        <w:tab/>
        <w:t xml:space="preserve">in de gelegenheid te stellen de bevoegdheid tot inning op zich te doen overgaan door de </w:t>
      </w:r>
      <w:r w:rsidRPr="0032772F">
        <w:rPr>
          <w:rFonts w:asciiTheme="minorHAnsi" w:hAnsiTheme="minorHAnsi" w:cstheme="minorHAnsi"/>
          <w:b w:val="0"/>
          <w:i/>
          <w:sz w:val="22"/>
          <w:szCs w:val="22"/>
        </w:rPr>
        <w:tab/>
        <w:t>bedoelde mededeling aan de debiteuren te doen.</w:t>
      </w:r>
      <w:r w:rsidR="001F0BF9">
        <w:rPr>
          <w:rFonts w:asciiTheme="minorHAnsi" w:hAnsiTheme="minorHAnsi" w:cstheme="minorHAnsi"/>
          <w:b w:val="0"/>
          <w:i/>
          <w:sz w:val="22"/>
          <w:szCs w:val="22"/>
        </w:rPr>
        <w:t xml:space="preserve"> (…)</w:t>
      </w:r>
      <w:r w:rsidRPr="0032772F">
        <w:rPr>
          <w:rFonts w:asciiTheme="minorHAnsi" w:hAnsiTheme="minorHAnsi" w:cstheme="minorHAnsi"/>
          <w:b w:val="0"/>
          <w:i/>
          <w:sz w:val="22"/>
          <w:szCs w:val="22"/>
        </w:rPr>
        <w:t>”</w:t>
      </w:r>
      <w:r w:rsidR="00A97C36">
        <w:rPr>
          <w:rStyle w:val="Voetnootmarkering"/>
          <w:rFonts w:asciiTheme="minorHAnsi" w:hAnsiTheme="minorHAnsi" w:cstheme="minorHAnsi"/>
          <w:b w:val="0"/>
          <w:i/>
          <w:sz w:val="22"/>
          <w:szCs w:val="22"/>
        </w:rPr>
        <w:footnoteReference w:id="99"/>
      </w:r>
    </w:p>
    <w:p w:rsidR="00DB6C04" w:rsidRPr="006F6DF8" w:rsidRDefault="00DB6C04" w:rsidP="003038D1">
      <w:pPr>
        <w:jc w:val="left"/>
        <w:rPr>
          <w:rFonts w:asciiTheme="minorHAnsi" w:hAnsiTheme="minorHAnsi" w:cstheme="minorHAnsi"/>
          <w:b w:val="0"/>
          <w:sz w:val="22"/>
          <w:szCs w:val="22"/>
        </w:rPr>
      </w:pPr>
    </w:p>
    <w:p w:rsidR="009E7538" w:rsidRPr="006F6DF8" w:rsidRDefault="00197824" w:rsidP="003038D1">
      <w:pPr>
        <w:jc w:val="left"/>
        <w:rPr>
          <w:rFonts w:asciiTheme="minorHAnsi" w:hAnsiTheme="minorHAnsi" w:cstheme="minorHAnsi"/>
          <w:b w:val="0"/>
          <w:sz w:val="22"/>
          <w:szCs w:val="22"/>
        </w:rPr>
      </w:pPr>
      <w:r w:rsidRPr="006F6DF8">
        <w:rPr>
          <w:rFonts w:asciiTheme="minorHAnsi" w:hAnsiTheme="minorHAnsi" w:cstheme="minorHAnsi"/>
          <w:b w:val="0"/>
          <w:sz w:val="22"/>
          <w:szCs w:val="22"/>
        </w:rPr>
        <w:t>Zodoende dient</w:t>
      </w:r>
      <w:r w:rsidR="00C253D0" w:rsidRPr="006F6DF8">
        <w:rPr>
          <w:rFonts w:asciiTheme="minorHAnsi" w:hAnsiTheme="minorHAnsi" w:cstheme="minorHAnsi"/>
          <w:b w:val="0"/>
          <w:sz w:val="22"/>
          <w:szCs w:val="22"/>
        </w:rPr>
        <w:t xml:space="preserve"> de curator</w:t>
      </w:r>
      <w:r w:rsidR="00685B20" w:rsidRPr="006F6DF8">
        <w:rPr>
          <w:rFonts w:asciiTheme="minorHAnsi" w:hAnsiTheme="minorHAnsi" w:cstheme="minorHAnsi"/>
          <w:b w:val="0"/>
          <w:sz w:val="22"/>
          <w:szCs w:val="22"/>
        </w:rPr>
        <w:t xml:space="preserve"> de pandhouder </w:t>
      </w:r>
      <w:r w:rsidRPr="006F6DF8">
        <w:rPr>
          <w:rFonts w:asciiTheme="minorHAnsi" w:hAnsiTheme="minorHAnsi" w:cstheme="minorHAnsi"/>
          <w:b w:val="0"/>
          <w:sz w:val="22"/>
          <w:szCs w:val="22"/>
        </w:rPr>
        <w:t>een termijn van veertien dagen</w:t>
      </w:r>
      <w:r w:rsidR="00685B20" w:rsidRPr="006F6DF8">
        <w:rPr>
          <w:rFonts w:asciiTheme="minorHAnsi" w:hAnsiTheme="minorHAnsi" w:cstheme="minorHAnsi"/>
          <w:b w:val="0"/>
          <w:sz w:val="22"/>
          <w:szCs w:val="22"/>
        </w:rPr>
        <w:t xml:space="preserve"> te geven </w:t>
      </w:r>
      <w:r w:rsidRPr="006F6DF8">
        <w:rPr>
          <w:rFonts w:asciiTheme="minorHAnsi" w:hAnsiTheme="minorHAnsi" w:cstheme="minorHAnsi"/>
          <w:b w:val="0"/>
          <w:sz w:val="22"/>
          <w:szCs w:val="22"/>
        </w:rPr>
        <w:t xml:space="preserve">om zijn stil pandrecht </w:t>
      </w:r>
      <w:r w:rsidR="00685B20" w:rsidRPr="006F6DF8">
        <w:rPr>
          <w:rFonts w:asciiTheme="minorHAnsi" w:hAnsiTheme="minorHAnsi" w:cstheme="minorHAnsi"/>
          <w:b w:val="0"/>
          <w:sz w:val="22"/>
          <w:szCs w:val="22"/>
        </w:rPr>
        <w:t>openbaar te maken</w:t>
      </w:r>
      <w:r w:rsidRPr="006F6DF8">
        <w:rPr>
          <w:rFonts w:asciiTheme="minorHAnsi" w:hAnsiTheme="minorHAnsi" w:cstheme="minorHAnsi"/>
          <w:b w:val="0"/>
          <w:sz w:val="22"/>
          <w:szCs w:val="22"/>
        </w:rPr>
        <w:t>. De pandhouder kan het pandrecht openbaar maken</w:t>
      </w:r>
      <w:r w:rsidR="00685B20" w:rsidRPr="006F6DF8">
        <w:rPr>
          <w:rFonts w:asciiTheme="minorHAnsi" w:hAnsiTheme="minorHAnsi" w:cstheme="minorHAnsi"/>
          <w:b w:val="0"/>
          <w:sz w:val="22"/>
          <w:szCs w:val="22"/>
        </w:rPr>
        <w:t xml:space="preserve"> door middel van mededeling</w:t>
      </w:r>
      <w:r w:rsidRPr="006F6DF8">
        <w:rPr>
          <w:rFonts w:asciiTheme="minorHAnsi" w:hAnsiTheme="minorHAnsi" w:cstheme="minorHAnsi"/>
          <w:b w:val="0"/>
          <w:sz w:val="22"/>
          <w:szCs w:val="22"/>
        </w:rPr>
        <w:t xml:space="preserve"> aan de debiteuren</w:t>
      </w:r>
      <w:r w:rsidR="00685B20" w:rsidRPr="006F6DF8">
        <w:rPr>
          <w:rFonts w:asciiTheme="minorHAnsi" w:hAnsiTheme="minorHAnsi" w:cstheme="minorHAnsi"/>
          <w:b w:val="0"/>
          <w:sz w:val="22"/>
          <w:szCs w:val="22"/>
        </w:rPr>
        <w:t xml:space="preserve">. </w:t>
      </w:r>
      <w:r w:rsidR="00C0098A" w:rsidRPr="006F6DF8">
        <w:rPr>
          <w:rFonts w:asciiTheme="minorHAnsi" w:hAnsiTheme="minorHAnsi" w:cstheme="minorHAnsi"/>
          <w:b w:val="0"/>
          <w:sz w:val="22"/>
          <w:szCs w:val="22"/>
        </w:rPr>
        <w:t xml:space="preserve">Indien de pandhouder geen gebruik maakt van het openbaar maken van zijn pandrechten, dan ontvangt hij geen rechtstreekse betalingen van de debiteuren van de failliet. Deze gelden zullen zodoende bij de curator terecht komen. </w:t>
      </w:r>
      <w:r w:rsidR="00F05A6B" w:rsidRPr="006F6DF8">
        <w:rPr>
          <w:rFonts w:asciiTheme="minorHAnsi" w:hAnsiTheme="minorHAnsi" w:cstheme="minorHAnsi"/>
          <w:b w:val="0"/>
          <w:sz w:val="22"/>
          <w:szCs w:val="22"/>
        </w:rPr>
        <w:t xml:space="preserve">De stil pandhouder blijft </w:t>
      </w:r>
      <w:r w:rsidR="00B4453C" w:rsidRPr="006F6DF8">
        <w:rPr>
          <w:rFonts w:asciiTheme="minorHAnsi" w:hAnsiTheme="minorHAnsi" w:cstheme="minorHAnsi"/>
          <w:b w:val="0"/>
          <w:sz w:val="22"/>
          <w:szCs w:val="22"/>
        </w:rPr>
        <w:t xml:space="preserve">echter </w:t>
      </w:r>
      <w:r w:rsidR="00F05A6B" w:rsidRPr="006F6DF8">
        <w:rPr>
          <w:rFonts w:asciiTheme="minorHAnsi" w:hAnsiTheme="minorHAnsi" w:cstheme="minorHAnsi"/>
          <w:b w:val="0"/>
          <w:sz w:val="22"/>
          <w:szCs w:val="22"/>
        </w:rPr>
        <w:t xml:space="preserve">altijd zijn recht behouden om verhaal te halen op de door de curator geïnde vorderingen, overeenkomstig zijn pandrechten. De pandhouder dient wel bij te dragen in de algemene faillissementskosten. </w:t>
      </w:r>
      <w:r w:rsidR="009E7538" w:rsidRPr="006F6DF8">
        <w:rPr>
          <w:rFonts w:asciiTheme="minorHAnsi" w:hAnsiTheme="minorHAnsi" w:cstheme="minorHAnsi"/>
          <w:b w:val="0"/>
          <w:sz w:val="22"/>
          <w:szCs w:val="22"/>
        </w:rPr>
        <w:t xml:space="preserve">Dit lijkt aan te sluiten op wat </w:t>
      </w:r>
      <w:proofErr w:type="spellStart"/>
      <w:r w:rsidR="009E7538" w:rsidRPr="006F6DF8">
        <w:rPr>
          <w:rFonts w:asciiTheme="minorHAnsi" w:hAnsiTheme="minorHAnsi" w:cstheme="minorHAnsi"/>
          <w:b w:val="0"/>
          <w:sz w:val="22"/>
          <w:szCs w:val="22"/>
        </w:rPr>
        <w:t>Hartkamp</w:t>
      </w:r>
      <w:proofErr w:type="spellEnd"/>
      <w:r w:rsidR="009E7538" w:rsidRPr="006F6DF8">
        <w:rPr>
          <w:rFonts w:asciiTheme="minorHAnsi" w:hAnsiTheme="minorHAnsi" w:cstheme="minorHAnsi"/>
          <w:b w:val="0"/>
          <w:sz w:val="22"/>
          <w:szCs w:val="22"/>
        </w:rPr>
        <w:t xml:space="preserve"> in de literatuur hieromtrent zei. </w:t>
      </w:r>
      <w:proofErr w:type="spellStart"/>
      <w:r w:rsidR="009E7538" w:rsidRPr="006F6DF8">
        <w:rPr>
          <w:rFonts w:asciiTheme="minorHAnsi" w:hAnsiTheme="minorHAnsi" w:cstheme="minorHAnsi"/>
          <w:b w:val="0"/>
          <w:sz w:val="22"/>
          <w:szCs w:val="22"/>
        </w:rPr>
        <w:t>Hartkamp</w:t>
      </w:r>
      <w:proofErr w:type="spellEnd"/>
      <w:r w:rsidR="009E7538" w:rsidRPr="006F6DF8">
        <w:rPr>
          <w:rFonts w:asciiTheme="minorHAnsi" w:hAnsiTheme="minorHAnsi" w:cstheme="minorHAnsi"/>
          <w:b w:val="0"/>
          <w:sz w:val="22"/>
          <w:szCs w:val="22"/>
        </w:rPr>
        <w:t xml:space="preserve"> was immers van mening dat een  stil pandhouder pas na openbaarmaking van zijn pandrechten zich als separatist kon gedragen in de zin van artikel 57 </w:t>
      </w:r>
      <w:proofErr w:type="spellStart"/>
      <w:r w:rsidR="009E7538" w:rsidRPr="006F6DF8">
        <w:rPr>
          <w:rFonts w:asciiTheme="minorHAnsi" w:hAnsiTheme="minorHAnsi" w:cstheme="minorHAnsi"/>
          <w:b w:val="0"/>
          <w:sz w:val="22"/>
          <w:szCs w:val="22"/>
        </w:rPr>
        <w:t>Fw</w:t>
      </w:r>
      <w:proofErr w:type="spellEnd"/>
      <w:r w:rsidR="009E7538" w:rsidRPr="006F6DF8">
        <w:rPr>
          <w:rFonts w:asciiTheme="minorHAnsi" w:hAnsiTheme="minorHAnsi" w:cstheme="minorHAnsi"/>
          <w:b w:val="0"/>
          <w:sz w:val="22"/>
          <w:szCs w:val="22"/>
        </w:rPr>
        <w:t>.</w:t>
      </w:r>
    </w:p>
    <w:p w:rsidR="00DB6C04" w:rsidRPr="006F6DF8" w:rsidRDefault="00DB6C04" w:rsidP="003038D1">
      <w:pPr>
        <w:jc w:val="left"/>
        <w:rPr>
          <w:rFonts w:asciiTheme="minorHAnsi" w:hAnsiTheme="minorHAnsi" w:cstheme="minorHAnsi"/>
          <w:b w:val="0"/>
          <w:sz w:val="22"/>
          <w:szCs w:val="22"/>
        </w:rPr>
      </w:pPr>
    </w:p>
    <w:p w:rsidR="003038D1" w:rsidRPr="006F6DF8" w:rsidRDefault="003038D1" w:rsidP="003038D1">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Tot slot dient de curator iedere activiteit tot inning van de verpande vorderingen achterwege te laten zodra de stille pandhouder op grond van artikel 57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over gaat tot uitoefening van zijn stille </w:t>
      </w:r>
      <w:r w:rsidRPr="006F6DF8">
        <w:rPr>
          <w:rFonts w:asciiTheme="minorHAnsi" w:hAnsiTheme="minorHAnsi" w:cstheme="minorHAnsi"/>
          <w:b w:val="0"/>
          <w:sz w:val="22"/>
          <w:szCs w:val="22"/>
        </w:rPr>
        <w:lastRenderedPageBreak/>
        <w:t>pandrechten</w:t>
      </w:r>
      <w:r w:rsidR="005A1EFF" w:rsidRPr="006F6DF8">
        <w:rPr>
          <w:rFonts w:asciiTheme="minorHAnsi" w:hAnsiTheme="minorHAnsi" w:cstheme="minorHAnsi"/>
          <w:b w:val="0"/>
          <w:sz w:val="22"/>
          <w:szCs w:val="22"/>
        </w:rPr>
        <w:t xml:space="preserve"> door middel van mededeling van zijn pandrechten aan de debiteuren</w:t>
      </w:r>
      <w:r w:rsidRPr="006F6DF8">
        <w:rPr>
          <w:rFonts w:asciiTheme="minorHAnsi" w:hAnsiTheme="minorHAnsi" w:cstheme="minorHAnsi"/>
          <w:b w:val="0"/>
          <w:sz w:val="22"/>
          <w:szCs w:val="22"/>
        </w:rPr>
        <w:t>.</w:t>
      </w:r>
      <w:r w:rsidRPr="006F6DF8">
        <w:rPr>
          <w:rStyle w:val="Voetnootmarkering"/>
          <w:rFonts w:asciiTheme="minorHAnsi" w:hAnsiTheme="minorHAnsi" w:cstheme="minorHAnsi"/>
          <w:b w:val="0"/>
          <w:sz w:val="22"/>
          <w:szCs w:val="22"/>
        </w:rPr>
        <w:footnoteReference w:id="100"/>
      </w:r>
      <w:r w:rsidR="00C13C2D" w:rsidRPr="006F6DF8">
        <w:rPr>
          <w:rFonts w:asciiTheme="minorHAnsi" w:hAnsiTheme="minorHAnsi" w:cstheme="minorHAnsi"/>
          <w:b w:val="0"/>
          <w:sz w:val="22"/>
          <w:szCs w:val="22"/>
        </w:rPr>
        <w:t xml:space="preserve"> Totdat de stil pandhouder mededeling heeft gedaan </w:t>
      </w:r>
      <w:r w:rsidR="005F5FF5" w:rsidRPr="006F6DF8">
        <w:rPr>
          <w:rFonts w:asciiTheme="minorHAnsi" w:hAnsiTheme="minorHAnsi" w:cstheme="minorHAnsi"/>
          <w:b w:val="0"/>
          <w:sz w:val="22"/>
          <w:szCs w:val="22"/>
        </w:rPr>
        <w:t xml:space="preserve">van zijn pandrecht </w:t>
      </w:r>
      <w:r w:rsidR="00C13C2D" w:rsidRPr="006F6DF8">
        <w:rPr>
          <w:rFonts w:asciiTheme="minorHAnsi" w:hAnsiTheme="minorHAnsi" w:cstheme="minorHAnsi"/>
          <w:b w:val="0"/>
          <w:sz w:val="22"/>
          <w:szCs w:val="22"/>
        </w:rPr>
        <w:t>in de zin van artikel 3:246 lid 1 BW, kan de curator de verp</w:t>
      </w:r>
      <w:r w:rsidR="00E86D97" w:rsidRPr="006F6DF8">
        <w:rPr>
          <w:rFonts w:asciiTheme="minorHAnsi" w:hAnsiTheme="minorHAnsi" w:cstheme="minorHAnsi"/>
          <w:b w:val="0"/>
          <w:sz w:val="22"/>
          <w:szCs w:val="22"/>
        </w:rPr>
        <w:t>ande vorderingen</w:t>
      </w:r>
      <w:r w:rsidR="00221C11" w:rsidRPr="006F6DF8">
        <w:rPr>
          <w:rFonts w:asciiTheme="minorHAnsi" w:hAnsiTheme="minorHAnsi" w:cstheme="minorHAnsi"/>
          <w:b w:val="0"/>
          <w:sz w:val="22"/>
          <w:szCs w:val="22"/>
        </w:rPr>
        <w:t xml:space="preserve"> alleen</w:t>
      </w:r>
      <w:r w:rsidR="00E86D97" w:rsidRPr="006F6DF8">
        <w:rPr>
          <w:rFonts w:asciiTheme="minorHAnsi" w:hAnsiTheme="minorHAnsi" w:cstheme="minorHAnsi"/>
          <w:b w:val="0"/>
          <w:sz w:val="22"/>
          <w:szCs w:val="22"/>
        </w:rPr>
        <w:t xml:space="preserve"> passief innen.</w:t>
      </w:r>
      <w:r w:rsidR="009062C9" w:rsidRPr="006F6DF8">
        <w:rPr>
          <w:rFonts w:asciiTheme="minorHAnsi" w:hAnsiTheme="minorHAnsi" w:cstheme="minorHAnsi"/>
          <w:b w:val="0"/>
          <w:sz w:val="22"/>
          <w:szCs w:val="22"/>
        </w:rPr>
        <w:t xml:space="preserve"> Wanneer de stil pandhouder geen gebruik maakt van zijn pandrechten en de redelijke termijn is verstreken, kan de curator de verpande vorderingen actief innen.</w:t>
      </w:r>
      <w:r w:rsidR="00A976AC" w:rsidRPr="006F6DF8">
        <w:rPr>
          <w:rStyle w:val="Voetnootmarkering"/>
          <w:rFonts w:asciiTheme="minorHAnsi" w:hAnsiTheme="minorHAnsi" w:cstheme="minorHAnsi"/>
          <w:b w:val="0"/>
          <w:sz w:val="22"/>
          <w:szCs w:val="22"/>
        </w:rPr>
        <w:footnoteReference w:id="101"/>
      </w:r>
    </w:p>
    <w:p w:rsidR="00EC188A" w:rsidRPr="006F6DF8" w:rsidRDefault="00EC188A" w:rsidP="00041595">
      <w:pPr>
        <w:jc w:val="left"/>
        <w:rPr>
          <w:rFonts w:asciiTheme="minorHAnsi" w:hAnsiTheme="minorHAnsi" w:cstheme="minorHAnsi"/>
          <w:b w:val="0"/>
          <w:sz w:val="22"/>
          <w:szCs w:val="22"/>
        </w:rPr>
      </w:pPr>
    </w:p>
    <w:p w:rsidR="007F5685" w:rsidRPr="006F6DF8" w:rsidRDefault="007F5685" w:rsidP="007F5685">
      <w:pPr>
        <w:jc w:val="left"/>
        <w:rPr>
          <w:rFonts w:asciiTheme="minorHAnsi" w:hAnsiTheme="minorHAnsi" w:cstheme="minorHAnsi"/>
          <w:b w:val="0"/>
          <w:sz w:val="22"/>
          <w:szCs w:val="22"/>
        </w:rPr>
      </w:pPr>
      <w:r w:rsidRPr="006F6DF8">
        <w:rPr>
          <w:rFonts w:asciiTheme="minorHAnsi" w:hAnsiTheme="minorHAnsi" w:cstheme="minorHAnsi"/>
          <w:b w:val="0"/>
          <w:sz w:val="22"/>
          <w:szCs w:val="22"/>
        </w:rPr>
        <w:t>§2.1.2 Voorrang op de opbrengst</w:t>
      </w:r>
    </w:p>
    <w:p w:rsidR="007F5685" w:rsidRPr="006F6DF8" w:rsidRDefault="007F5685" w:rsidP="007F5685">
      <w:pPr>
        <w:jc w:val="left"/>
        <w:rPr>
          <w:rFonts w:asciiTheme="minorHAnsi" w:hAnsiTheme="minorHAnsi" w:cstheme="minorHAnsi"/>
          <w:b w:val="0"/>
          <w:sz w:val="22"/>
          <w:szCs w:val="22"/>
        </w:rPr>
      </w:pPr>
      <w:r w:rsidRPr="006F6DF8">
        <w:rPr>
          <w:rFonts w:asciiTheme="minorHAnsi" w:hAnsiTheme="minorHAnsi" w:cstheme="minorHAnsi"/>
          <w:b w:val="0"/>
          <w:sz w:val="22"/>
          <w:szCs w:val="22"/>
        </w:rPr>
        <w:t>Indien de pandhouder, de bank, geen mededeling doet en zodoende geen gebruik maakt van haar pandrechten, vallen haar pandrechten in de door de curator opgemaakte boedel. Echter, de pandhouder heeft na verkoop van de vorderingen waarop zij haar pandrechten gevestigd had, nog steeds voorrang op de opbrengst. De bank kan zich zodoende boven andere schuldeisers op de opbrengst van de verkochte boedel verhalen indien zij pandrechten had die in de boedel vielen. Dit geldt zowel voor pandrechten op roerende zaken als voor pandrechten op vorderingen.</w:t>
      </w:r>
      <w:r w:rsidRPr="006F6DF8">
        <w:rPr>
          <w:rStyle w:val="Voetnootmarkering"/>
          <w:rFonts w:asciiTheme="minorHAnsi" w:hAnsiTheme="minorHAnsi" w:cstheme="minorHAnsi"/>
          <w:b w:val="0"/>
          <w:sz w:val="22"/>
          <w:szCs w:val="22"/>
        </w:rPr>
        <w:footnoteReference w:id="102"/>
      </w:r>
      <w:r w:rsidRPr="006F6DF8">
        <w:rPr>
          <w:rFonts w:asciiTheme="minorHAnsi" w:hAnsiTheme="minorHAnsi" w:cstheme="minorHAnsi"/>
          <w:b w:val="0"/>
          <w:sz w:val="22"/>
          <w:szCs w:val="22"/>
        </w:rPr>
        <w:t xml:space="preserve"> </w:t>
      </w:r>
      <w:r w:rsidR="00882DF0" w:rsidRPr="006F6DF8">
        <w:rPr>
          <w:rFonts w:asciiTheme="minorHAnsi" w:hAnsiTheme="minorHAnsi" w:cstheme="minorHAnsi"/>
          <w:b w:val="0"/>
          <w:sz w:val="22"/>
          <w:szCs w:val="22"/>
        </w:rPr>
        <w:t>Dit is overeenkomend met wat de heer Franken in de theorie heeft gezegd, te lezen onder hoofdstuk 2 paragraaf 2.</w:t>
      </w:r>
    </w:p>
    <w:p w:rsidR="007F5685" w:rsidRPr="006F6DF8" w:rsidRDefault="007F5685" w:rsidP="0012021D">
      <w:pPr>
        <w:jc w:val="left"/>
        <w:rPr>
          <w:rFonts w:asciiTheme="minorHAnsi" w:hAnsiTheme="minorHAnsi" w:cstheme="minorHAnsi"/>
          <w:b w:val="0"/>
          <w:sz w:val="22"/>
          <w:szCs w:val="22"/>
          <w:u w:val="single"/>
        </w:rPr>
      </w:pPr>
    </w:p>
    <w:p w:rsidR="0012021D" w:rsidRPr="006F6DF8" w:rsidRDefault="00B519D8" w:rsidP="0012021D">
      <w:pPr>
        <w:jc w:val="left"/>
        <w:rPr>
          <w:rFonts w:asciiTheme="minorHAnsi" w:hAnsiTheme="minorHAnsi" w:cstheme="minorHAnsi"/>
          <w:b w:val="0"/>
          <w:sz w:val="22"/>
          <w:szCs w:val="22"/>
        </w:rPr>
      </w:pPr>
      <w:r w:rsidRPr="006F6DF8">
        <w:rPr>
          <w:rFonts w:asciiTheme="minorHAnsi" w:hAnsiTheme="minorHAnsi" w:cstheme="minorHAnsi"/>
          <w:b w:val="0"/>
          <w:sz w:val="22"/>
          <w:szCs w:val="22"/>
        </w:rPr>
        <w:t>§2.1.3</w:t>
      </w:r>
      <w:r w:rsidR="0012021D" w:rsidRPr="006F6DF8">
        <w:rPr>
          <w:rFonts w:asciiTheme="minorHAnsi" w:hAnsiTheme="minorHAnsi" w:cstheme="minorHAnsi"/>
          <w:b w:val="0"/>
          <w:sz w:val="22"/>
          <w:szCs w:val="22"/>
        </w:rPr>
        <w:t xml:space="preserve"> Vestigen stil pandrecht</w:t>
      </w:r>
    </w:p>
    <w:p w:rsidR="004D4A60" w:rsidRPr="006F6DF8" w:rsidRDefault="000616B8" w:rsidP="0012021D">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Omtrent het vestigen van pandrechten is door de rechtspraak verduidelijking gegeven. </w:t>
      </w:r>
      <w:r w:rsidR="00F44AE3" w:rsidRPr="006F6DF8">
        <w:rPr>
          <w:rFonts w:asciiTheme="minorHAnsi" w:hAnsiTheme="minorHAnsi" w:cstheme="minorHAnsi"/>
          <w:b w:val="0"/>
          <w:sz w:val="22"/>
          <w:szCs w:val="22"/>
        </w:rPr>
        <w:t xml:space="preserve">Dit betreft echter niet het vestigen van een pandrecht in het zicht van een faillissement, maar het vestigen van een pandrecht in zijn algemeenheid. Omtrent het vestigen </w:t>
      </w:r>
      <w:r w:rsidR="00C1162A" w:rsidRPr="006F6DF8">
        <w:rPr>
          <w:rFonts w:asciiTheme="minorHAnsi" w:hAnsiTheme="minorHAnsi" w:cstheme="minorHAnsi"/>
          <w:b w:val="0"/>
          <w:sz w:val="22"/>
          <w:szCs w:val="22"/>
        </w:rPr>
        <w:t xml:space="preserve">van pandrechten </w:t>
      </w:r>
      <w:r w:rsidR="00F44AE3" w:rsidRPr="006F6DF8">
        <w:rPr>
          <w:rFonts w:asciiTheme="minorHAnsi" w:hAnsiTheme="minorHAnsi" w:cstheme="minorHAnsi"/>
          <w:b w:val="0"/>
          <w:sz w:val="22"/>
          <w:szCs w:val="22"/>
        </w:rPr>
        <w:t xml:space="preserve">in het zicht van het faillissement hebben we geleerd dat het mogelijk </w:t>
      </w:r>
      <w:r w:rsidR="00C1162A" w:rsidRPr="006F6DF8">
        <w:rPr>
          <w:rFonts w:asciiTheme="minorHAnsi" w:hAnsiTheme="minorHAnsi" w:cstheme="minorHAnsi"/>
          <w:b w:val="0"/>
          <w:sz w:val="22"/>
          <w:szCs w:val="22"/>
        </w:rPr>
        <w:t>is als er</w:t>
      </w:r>
      <w:r w:rsidR="00F44AE3" w:rsidRPr="006F6DF8">
        <w:rPr>
          <w:rFonts w:asciiTheme="minorHAnsi" w:hAnsiTheme="minorHAnsi" w:cstheme="minorHAnsi"/>
          <w:b w:val="0"/>
          <w:sz w:val="22"/>
          <w:szCs w:val="22"/>
        </w:rPr>
        <w:t xml:space="preserve"> een verzamelpandakte</w:t>
      </w:r>
      <w:r w:rsidR="00C1162A" w:rsidRPr="006F6DF8">
        <w:rPr>
          <w:rFonts w:asciiTheme="minorHAnsi" w:hAnsiTheme="minorHAnsi" w:cstheme="minorHAnsi"/>
          <w:b w:val="0"/>
          <w:sz w:val="22"/>
          <w:szCs w:val="22"/>
        </w:rPr>
        <w:t xml:space="preserve"> met</w:t>
      </w:r>
      <w:r w:rsidR="00B11698" w:rsidRPr="006F6DF8">
        <w:rPr>
          <w:rFonts w:asciiTheme="minorHAnsi" w:hAnsiTheme="minorHAnsi" w:cstheme="minorHAnsi"/>
          <w:b w:val="0"/>
          <w:sz w:val="22"/>
          <w:szCs w:val="22"/>
        </w:rPr>
        <w:t xml:space="preserve"> een daarin opgenomen volmacht aan voorafgaat. Het vestigen van een op zichzelf staand pandrecht in het zicht van een faillissement mag niet,</w:t>
      </w:r>
      <w:r w:rsidR="00F44AE3" w:rsidRPr="006F6DF8">
        <w:rPr>
          <w:rFonts w:asciiTheme="minorHAnsi" w:hAnsiTheme="minorHAnsi" w:cstheme="minorHAnsi"/>
          <w:b w:val="0"/>
          <w:sz w:val="22"/>
          <w:szCs w:val="22"/>
        </w:rPr>
        <w:t xml:space="preserve"> omdat op grond van artikel 42 </w:t>
      </w:r>
      <w:proofErr w:type="spellStart"/>
      <w:r w:rsidR="00F44AE3" w:rsidRPr="006F6DF8">
        <w:rPr>
          <w:rFonts w:asciiTheme="minorHAnsi" w:hAnsiTheme="minorHAnsi" w:cstheme="minorHAnsi"/>
          <w:b w:val="0"/>
          <w:sz w:val="22"/>
          <w:szCs w:val="22"/>
        </w:rPr>
        <w:t>Fw</w:t>
      </w:r>
      <w:proofErr w:type="spellEnd"/>
      <w:r w:rsidR="00F44AE3" w:rsidRPr="006F6DF8">
        <w:rPr>
          <w:rFonts w:asciiTheme="minorHAnsi" w:hAnsiTheme="minorHAnsi" w:cstheme="minorHAnsi"/>
          <w:b w:val="0"/>
          <w:sz w:val="22"/>
          <w:szCs w:val="22"/>
        </w:rPr>
        <w:t xml:space="preserve"> alleen verplichte rechtshandelingen mogen plaatsvinden in het zicht van een faillissement. </w:t>
      </w:r>
      <w:r w:rsidR="00CF0335" w:rsidRPr="006F6DF8">
        <w:rPr>
          <w:rFonts w:asciiTheme="minorHAnsi" w:hAnsiTheme="minorHAnsi" w:cstheme="minorHAnsi"/>
          <w:b w:val="0"/>
          <w:sz w:val="22"/>
          <w:szCs w:val="22"/>
        </w:rPr>
        <w:t>Dit is terug te lezen in paragraaf 3 van hoofdstuk 5.</w:t>
      </w:r>
      <w:r w:rsidR="00E64238" w:rsidRPr="006F6DF8">
        <w:rPr>
          <w:rStyle w:val="Voetnootmarkering"/>
          <w:rFonts w:asciiTheme="minorHAnsi" w:hAnsiTheme="minorHAnsi" w:cstheme="minorHAnsi"/>
          <w:b w:val="0"/>
          <w:sz w:val="22"/>
          <w:szCs w:val="22"/>
        </w:rPr>
        <w:footnoteReference w:id="103"/>
      </w:r>
      <w:r w:rsidR="00E64238" w:rsidRPr="006F6DF8">
        <w:rPr>
          <w:rFonts w:asciiTheme="minorHAnsi" w:hAnsiTheme="minorHAnsi" w:cstheme="minorHAnsi"/>
          <w:b w:val="0"/>
          <w:sz w:val="22"/>
          <w:szCs w:val="22"/>
        </w:rPr>
        <w:t xml:space="preserve"> </w:t>
      </w:r>
      <w:r w:rsidR="00E64238" w:rsidRPr="006F6DF8">
        <w:rPr>
          <w:rStyle w:val="Voetnootmarkering"/>
          <w:rFonts w:asciiTheme="minorHAnsi" w:hAnsiTheme="minorHAnsi" w:cstheme="minorHAnsi"/>
          <w:b w:val="0"/>
          <w:sz w:val="22"/>
          <w:szCs w:val="22"/>
        </w:rPr>
        <w:footnoteReference w:id="104"/>
      </w:r>
      <w:r w:rsidR="0001597D" w:rsidRPr="006F6DF8">
        <w:rPr>
          <w:rFonts w:asciiTheme="minorHAnsi" w:hAnsiTheme="minorHAnsi" w:cstheme="minorHAnsi"/>
          <w:b w:val="0"/>
          <w:sz w:val="22"/>
          <w:szCs w:val="22"/>
        </w:rPr>
        <w:t xml:space="preserve"> </w:t>
      </w:r>
    </w:p>
    <w:p w:rsidR="00F44AE3" w:rsidRPr="006F6DF8" w:rsidRDefault="00F44AE3" w:rsidP="0012021D">
      <w:pPr>
        <w:jc w:val="left"/>
        <w:rPr>
          <w:rFonts w:asciiTheme="minorHAnsi" w:hAnsiTheme="minorHAnsi" w:cstheme="minorHAnsi"/>
          <w:b w:val="0"/>
          <w:sz w:val="22"/>
          <w:szCs w:val="22"/>
        </w:rPr>
      </w:pPr>
    </w:p>
    <w:p w:rsidR="0030768F" w:rsidRPr="006F6DF8" w:rsidRDefault="0030768F" w:rsidP="0030768F">
      <w:pPr>
        <w:jc w:val="left"/>
        <w:rPr>
          <w:rFonts w:asciiTheme="minorHAnsi" w:hAnsiTheme="minorHAnsi" w:cstheme="minorHAnsi"/>
          <w:b w:val="0"/>
          <w:sz w:val="22"/>
          <w:szCs w:val="22"/>
        </w:rPr>
      </w:pPr>
      <w:r w:rsidRPr="006F6DF8">
        <w:rPr>
          <w:rFonts w:asciiTheme="minorHAnsi" w:hAnsiTheme="minorHAnsi" w:cstheme="minorHAnsi"/>
          <w:b w:val="0"/>
          <w:sz w:val="22"/>
          <w:szCs w:val="22"/>
        </w:rPr>
        <w:t>Om een pandrecht</w:t>
      </w:r>
      <w:r w:rsidR="00DA38A0" w:rsidRPr="006F6DF8">
        <w:rPr>
          <w:rFonts w:asciiTheme="minorHAnsi" w:hAnsiTheme="minorHAnsi" w:cstheme="minorHAnsi"/>
          <w:b w:val="0"/>
          <w:sz w:val="22"/>
          <w:szCs w:val="22"/>
        </w:rPr>
        <w:t>, buiten het zicht van een faillissement,</w:t>
      </w:r>
      <w:r w:rsidRPr="006F6DF8">
        <w:rPr>
          <w:rFonts w:asciiTheme="minorHAnsi" w:hAnsiTheme="minorHAnsi" w:cstheme="minorHAnsi"/>
          <w:b w:val="0"/>
          <w:sz w:val="22"/>
          <w:szCs w:val="22"/>
        </w:rPr>
        <w:t xml:space="preserve"> rechtsgeldig te kunnen vestigen is vereist dat tussen de pandhouder en de pandgever wilsovereenstemming is bereikt omtrent het vestigen van het pandrecht. Daarnaast dient er een akte te worden opgesteld met daarin de voor verpanding bedoelde vorderingen. Er hoeft niet gespecificeerd te worden wat er precies verpand wordt. Voldoende is dat uit de akte afgeleid kan worden, of in samenhang met andere gegevens of akten vastgesteld kan worden, wat er via de akte verpand wordt en dat de akte tot verpanding bestemd is.</w:t>
      </w:r>
      <w:r w:rsidRPr="006F6DF8">
        <w:rPr>
          <w:rStyle w:val="Voetnootmarkering"/>
          <w:rFonts w:asciiTheme="minorHAnsi" w:hAnsiTheme="minorHAnsi" w:cstheme="minorHAnsi"/>
          <w:b w:val="0"/>
          <w:sz w:val="22"/>
          <w:szCs w:val="22"/>
        </w:rPr>
        <w:footnoteReference w:id="105"/>
      </w:r>
      <w:r w:rsidR="00DA38A0" w:rsidRPr="006F6DF8">
        <w:rPr>
          <w:rFonts w:asciiTheme="minorHAnsi" w:hAnsiTheme="minorHAnsi" w:cstheme="minorHAnsi"/>
          <w:b w:val="0"/>
          <w:sz w:val="22"/>
          <w:szCs w:val="22"/>
        </w:rPr>
        <w:t xml:space="preserve"> Dit komt overeen met de wetgeving en literatuur, zie hoofdstuk 2.</w:t>
      </w:r>
    </w:p>
    <w:p w:rsidR="0030768F" w:rsidRPr="006F6DF8" w:rsidRDefault="0030768F" w:rsidP="0012021D">
      <w:pPr>
        <w:jc w:val="left"/>
        <w:rPr>
          <w:rFonts w:asciiTheme="minorHAnsi" w:hAnsiTheme="minorHAnsi" w:cstheme="minorHAnsi"/>
          <w:b w:val="0"/>
          <w:sz w:val="22"/>
          <w:szCs w:val="22"/>
        </w:rPr>
      </w:pPr>
    </w:p>
    <w:p w:rsidR="002107CE" w:rsidRPr="006F6DF8" w:rsidRDefault="002107CE" w:rsidP="002107CE">
      <w:pPr>
        <w:jc w:val="left"/>
        <w:rPr>
          <w:rFonts w:asciiTheme="minorHAnsi" w:hAnsiTheme="minorHAnsi" w:cstheme="minorHAnsi"/>
          <w:b w:val="0"/>
          <w:sz w:val="22"/>
          <w:szCs w:val="22"/>
        </w:rPr>
      </w:pPr>
      <w:r w:rsidRPr="006F6DF8">
        <w:rPr>
          <w:rFonts w:asciiTheme="minorHAnsi" w:hAnsiTheme="minorHAnsi" w:cstheme="minorHAnsi"/>
          <w:b w:val="0"/>
          <w:sz w:val="22"/>
          <w:szCs w:val="22"/>
        </w:rPr>
        <w:t>§</w:t>
      </w:r>
      <w:r w:rsidR="000536E6" w:rsidRPr="006F6DF8">
        <w:rPr>
          <w:rFonts w:asciiTheme="minorHAnsi" w:hAnsiTheme="minorHAnsi" w:cstheme="minorHAnsi"/>
          <w:b w:val="0"/>
          <w:sz w:val="22"/>
          <w:szCs w:val="22"/>
        </w:rPr>
        <w:t>2.1.4</w:t>
      </w:r>
      <w:r w:rsidRPr="006F6DF8">
        <w:rPr>
          <w:rFonts w:asciiTheme="minorHAnsi" w:hAnsiTheme="minorHAnsi" w:cstheme="minorHAnsi"/>
          <w:b w:val="0"/>
          <w:sz w:val="22"/>
          <w:szCs w:val="22"/>
        </w:rPr>
        <w:t xml:space="preserve"> Verzamelpandakte</w:t>
      </w:r>
    </w:p>
    <w:p w:rsidR="002107CE" w:rsidRPr="006F6DF8" w:rsidRDefault="002107CE" w:rsidP="002107CE">
      <w:pPr>
        <w:jc w:val="left"/>
        <w:rPr>
          <w:rFonts w:asciiTheme="minorHAnsi" w:hAnsiTheme="minorHAnsi" w:cstheme="minorHAnsi"/>
          <w:b w:val="0"/>
          <w:sz w:val="22"/>
          <w:szCs w:val="22"/>
        </w:rPr>
      </w:pPr>
      <w:r w:rsidRPr="006F6DF8">
        <w:rPr>
          <w:rFonts w:asciiTheme="minorHAnsi" w:hAnsiTheme="minorHAnsi" w:cstheme="minorHAnsi"/>
          <w:b w:val="0"/>
          <w:sz w:val="22"/>
          <w:szCs w:val="22"/>
        </w:rPr>
        <w:t>Terugkome</w:t>
      </w:r>
      <w:r w:rsidR="006A606B" w:rsidRPr="006F6DF8">
        <w:rPr>
          <w:rFonts w:asciiTheme="minorHAnsi" w:hAnsiTheme="minorHAnsi" w:cstheme="minorHAnsi"/>
          <w:b w:val="0"/>
          <w:sz w:val="22"/>
          <w:szCs w:val="22"/>
        </w:rPr>
        <w:t>nd</w:t>
      </w:r>
      <w:r w:rsidRPr="006F6DF8">
        <w:rPr>
          <w:rFonts w:asciiTheme="minorHAnsi" w:hAnsiTheme="minorHAnsi" w:cstheme="minorHAnsi"/>
          <w:b w:val="0"/>
          <w:sz w:val="22"/>
          <w:szCs w:val="22"/>
        </w:rPr>
        <w:t xml:space="preserve"> op de verzamelpandakte, het arrest Mulder q.q./CLBN heeft de basis gelegd voor de uitleg van de verzamelpandakte-constructie. Er is toenterti</w:t>
      </w:r>
      <w:r w:rsidR="001033D3" w:rsidRPr="006F6DF8">
        <w:rPr>
          <w:rFonts w:asciiTheme="minorHAnsi" w:hAnsiTheme="minorHAnsi" w:cstheme="minorHAnsi"/>
          <w:b w:val="0"/>
          <w:sz w:val="22"/>
          <w:szCs w:val="22"/>
        </w:rPr>
        <w:t>jd bepaald dat voor verpanding</w:t>
      </w:r>
      <w:r w:rsidRPr="006F6DF8">
        <w:rPr>
          <w:rFonts w:asciiTheme="minorHAnsi" w:hAnsiTheme="minorHAnsi" w:cstheme="minorHAnsi"/>
          <w:b w:val="0"/>
          <w:sz w:val="22"/>
          <w:szCs w:val="22"/>
        </w:rPr>
        <w:t xml:space="preserve"> van vorderingen slechts een generieke omschrijving volstaat</w:t>
      </w:r>
      <w:r w:rsidR="00807514" w:rsidRPr="006F6DF8">
        <w:rPr>
          <w:rFonts w:asciiTheme="minorHAnsi" w:hAnsiTheme="minorHAnsi" w:cstheme="minorHAnsi"/>
          <w:b w:val="0"/>
          <w:sz w:val="22"/>
          <w:szCs w:val="22"/>
        </w:rPr>
        <w:t xml:space="preserve">. Uit de verzamelpandakte dient zodoende </w:t>
      </w:r>
      <w:r w:rsidRPr="006F6DF8">
        <w:rPr>
          <w:rFonts w:asciiTheme="minorHAnsi" w:hAnsiTheme="minorHAnsi" w:cstheme="minorHAnsi"/>
          <w:b w:val="0"/>
          <w:sz w:val="22"/>
          <w:szCs w:val="22"/>
        </w:rPr>
        <w:t>alleen te blijken welke vorderingen met de</w:t>
      </w:r>
      <w:r w:rsidR="0090211A" w:rsidRPr="006F6DF8">
        <w:rPr>
          <w:rFonts w:asciiTheme="minorHAnsi" w:hAnsiTheme="minorHAnsi" w:cstheme="minorHAnsi"/>
          <w:b w:val="0"/>
          <w:sz w:val="22"/>
          <w:szCs w:val="22"/>
        </w:rPr>
        <w:t xml:space="preserve"> betreffende akte zijn verpand.</w:t>
      </w:r>
      <w:r w:rsidR="00BF3577" w:rsidRPr="006F6DF8">
        <w:rPr>
          <w:rFonts w:asciiTheme="minorHAnsi" w:hAnsiTheme="minorHAnsi" w:cstheme="minorHAnsi"/>
          <w:b w:val="0"/>
          <w:sz w:val="22"/>
          <w:szCs w:val="22"/>
        </w:rPr>
        <w:t xml:space="preserve"> </w:t>
      </w:r>
      <w:r w:rsidRPr="006F6DF8">
        <w:rPr>
          <w:rFonts w:asciiTheme="minorHAnsi" w:hAnsiTheme="minorHAnsi" w:cstheme="minorHAnsi"/>
          <w:b w:val="0"/>
          <w:sz w:val="22"/>
          <w:szCs w:val="22"/>
        </w:rPr>
        <w:t xml:space="preserve">De </w:t>
      </w:r>
      <w:r w:rsidR="00187401" w:rsidRPr="006F6DF8">
        <w:rPr>
          <w:rFonts w:asciiTheme="minorHAnsi" w:hAnsiTheme="minorHAnsi" w:cstheme="minorHAnsi"/>
          <w:b w:val="0"/>
          <w:sz w:val="22"/>
          <w:szCs w:val="22"/>
        </w:rPr>
        <w:t xml:space="preserve">rechtspraak zegt echter wel dat </w:t>
      </w:r>
      <w:r w:rsidRPr="006F6DF8">
        <w:rPr>
          <w:rFonts w:asciiTheme="minorHAnsi" w:hAnsiTheme="minorHAnsi" w:cstheme="minorHAnsi"/>
          <w:b w:val="0"/>
          <w:sz w:val="22"/>
          <w:szCs w:val="22"/>
        </w:rPr>
        <w:t xml:space="preserve">vorderingen in de </w:t>
      </w:r>
      <w:proofErr w:type="spellStart"/>
      <w:r w:rsidRPr="006F6DF8">
        <w:rPr>
          <w:rFonts w:asciiTheme="minorHAnsi" w:hAnsiTheme="minorHAnsi" w:cstheme="minorHAnsi"/>
          <w:b w:val="0"/>
          <w:sz w:val="22"/>
          <w:szCs w:val="22"/>
        </w:rPr>
        <w:t>pandakte</w:t>
      </w:r>
      <w:proofErr w:type="spellEnd"/>
      <w:r w:rsidRPr="006F6DF8">
        <w:rPr>
          <w:rFonts w:asciiTheme="minorHAnsi" w:hAnsiTheme="minorHAnsi" w:cstheme="minorHAnsi"/>
          <w:b w:val="0"/>
          <w:sz w:val="22"/>
          <w:szCs w:val="22"/>
        </w:rPr>
        <w:t xml:space="preserve"> </w:t>
      </w:r>
      <w:r w:rsidR="002E4B0C" w:rsidRPr="006F6DF8">
        <w:rPr>
          <w:rFonts w:asciiTheme="minorHAnsi" w:hAnsiTheme="minorHAnsi" w:cstheme="minorHAnsi"/>
          <w:b w:val="0"/>
          <w:sz w:val="22"/>
          <w:szCs w:val="22"/>
        </w:rPr>
        <w:t xml:space="preserve">voldoende </w:t>
      </w:r>
      <w:r w:rsidRPr="006F6DF8">
        <w:rPr>
          <w:rFonts w:asciiTheme="minorHAnsi" w:hAnsiTheme="minorHAnsi" w:cstheme="minorHAnsi"/>
          <w:b w:val="0"/>
          <w:sz w:val="22"/>
          <w:szCs w:val="22"/>
        </w:rPr>
        <w:t xml:space="preserve">identificeerbaar te </w:t>
      </w:r>
      <w:r w:rsidR="00187401" w:rsidRPr="006F6DF8">
        <w:rPr>
          <w:rFonts w:asciiTheme="minorHAnsi" w:hAnsiTheme="minorHAnsi" w:cstheme="minorHAnsi"/>
          <w:b w:val="0"/>
          <w:sz w:val="22"/>
          <w:szCs w:val="22"/>
        </w:rPr>
        <w:t xml:space="preserve">dienen </w:t>
      </w:r>
      <w:r w:rsidRPr="006F6DF8">
        <w:rPr>
          <w:rFonts w:asciiTheme="minorHAnsi" w:hAnsiTheme="minorHAnsi" w:cstheme="minorHAnsi"/>
          <w:b w:val="0"/>
          <w:sz w:val="22"/>
          <w:szCs w:val="22"/>
        </w:rPr>
        <w:t xml:space="preserve">zijn. </w:t>
      </w:r>
      <w:r w:rsidR="002E4B0C" w:rsidRPr="006F6DF8">
        <w:rPr>
          <w:rFonts w:asciiTheme="minorHAnsi" w:hAnsiTheme="minorHAnsi" w:cstheme="minorHAnsi"/>
          <w:b w:val="0"/>
          <w:sz w:val="22"/>
          <w:szCs w:val="22"/>
        </w:rPr>
        <w:t>Hierbij volstaat dat i</w:t>
      </w:r>
      <w:r w:rsidRPr="006F6DF8">
        <w:rPr>
          <w:rFonts w:asciiTheme="minorHAnsi" w:hAnsiTheme="minorHAnsi" w:cstheme="minorHAnsi"/>
          <w:b w:val="0"/>
          <w:sz w:val="22"/>
          <w:szCs w:val="22"/>
        </w:rPr>
        <w:t xml:space="preserve">ndien de identificeerbaarheid pas duidelijk wordt na nader onderzoek, </w:t>
      </w:r>
      <w:r w:rsidR="002E4B0C" w:rsidRPr="006F6DF8">
        <w:rPr>
          <w:rFonts w:asciiTheme="minorHAnsi" w:hAnsiTheme="minorHAnsi" w:cstheme="minorHAnsi"/>
          <w:b w:val="0"/>
          <w:sz w:val="22"/>
          <w:szCs w:val="22"/>
        </w:rPr>
        <w:t>dat</w:t>
      </w:r>
      <w:r w:rsidRPr="006F6DF8">
        <w:rPr>
          <w:rFonts w:asciiTheme="minorHAnsi" w:hAnsiTheme="minorHAnsi" w:cstheme="minorHAnsi"/>
          <w:b w:val="0"/>
          <w:sz w:val="22"/>
          <w:szCs w:val="22"/>
        </w:rPr>
        <w:t xml:space="preserve"> dit geen afbreuk aan de rechtsgeldigheid van de verzamelpandakte</w:t>
      </w:r>
      <w:r w:rsidR="001033D3" w:rsidRPr="006F6DF8">
        <w:rPr>
          <w:rFonts w:asciiTheme="minorHAnsi" w:hAnsiTheme="minorHAnsi" w:cstheme="minorHAnsi"/>
          <w:b w:val="0"/>
          <w:sz w:val="22"/>
          <w:szCs w:val="22"/>
        </w:rPr>
        <w:t xml:space="preserve"> </w:t>
      </w:r>
      <w:r w:rsidR="002E4B0C" w:rsidRPr="006F6DF8">
        <w:rPr>
          <w:rFonts w:asciiTheme="minorHAnsi" w:hAnsiTheme="minorHAnsi" w:cstheme="minorHAnsi"/>
          <w:b w:val="0"/>
          <w:sz w:val="22"/>
          <w:szCs w:val="22"/>
        </w:rPr>
        <w:t>doet</w:t>
      </w:r>
      <w:r w:rsidRPr="006F6DF8">
        <w:rPr>
          <w:rFonts w:asciiTheme="minorHAnsi" w:hAnsiTheme="minorHAnsi" w:cstheme="minorHAnsi"/>
          <w:b w:val="0"/>
          <w:sz w:val="22"/>
          <w:szCs w:val="22"/>
        </w:rPr>
        <w:t>.</w:t>
      </w:r>
      <w:r w:rsidRPr="006F6DF8">
        <w:rPr>
          <w:rStyle w:val="Voetnootmarkering"/>
          <w:rFonts w:asciiTheme="minorHAnsi" w:hAnsiTheme="minorHAnsi" w:cstheme="minorHAnsi"/>
          <w:b w:val="0"/>
          <w:sz w:val="22"/>
          <w:szCs w:val="22"/>
        </w:rPr>
        <w:footnoteReference w:id="106"/>
      </w:r>
      <w:r w:rsidR="00DF6D52" w:rsidRPr="006F6DF8">
        <w:rPr>
          <w:rFonts w:asciiTheme="minorHAnsi" w:hAnsiTheme="minorHAnsi" w:cstheme="minorHAnsi"/>
          <w:b w:val="0"/>
          <w:sz w:val="22"/>
          <w:szCs w:val="22"/>
        </w:rPr>
        <w:t xml:space="preserve"> Deze bepaling </w:t>
      </w:r>
      <w:r w:rsidR="001033D3" w:rsidRPr="006F6DF8">
        <w:rPr>
          <w:rFonts w:asciiTheme="minorHAnsi" w:hAnsiTheme="minorHAnsi" w:cstheme="minorHAnsi"/>
          <w:b w:val="0"/>
          <w:sz w:val="22"/>
          <w:szCs w:val="22"/>
        </w:rPr>
        <w:t>komt overeen</w:t>
      </w:r>
      <w:r w:rsidR="00DF6D52" w:rsidRPr="006F6DF8">
        <w:rPr>
          <w:rFonts w:asciiTheme="minorHAnsi" w:hAnsiTheme="minorHAnsi" w:cstheme="minorHAnsi"/>
          <w:b w:val="0"/>
          <w:sz w:val="22"/>
          <w:szCs w:val="22"/>
        </w:rPr>
        <w:t xml:space="preserve"> met de theorie zoals te lezen in hoofdstuk 2</w:t>
      </w:r>
      <w:r w:rsidR="0090211A" w:rsidRPr="006F6DF8">
        <w:rPr>
          <w:rFonts w:asciiTheme="minorHAnsi" w:hAnsiTheme="minorHAnsi" w:cstheme="minorHAnsi"/>
          <w:b w:val="0"/>
          <w:sz w:val="22"/>
          <w:szCs w:val="22"/>
        </w:rPr>
        <w:t xml:space="preserve"> en geldt </w:t>
      </w:r>
      <w:r w:rsidR="00991E6A" w:rsidRPr="006F6DF8">
        <w:rPr>
          <w:rFonts w:asciiTheme="minorHAnsi" w:hAnsiTheme="minorHAnsi" w:cstheme="minorHAnsi"/>
          <w:b w:val="0"/>
          <w:sz w:val="22"/>
          <w:szCs w:val="22"/>
        </w:rPr>
        <w:t xml:space="preserve">volgens jurisprudentie </w:t>
      </w:r>
      <w:r w:rsidR="005D3C2C" w:rsidRPr="006F6DF8">
        <w:rPr>
          <w:rFonts w:asciiTheme="minorHAnsi" w:hAnsiTheme="minorHAnsi" w:cstheme="minorHAnsi"/>
          <w:b w:val="0"/>
          <w:sz w:val="22"/>
          <w:szCs w:val="22"/>
        </w:rPr>
        <w:t>vandaag de dag nog steeds</w:t>
      </w:r>
      <w:r w:rsidR="00DF6D52" w:rsidRPr="006F6DF8">
        <w:rPr>
          <w:rFonts w:asciiTheme="minorHAnsi" w:hAnsiTheme="minorHAnsi" w:cstheme="minorHAnsi"/>
          <w:b w:val="0"/>
          <w:sz w:val="22"/>
          <w:szCs w:val="22"/>
        </w:rPr>
        <w:t>.</w:t>
      </w:r>
    </w:p>
    <w:p w:rsidR="00292CFA" w:rsidRPr="006F6DF8" w:rsidRDefault="00292CFA" w:rsidP="002107CE">
      <w:pPr>
        <w:jc w:val="left"/>
        <w:rPr>
          <w:rFonts w:asciiTheme="minorHAnsi" w:hAnsiTheme="minorHAnsi" w:cstheme="minorHAnsi"/>
          <w:b w:val="0"/>
          <w:sz w:val="22"/>
          <w:szCs w:val="22"/>
        </w:rPr>
      </w:pPr>
    </w:p>
    <w:p w:rsidR="00292CFA" w:rsidRPr="006F6DF8" w:rsidRDefault="000536E6" w:rsidP="00292CFA">
      <w:pPr>
        <w:jc w:val="left"/>
        <w:rPr>
          <w:rFonts w:asciiTheme="minorHAnsi" w:hAnsiTheme="minorHAnsi" w:cstheme="minorHAnsi"/>
          <w:b w:val="0"/>
          <w:sz w:val="22"/>
          <w:szCs w:val="22"/>
        </w:rPr>
      </w:pPr>
      <w:r w:rsidRPr="006F6DF8">
        <w:rPr>
          <w:rFonts w:asciiTheme="minorHAnsi" w:hAnsiTheme="minorHAnsi" w:cstheme="minorHAnsi"/>
          <w:b w:val="0"/>
          <w:sz w:val="22"/>
          <w:szCs w:val="22"/>
        </w:rPr>
        <w:lastRenderedPageBreak/>
        <w:t>§2.1.5</w:t>
      </w:r>
      <w:r w:rsidR="00292CFA" w:rsidRPr="006F6DF8">
        <w:rPr>
          <w:rFonts w:asciiTheme="minorHAnsi" w:hAnsiTheme="minorHAnsi" w:cstheme="minorHAnsi"/>
          <w:b w:val="0"/>
          <w:sz w:val="22"/>
          <w:szCs w:val="22"/>
        </w:rPr>
        <w:t xml:space="preserve"> </w:t>
      </w:r>
      <w:r w:rsidR="0013049A" w:rsidRPr="006F6DF8">
        <w:rPr>
          <w:rFonts w:asciiTheme="minorHAnsi" w:hAnsiTheme="minorHAnsi" w:cstheme="minorHAnsi"/>
          <w:b w:val="0"/>
          <w:sz w:val="22"/>
          <w:szCs w:val="22"/>
        </w:rPr>
        <w:t>Toekomstige vorderingen</w:t>
      </w:r>
    </w:p>
    <w:p w:rsidR="005A0113" w:rsidRDefault="004F0F81" w:rsidP="00292CFA">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De mogelijkheid tot het verpanden van toekomstige vorderingen is al enige tijd in het geding. De rechtspraak heeft hier veel verduidelijking in geboden. </w:t>
      </w:r>
    </w:p>
    <w:p w:rsidR="005A0113" w:rsidRDefault="005A0113" w:rsidP="00292CFA">
      <w:pPr>
        <w:jc w:val="left"/>
        <w:rPr>
          <w:rFonts w:asciiTheme="minorHAnsi" w:hAnsiTheme="minorHAnsi" w:cstheme="minorHAnsi"/>
          <w:b w:val="0"/>
          <w:sz w:val="22"/>
          <w:szCs w:val="22"/>
        </w:rPr>
      </w:pPr>
    </w:p>
    <w:p w:rsidR="005A0113" w:rsidRPr="005A0113" w:rsidRDefault="005A0113" w:rsidP="00F34A32">
      <w:pPr>
        <w:ind w:firstLine="708"/>
        <w:jc w:val="left"/>
        <w:rPr>
          <w:rFonts w:asciiTheme="minorHAnsi" w:hAnsiTheme="minorHAnsi" w:cstheme="minorHAnsi"/>
          <w:b w:val="0"/>
          <w:i/>
          <w:sz w:val="22"/>
          <w:szCs w:val="22"/>
        </w:rPr>
      </w:pPr>
      <w:r w:rsidRPr="005A0113">
        <w:rPr>
          <w:rFonts w:asciiTheme="minorHAnsi" w:hAnsiTheme="minorHAnsi" w:cstheme="minorHAnsi"/>
          <w:b w:val="0"/>
          <w:i/>
          <w:sz w:val="22"/>
          <w:szCs w:val="22"/>
        </w:rPr>
        <w:t>“</w:t>
      </w:r>
      <w:r>
        <w:rPr>
          <w:rFonts w:asciiTheme="minorHAnsi" w:hAnsiTheme="minorHAnsi" w:cstheme="minorHAnsi"/>
          <w:b w:val="0"/>
          <w:i/>
          <w:sz w:val="22"/>
          <w:szCs w:val="22"/>
        </w:rPr>
        <w:t xml:space="preserve">(…) </w:t>
      </w:r>
      <w:r w:rsidRPr="005A0113">
        <w:rPr>
          <w:rFonts w:asciiTheme="minorHAnsi" w:hAnsiTheme="minorHAnsi" w:cstheme="minorHAnsi"/>
          <w:b w:val="0"/>
          <w:i/>
          <w:sz w:val="22"/>
          <w:szCs w:val="22"/>
        </w:rPr>
        <w:t xml:space="preserve">De wetgever beoogde ten aanzien van de mogelijkheden van beslag op en stille </w:t>
      </w:r>
      <w:r w:rsidR="00F34A32">
        <w:rPr>
          <w:rFonts w:asciiTheme="minorHAnsi" w:hAnsiTheme="minorHAnsi" w:cstheme="minorHAnsi"/>
          <w:b w:val="0"/>
          <w:i/>
          <w:sz w:val="22"/>
          <w:szCs w:val="22"/>
        </w:rPr>
        <w:tab/>
      </w:r>
      <w:r w:rsidRPr="005A0113">
        <w:rPr>
          <w:rFonts w:asciiTheme="minorHAnsi" w:hAnsiTheme="minorHAnsi" w:cstheme="minorHAnsi"/>
          <w:b w:val="0"/>
          <w:i/>
          <w:sz w:val="22"/>
          <w:szCs w:val="22"/>
        </w:rPr>
        <w:t xml:space="preserve">verpanding van toekomstige vorderingen een gelijke maatstaf te geven en heeft daarom lid 1 </w:t>
      </w:r>
      <w:r w:rsidR="00F34A32">
        <w:rPr>
          <w:rFonts w:asciiTheme="minorHAnsi" w:hAnsiTheme="minorHAnsi" w:cstheme="minorHAnsi"/>
          <w:b w:val="0"/>
          <w:i/>
          <w:sz w:val="22"/>
          <w:szCs w:val="22"/>
        </w:rPr>
        <w:tab/>
      </w:r>
      <w:r w:rsidRPr="005A0113">
        <w:rPr>
          <w:rFonts w:asciiTheme="minorHAnsi" w:hAnsiTheme="minorHAnsi" w:cstheme="minorHAnsi"/>
          <w:b w:val="0"/>
          <w:i/>
          <w:sz w:val="22"/>
          <w:szCs w:val="22"/>
        </w:rPr>
        <w:t xml:space="preserve">van art. 3:239 aangepast aan art. 475 Rv door in dat lid een beperking aan te brengen </w:t>
      </w:r>
      <w:r w:rsidR="00F34A32">
        <w:rPr>
          <w:rFonts w:asciiTheme="minorHAnsi" w:hAnsiTheme="minorHAnsi" w:cstheme="minorHAnsi"/>
          <w:b w:val="0"/>
          <w:i/>
          <w:sz w:val="22"/>
          <w:szCs w:val="22"/>
        </w:rPr>
        <w:tab/>
      </w:r>
      <w:r w:rsidRPr="005A0113">
        <w:rPr>
          <w:rFonts w:asciiTheme="minorHAnsi" w:hAnsiTheme="minorHAnsi" w:cstheme="minorHAnsi"/>
          <w:b w:val="0"/>
          <w:i/>
          <w:sz w:val="22"/>
          <w:szCs w:val="22"/>
        </w:rPr>
        <w:t>waarvan de redactie parallel loopt aan die van art. 475 Rv (</w:t>
      </w:r>
      <w:proofErr w:type="spellStart"/>
      <w:r w:rsidRPr="005A0113">
        <w:rPr>
          <w:rFonts w:asciiTheme="minorHAnsi" w:hAnsiTheme="minorHAnsi" w:cstheme="minorHAnsi"/>
          <w:b w:val="0"/>
          <w:i/>
          <w:sz w:val="22"/>
          <w:szCs w:val="22"/>
        </w:rPr>
        <w:t>Parl</w:t>
      </w:r>
      <w:proofErr w:type="spellEnd"/>
      <w:r w:rsidRPr="005A0113">
        <w:rPr>
          <w:rFonts w:asciiTheme="minorHAnsi" w:hAnsiTheme="minorHAnsi" w:cstheme="minorHAnsi"/>
          <w:b w:val="0"/>
          <w:i/>
          <w:sz w:val="22"/>
          <w:szCs w:val="22"/>
        </w:rPr>
        <w:t>. Gesch. Boek 3 (</w:t>
      </w:r>
      <w:proofErr w:type="spellStart"/>
      <w:r w:rsidRPr="005A0113">
        <w:rPr>
          <w:rFonts w:asciiTheme="minorHAnsi" w:hAnsiTheme="minorHAnsi" w:cstheme="minorHAnsi"/>
          <w:b w:val="0"/>
          <w:i/>
          <w:sz w:val="22"/>
          <w:szCs w:val="22"/>
        </w:rPr>
        <w:t>Inv</w:t>
      </w:r>
      <w:proofErr w:type="spellEnd"/>
      <w:r w:rsidRPr="005A0113">
        <w:rPr>
          <w:rFonts w:asciiTheme="minorHAnsi" w:hAnsiTheme="minorHAnsi" w:cstheme="minorHAnsi"/>
          <w:b w:val="0"/>
          <w:i/>
          <w:sz w:val="22"/>
          <w:szCs w:val="22"/>
        </w:rPr>
        <w:t xml:space="preserve">. 3, 5 en 6), </w:t>
      </w:r>
      <w:r w:rsidR="00F34A32">
        <w:rPr>
          <w:rFonts w:asciiTheme="minorHAnsi" w:hAnsiTheme="minorHAnsi" w:cstheme="minorHAnsi"/>
          <w:b w:val="0"/>
          <w:i/>
          <w:sz w:val="22"/>
          <w:szCs w:val="22"/>
        </w:rPr>
        <w:tab/>
      </w:r>
      <w:r w:rsidRPr="005A0113">
        <w:rPr>
          <w:rFonts w:asciiTheme="minorHAnsi" w:hAnsiTheme="minorHAnsi" w:cstheme="minorHAnsi"/>
          <w:b w:val="0"/>
          <w:i/>
          <w:sz w:val="22"/>
          <w:szCs w:val="22"/>
        </w:rPr>
        <w:t xml:space="preserve">p. 1247 en p. 1337). Daarom kan niet worden aanvaard dat, zoals het onderdeel onder 1.3 </w:t>
      </w:r>
      <w:r w:rsidR="00F34A32">
        <w:rPr>
          <w:rFonts w:asciiTheme="minorHAnsi" w:hAnsiTheme="minorHAnsi" w:cstheme="minorHAnsi"/>
          <w:b w:val="0"/>
          <w:i/>
          <w:sz w:val="22"/>
          <w:szCs w:val="22"/>
        </w:rPr>
        <w:tab/>
      </w:r>
      <w:r w:rsidRPr="005A0113">
        <w:rPr>
          <w:rFonts w:asciiTheme="minorHAnsi" w:hAnsiTheme="minorHAnsi" w:cstheme="minorHAnsi"/>
          <w:b w:val="0"/>
          <w:i/>
          <w:sz w:val="22"/>
          <w:szCs w:val="22"/>
        </w:rPr>
        <w:t xml:space="preserve">betoogt, toekomstige vorderingen waarop op grond van art. 475 Rv geen beslag kan worden </w:t>
      </w:r>
      <w:r w:rsidR="00F34A32">
        <w:rPr>
          <w:rFonts w:asciiTheme="minorHAnsi" w:hAnsiTheme="minorHAnsi" w:cstheme="minorHAnsi"/>
          <w:b w:val="0"/>
          <w:i/>
          <w:sz w:val="22"/>
          <w:szCs w:val="22"/>
        </w:rPr>
        <w:tab/>
      </w:r>
      <w:r w:rsidRPr="005A0113">
        <w:rPr>
          <w:rFonts w:asciiTheme="minorHAnsi" w:hAnsiTheme="minorHAnsi" w:cstheme="minorHAnsi"/>
          <w:b w:val="0"/>
          <w:i/>
          <w:sz w:val="22"/>
          <w:szCs w:val="22"/>
        </w:rPr>
        <w:t xml:space="preserve">gelegd omdat de geëxecuteerde die niet rechtstreeks zal verkrijgen uit een ten tijde van het </w:t>
      </w:r>
      <w:r w:rsidR="00F34A32">
        <w:rPr>
          <w:rFonts w:asciiTheme="minorHAnsi" w:hAnsiTheme="minorHAnsi" w:cstheme="minorHAnsi"/>
          <w:b w:val="0"/>
          <w:i/>
          <w:sz w:val="22"/>
          <w:szCs w:val="22"/>
        </w:rPr>
        <w:tab/>
      </w:r>
      <w:r w:rsidRPr="005A0113">
        <w:rPr>
          <w:rFonts w:asciiTheme="minorHAnsi" w:hAnsiTheme="minorHAnsi" w:cstheme="minorHAnsi"/>
          <w:b w:val="0"/>
          <w:i/>
          <w:sz w:val="22"/>
          <w:szCs w:val="22"/>
        </w:rPr>
        <w:t xml:space="preserve">beslag reeds bestaande rechtsverhouding, wel voorwerp zouden kunnen zijn van stille </w:t>
      </w:r>
      <w:r w:rsidR="00F34A32">
        <w:rPr>
          <w:rFonts w:asciiTheme="minorHAnsi" w:hAnsiTheme="minorHAnsi" w:cstheme="minorHAnsi"/>
          <w:b w:val="0"/>
          <w:i/>
          <w:sz w:val="22"/>
          <w:szCs w:val="22"/>
        </w:rPr>
        <w:tab/>
      </w:r>
      <w:r w:rsidRPr="005A0113">
        <w:rPr>
          <w:rFonts w:asciiTheme="minorHAnsi" w:hAnsiTheme="minorHAnsi" w:cstheme="minorHAnsi"/>
          <w:b w:val="0"/>
          <w:i/>
          <w:sz w:val="22"/>
          <w:szCs w:val="22"/>
        </w:rPr>
        <w:t>verpanding.</w:t>
      </w:r>
      <w:r>
        <w:rPr>
          <w:rFonts w:asciiTheme="minorHAnsi" w:hAnsiTheme="minorHAnsi" w:cstheme="minorHAnsi"/>
          <w:b w:val="0"/>
          <w:i/>
          <w:sz w:val="22"/>
          <w:szCs w:val="22"/>
        </w:rPr>
        <w:t xml:space="preserve"> (…)</w:t>
      </w:r>
      <w:r w:rsidRPr="005A0113">
        <w:rPr>
          <w:rFonts w:asciiTheme="minorHAnsi" w:hAnsiTheme="minorHAnsi" w:cstheme="minorHAnsi"/>
          <w:b w:val="0"/>
          <w:i/>
          <w:sz w:val="22"/>
          <w:szCs w:val="22"/>
        </w:rPr>
        <w:t>”</w:t>
      </w:r>
      <w:r w:rsidR="00290DFC">
        <w:rPr>
          <w:rStyle w:val="Voetnootmarkering"/>
          <w:rFonts w:asciiTheme="minorHAnsi" w:hAnsiTheme="minorHAnsi" w:cstheme="minorHAnsi"/>
          <w:b w:val="0"/>
          <w:i/>
          <w:sz w:val="22"/>
          <w:szCs w:val="22"/>
        </w:rPr>
        <w:footnoteReference w:id="107"/>
      </w:r>
    </w:p>
    <w:p w:rsidR="005A0113" w:rsidRDefault="005A0113" w:rsidP="00292CFA">
      <w:pPr>
        <w:jc w:val="left"/>
        <w:rPr>
          <w:rFonts w:asciiTheme="minorHAnsi" w:hAnsiTheme="minorHAnsi" w:cstheme="minorHAnsi"/>
          <w:b w:val="0"/>
          <w:sz w:val="22"/>
          <w:szCs w:val="22"/>
        </w:rPr>
      </w:pPr>
    </w:p>
    <w:p w:rsidR="00292CFA" w:rsidRPr="006F6DF8" w:rsidRDefault="00813431" w:rsidP="00292CFA">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Zo heeft de Hoge Raad </w:t>
      </w:r>
      <w:r w:rsidR="00F34A32">
        <w:rPr>
          <w:rFonts w:asciiTheme="minorHAnsi" w:hAnsiTheme="minorHAnsi" w:cstheme="minorHAnsi"/>
          <w:b w:val="0"/>
          <w:sz w:val="22"/>
          <w:szCs w:val="22"/>
        </w:rPr>
        <w:t xml:space="preserve">in het voorgaande </w:t>
      </w:r>
      <w:r w:rsidRPr="006F6DF8">
        <w:rPr>
          <w:rFonts w:asciiTheme="minorHAnsi" w:hAnsiTheme="minorHAnsi" w:cstheme="minorHAnsi"/>
          <w:b w:val="0"/>
          <w:sz w:val="22"/>
          <w:szCs w:val="22"/>
        </w:rPr>
        <w:t>bepaald dat v</w:t>
      </w:r>
      <w:r w:rsidR="00292CFA" w:rsidRPr="006F6DF8">
        <w:rPr>
          <w:rFonts w:asciiTheme="minorHAnsi" w:hAnsiTheme="minorHAnsi" w:cstheme="minorHAnsi"/>
          <w:b w:val="0"/>
          <w:sz w:val="22"/>
          <w:szCs w:val="22"/>
        </w:rPr>
        <w:t xml:space="preserve">orderingen die toekomstig zijn en niet voortvloeien uit een rechtsverhouding die op dat moment zou moeten bestaan, niet verpand </w:t>
      </w:r>
      <w:r w:rsidRPr="006F6DF8">
        <w:rPr>
          <w:rFonts w:asciiTheme="minorHAnsi" w:hAnsiTheme="minorHAnsi" w:cstheme="minorHAnsi"/>
          <w:b w:val="0"/>
          <w:sz w:val="22"/>
          <w:szCs w:val="22"/>
        </w:rPr>
        <w:t xml:space="preserve">kunnen </w:t>
      </w:r>
      <w:r w:rsidR="00292CFA" w:rsidRPr="006F6DF8">
        <w:rPr>
          <w:rFonts w:asciiTheme="minorHAnsi" w:hAnsiTheme="minorHAnsi" w:cstheme="minorHAnsi"/>
          <w:b w:val="0"/>
          <w:sz w:val="22"/>
          <w:szCs w:val="22"/>
        </w:rPr>
        <w:t xml:space="preserve">worden. </w:t>
      </w:r>
      <w:r w:rsidR="00744B7D" w:rsidRPr="006F6DF8">
        <w:rPr>
          <w:rFonts w:asciiTheme="minorHAnsi" w:hAnsiTheme="minorHAnsi" w:cstheme="minorHAnsi"/>
          <w:b w:val="0"/>
          <w:sz w:val="22"/>
          <w:szCs w:val="22"/>
        </w:rPr>
        <w:t xml:space="preserve">Dit zijn de zogenoemde </w:t>
      </w:r>
      <w:r w:rsidR="00072531" w:rsidRPr="006F6DF8">
        <w:rPr>
          <w:rFonts w:asciiTheme="minorHAnsi" w:hAnsiTheme="minorHAnsi" w:cstheme="minorHAnsi"/>
          <w:b w:val="0"/>
          <w:sz w:val="22"/>
          <w:szCs w:val="22"/>
        </w:rPr>
        <w:t>absoluut</w:t>
      </w:r>
      <w:r w:rsidR="00744B7D" w:rsidRPr="006F6DF8">
        <w:rPr>
          <w:rFonts w:asciiTheme="minorHAnsi" w:hAnsiTheme="minorHAnsi" w:cstheme="minorHAnsi"/>
          <w:b w:val="0"/>
          <w:sz w:val="22"/>
          <w:szCs w:val="22"/>
        </w:rPr>
        <w:t xml:space="preserve"> toekomstige vorderingen. </w:t>
      </w:r>
      <w:r w:rsidR="00292CFA" w:rsidRPr="006F6DF8">
        <w:rPr>
          <w:rFonts w:asciiTheme="minorHAnsi" w:hAnsiTheme="minorHAnsi" w:cstheme="minorHAnsi"/>
          <w:b w:val="0"/>
          <w:sz w:val="22"/>
          <w:szCs w:val="22"/>
        </w:rPr>
        <w:t xml:space="preserve">Dit zorgt ervoor dat </w:t>
      </w:r>
      <w:r w:rsidRPr="006F6DF8">
        <w:rPr>
          <w:rFonts w:asciiTheme="minorHAnsi" w:hAnsiTheme="minorHAnsi" w:cstheme="minorHAnsi"/>
          <w:b w:val="0"/>
          <w:sz w:val="22"/>
          <w:szCs w:val="22"/>
        </w:rPr>
        <w:t xml:space="preserve">op basis van die vorderingen </w:t>
      </w:r>
      <w:r w:rsidR="00292CFA" w:rsidRPr="006F6DF8">
        <w:rPr>
          <w:rFonts w:asciiTheme="minorHAnsi" w:hAnsiTheme="minorHAnsi" w:cstheme="minorHAnsi"/>
          <w:b w:val="0"/>
          <w:sz w:val="22"/>
          <w:szCs w:val="22"/>
        </w:rPr>
        <w:t>niet verrekend kan worden in het zicht van een faillissement. Er is immers geen pandrecht aanwezig zoals het arrest Mulder vereist.</w:t>
      </w:r>
      <w:r w:rsidR="009F588D" w:rsidRPr="006F6DF8">
        <w:rPr>
          <w:rStyle w:val="Voetnootmarkering"/>
          <w:rFonts w:asciiTheme="minorHAnsi" w:hAnsiTheme="minorHAnsi" w:cstheme="minorHAnsi"/>
          <w:b w:val="0"/>
          <w:sz w:val="22"/>
          <w:szCs w:val="22"/>
        </w:rPr>
        <w:footnoteReference w:id="108"/>
      </w:r>
    </w:p>
    <w:p w:rsidR="00292CFA" w:rsidRPr="006F6DF8" w:rsidRDefault="00292CFA" w:rsidP="00292CFA">
      <w:pPr>
        <w:jc w:val="left"/>
        <w:rPr>
          <w:rFonts w:asciiTheme="minorHAnsi" w:hAnsiTheme="minorHAnsi" w:cstheme="minorHAnsi"/>
          <w:b w:val="0"/>
          <w:sz w:val="22"/>
          <w:szCs w:val="22"/>
        </w:rPr>
      </w:pPr>
    </w:p>
    <w:p w:rsidR="00292CFA" w:rsidRPr="006F6DF8" w:rsidRDefault="00292CFA" w:rsidP="00292CFA">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In het arrest </w:t>
      </w:r>
      <w:proofErr w:type="spellStart"/>
      <w:r w:rsidRPr="006F6DF8">
        <w:rPr>
          <w:rFonts w:asciiTheme="minorHAnsi" w:hAnsiTheme="minorHAnsi" w:cstheme="minorHAnsi"/>
          <w:b w:val="0"/>
          <w:sz w:val="22"/>
          <w:szCs w:val="22"/>
        </w:rPr>
        <w:t>Dix</w:t>
      </w:r>
      <w:proofErr w:type="spellEnd"/>
      <w:r w:rsidRPr="006F6DF8">
        <w:rPr>
          <w:rFonts w:asciiTheme="minorHAnsi" w:hAnsiTheme="minorHAnsi" w:cstheme="minorHAnsi"/>
          <w:b w:val="0"/>
          <w:sz w:val="22"/>
          <w:szCs w:val="22"/>
        </w:rPr>
        <w:t xml:space="preserve"> q.q./ING is</w:t>
      </w:r>
      <w:r w:rsidR="00813431" w:rsidRPr="006F6DF8">
        <w:rPr>
          <w:rFonts w:asciiTheme="minorHAnsi" w:hAnsiTheme="minorHAnsi" w:cstheme="minorHAnsi"/>
          <w:b w:val="0"/>
          <w:sz w:val="22"/>
          <w:szCs w:val="22"/>
        </w:rPr>
        <w:t xml:space="preserve"> echter</w:t>
      </w:r>
      <w:r w:rsidRPr="006F6DF8">
        <w:rPr>
          <w:rFonts w:asciiTheme="minorHAnsi" w:hAnsiTheme="minorHAnsi" w:cstheme="minorHAnsi"/>
          <w:b w:val="0"/>
          <w:sz w:val="22"/>
          <w:szCs w:val="22"/>
        </w:rPr>
        <w:t xml:space="preserve"> bepaald dat </w:t>
      </w:r>
      <w:r w:rsidR="006974E8" w:rsidRPr="006F6DF8">
        <w:rPr>
          <w:rFonts w:asciiTheme="minorHAnsi" w:hAnsiTheme="minorHAnsi" w:cstheme="minorHAnsi"/>
          <w:b w:val="0"/>
          <w:sz w:val="22"/>
          <w:szCs w:val="22"/>
        </w:rPr>
        <w:t xml:space="preserve">absoluut </w:t>
      </w:r>
      <w:r w:rsidRPr="006F6DF8">
        <w:rPr>
          <w:rFonts w:asciiTheme="minorHAnsi" w:hAnsiTheme="minorHAnsi" w:cstheme="minorHAnsi"/>
          <w:b w:val="0"/>
          <w:sz w:val="22"/>
          <w:szCs w:val="22"/>
        </w:rPr>
        <w:t>toekomstige vorderingen wel verpand kunnen worden indien men gebruik maakt van een verzamelpandakte</w:t>
      </w:r>
      <w:r w:rsidR="0065638C" w:rsidRPr="006F6DF8">
        <w:rPr>
          <w:rFonts w:asciiTheme="minorHAnsi" w:hAnsiTheme="minorHAnsi" w:cstheme="minorHAnsi"/>
          <w:b w:val="0"/>
          <w:sz w:val="22"/>
          <w:szCs w:val="22"/>
        </w:rPr>
        <w:t>, zie hoofdstuk 2 paragraaf 3</w:t>
      </w:r>
      <w:r w:rsidRPr="006F6DF8">
        <w:rPr>
          <w:rFonts w:asciiTheme="minorHAnsi" w:hAnsiTheme="minorHAnsi" w:cstheme="minorHAnsi"/>
          <w:b w:val="0"/>
          <w:sz w:val="22"/>
          <w:szCs w:val="22"/>
        </w:rPr>
        <w:t xml:space="preserve">. Indien dit het geval </w:t>
      </w:r>
      <w:r w:rsidR="00140A8D" w:rsidRPr="006F6DF8">
        <w:rPr>
          <w:rFonts w:asciiTheme="minorHAnsi" w:hAnsiTheme="minorHAnsi" w:cstheme="minorHAnsi"/>
          <w:b w:val="0"/>
          <w:sz w:val="22"/>
          <w:szCs w:val="22"/>
        </w:rPr>
        <w:t xml:space="preserve">is kunnen </w:t>
      </w:r>
      <w:r w:rsidRPr="006F6DF8">
        <w:rPr>
          <w:rFonts w:asciiTheme="minorHAnsi" w:hAnsiTheme="minorHAnsi" w:cstheme="minorHAnsi"/>
          <w:b w:val="0"/>
          <w:sz w:val="22"/>
          <w:szCs w:val="22"/>
        </w:rPr>
        <w:t xml:space="preserve">er wel pandrechten gevestigd kunnen worden en </w:t>
      </w:r>
      <w:r w:rsidR="009D2E97" w:rsidRPr="006F6DF8">
        <w:rPr>
          <w:rFonts w:asciiTheme="minorHAnsi" w:hAnsiTheme="minorHAnsi" w:cstheme="minorHAnsi"/>
          <w:b w:val="0"/>
          <w:sz w:val="22"/>
          <w:szCs w:val="22"/>
        </w:rPr>
        <w:t>creëert men een</w:t>
      </w:r>
      <w:r w:rsidRPr="006F6DF8">
        <w:rPr>
          <w:rFonts w:asciiTheme="minorHAnsi" w:hAnsiTheme="minorHAnsi" w:cstheme="minorHAnsi"/>
          <w:b w:val="0"/>
          <w:sz w:val="22"/>
          <w:szCs w:val="22"/>
        </w:rPr>
        <w:t xml:space="preserve"> </w:t>
      </w:r>
      <w:proofErr w:type="spellStart"/>
      <w:r w:rsidRPr="006F6DF8">
        <w:rPr>
          <w:rFonts w:asciiTheme="minorHAnsi" w:hAnsiTheme="minorHAnsi" w:cstheme="minorHAnsi"/>
          <w:b w:val="0"/>
          <w:sz w:val="22"/>
          <w:szCs w:val="22"/>
        </w:rPr>
        <w:t>verrekeningsgrond</w:t>
      </w:r>
      <w:proofErr w:type="spellEnd"/>
      <w:r w:rsidR="009F588D" w:rsidRPr="006F6DF8">
        <w:rPr>
          <w:rFonts w:asciiTheme="minorHAnsi" w:hAnsiTheme="minorHAnsi" w:cstheme="minorHAnsi"/>
          <w:b w:val="0"/>
          <w:sz w:val="22"/>
          <w:szCs w:val="22"/>
        </w:rPr>
        <w:t xml:space="preserve">. </w:t>
      </w:r>
      <w:r w:rsidR="00C74FD7" w:rsidRPr="006F6DF8">
        <w:rPr>
          <w:rFonts w:asciiTheme="minorHAnsi" w:hAnsiTheme="minorHAnsi" w:cstheme="minorHAnsi"/>
          <w:b w:val="0"/>
          <w:sz w:val="22"/>
          <w:szCs w:val="22"/>
        </w:rPr>
        <w:t xml:space="preserve">Uit de combinatie van het arrest uit 2012 en het arrest </w:t>
      </w:r>
      <w:proofErr w:type="spellStart"/>
      <w:r w:rsidR="00C74FD7" w:rsidRPr="006F6DF8">
        <w:rPr>
          <w:rFonts w:asciiTheme="minorHAnsi" w:hAnsiTheme="minorHAnsi" w:cstheme="minorHAnsi"/>
          <w:b w:val="0"/>
          <w:sz w:val="22"/>
          <w:szCs w:val="22"/>
        </w:rPr>
        <w:t>Dix</w:t>
      </w:r>
      <w:proofErr w:type="spellEnd"/>
      <w:r w:rsidR="00C74FD7" w:rsidRPr="006F6DF8">
        <w:rPr>
          <w:rFonts w:asciiTheme="minorHAnsi" w:hAnsiTheme="minorHAnsi" w:cstheme="minorHAnsi"/>
          <w:b w:val="0"/>
          <w:sz w:val="22"/>
          <w:szCs w:val="22"/>
        </w:rPr>
        <w:t xml:space="preserve"> q.q./ING kan afgeleid worden dat er geen losse pandrechten op absoluut toekomstige vorderingen gevestigd kunnen worden, maar dat de mogelijkheid om absoluut toekomstige vo</w:t>
      </w:r>
      <w:r w:rsidR="00BD726F" w:rsidRPr="006F6DF8">
        <w:rPr>
          <w:rFonts w:asciiTheme="minorHAnsi" w:hAnsiTheme="minorHAnsi" w:cstheme="minorHAnsi"/>
          <w:b w:val="0"/>
          <w:sz w:val="22"/>
          <w:szCs w:val="22"/>
        </w:rPr>
        <w:t>rderingen wel bestaat indien men</w:t>
      </w:r>
      <w:r w:rsidR="00C74FD7" w:rsidRPr="006F6DF8">
        <w:rPr>
          <w:rFonts w:asciiTheme="minorHAnsi" w:hAnsiTheme="minorHAnsi" w:cstheme="minorHAnsi"/>
          <w:b w:val="0"/>
          <w:sz w:val="22"/>
          <w:szCs w:val="22"/>
        </w:rPr>
        <w:t xml:space="preserve"> gebruik maakt van een verzamelpandakte.</w:t>
      </w:r>
    </w:p>
    <w:p w:rsidR="00292CFA" w:rsidRPr="006F6DF8" w:rsidRDefault="00292CFA" w:rsidP="002107CE">
      <w:pPr>
        <w:jc w:val="left"/>
        <w:rPr>
          <w:rFonts w:asciiTheme="minorHAnsi" w:hAnsiTheme="minorHAnsi" w:cstheme="minorHAnsi"/>
          <w:b w:val="0"/>
          <w:sz w:val="22"/>
          <w:szCs w:val="22"/>
        </w:rPr>
      </w:pPr>
    </w:p>
    <w:p w:rsidR="00D52CBE" w:rsidRPr="006F6DF8" w:rsidRDefault="00D52CBE" w:rsidP="002107CE">
      <w:pPr>
        <w:jc w:val="left"/>
        <w:rPr>
          <w:rFonts w:asciiTheme="minorHAnsi" w:hAnsiTheme="minorHAnsi" w:cstheme="minorHAnsi"/>
          <w:b w:val="0"/>
          <w:sz w:val="22"/>
          <w:szCs w:val="22"/>
        </w:rPr>
      </w:pPr>
      <w:r w:rsidRPr="006F6DF8">
        <w:rPr>
          <w:rFonts w:asciiTheme="minorHAnsi" w:hAnsiTheme="minorHAnsi" w:cstheme="minorHAnsi"/>
          <w:b w:val="0"/>
          <w:sz w:val="22"/>
          <w:szCs w:val="22"/>
        </w:rPr>
        <w:t>§</w:t>
      </w:r>
      <w:r w:rsidR="000536E6" w:rsidRPr="006F6DF8">
        <w:rPr>
          <w:rFonts w:asciiTheme="minorHAnsi" w:hAnsiTheme="minorHAnsi" w:cstheme="minorHAnsi"/>
          <w:b w:val="0"/>
          <w:sz w:val="22"/>
          <w:szCs w:val="22"/>
        </w:rPr>
        <w:t>2.1.6</w:t>
      </w:r>
      <w:r w:rsidRPr="006F6DF8">
        <w:rPr>
          <w:rFonts w:asciiTheme="minorHAnsi" w:hAnsiTheme="minorHAnsi" w:cstheme="minorHAnsi"/>
          <w:b w:val="0"/>
          <w:sz w:val="22"/>
          <w:szCs w:val="22"/>
        </w:rPr>
        <w:t xml:space="preserve"> Tenietgaan pandrecht</w:t>
      </w:r>
    </w:p>
    <w:p w:rsidR="0047186D" w:rsidRPr="006F6DF8" w:rsidRDefault="00A465FE" w:rsidP="0041572A">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Zoals ik vaker heb aangehaald dient er voor verrekening in het zicht van een faillissement sprake te zijn van een stil pandrecht op basis waarvan verrekening plaatsvindt. Deze mogelijkheid om te kunnen verrekenen in het zicht van een faillissement is bepaald in het arrest Mulder. </w:t>
      </w:r>
      <w:r w:rsidR="0041572A" w:rsidRPr="006F6DF8">
        <w:rPr>
          <w:rFonts w:asciiTheme="minorHAnsi" w:hAnsiTheme="minorHAnsi" w:cstheme="minorHAnsi"/>
          <w:b w:val="0"/>
          <w:sz w:val="22"/>
          <w:szCs w:val="22"/>
        </w:rPr>
        <w:t xml:space="preserve">Het pandrecht op basis waarvan verrekend wordt dient te bestaan om ermee te kunnen verrekenen. Een pandrecht gaat echter teniet door voltooiing van de vordering waarop het pandrecht gevestigd is. </w:t>
      </w:r>
      <w:r w:rsidR="002A1E7F" w:rsidRPr="006F6DF8">
        <w:rPr>
          <w:rFonts w:asciiTheme="minorHAnsi" w:hAnsiTheme="minorHAnsi" w:cstheme="minorHAnsi"/>
          <w:b w:val="0"/>
          <w:sz w:val="22"/>
          <w:szCs w:val="22"/>
        </w:rPr>
        <w:t>Indien de vordering niet is voldaan door middel van betaling of slechts gedeeltelijk is voldaan, bestaat de vordering nog en het betreffende pandrecht dat erop ligt. Zodoende kan er nog verrekend worden.</w:t>
      </w:r>
      <w:r w:rsidR="002A1E7F" w:rsidRPr="006F6DF8">
        <w:rPr>
          <w:rStyle w:val="Voetnootmarkering"/>
          <w:rFonts w:asciiTheme="minorHAnsi" w:hAnsiTheme="minorHAnsi" w:cstheme="minorHAnsi"/>
          <w:b w:val="0"/>
          <w:sz w:val="22"/>
          <w:szCs w:val="22"/>
        </w:rPr>
        <w:footnoteReference w:id="109"/>
      </w:r>
      <w:r w:rsidR="0047186D" w:rsidRPr="006F6DF8">
        <w:rPr>
          <w:rFonts w:asciiTheme="minorHAnsi" w:hAnsiTheme="minorHAnsi" w:cstheme="minorHAnsi"/>
          <w:b w:val="0"/>
          <w:sz w:val="22"/>
          <w:szCs w:val="22"/>
        </w:rPr>
        <w:t xml:space="preserve"> </w:t>
      </w:r>
      <w:r w:rsidR="0041572A" w:rsidRPr="006F6DF8">
        <w:rPr>
          <w:rFonts w:asciiTheme="minorHAnsi" w:hAnsiTheme="minorHAnsi" w:cstheme="minorHAnsi"/>
          <w:b w:val="0"/>
          <w:sz w:val="22"/>
          <w:szCs w:val="22"/>
        </w:rPr>
        <w:t>Het moment van voltooiing van de vordering is het moment waarop het geld wordt gecrediteerd op de rekening van de pandnemer. Dit komt overeen met artikel 6:114 lid 2 BW</w:t>
      </w:r>
      <w:r w:rsidR="00FC7C93" w:rsidRPr="006F6DF8">
        <w:rPr>
          <w:rFonts w:asciiTheme="minorHAnsi" w:hAnsiTheme="minorHAnsi" w:cstheme="minorHAnsi"/>
          <w:b w:val="0"/>
          <w:sz w:val="22"/>
          <w:szCs w:val="22"/>
        </w:rPr>
        <w:t xml:space="preserve"> en de literatuur zoals beschreven in hoofdstuk 2 en 4</w:t>
      </w:r>
      <w:r w:rsidR="0041572A" w:rsidRPr="006F6DF8">
        <w:rPr>
          <w:rFonts w:asciiTheme="minorHAnsi" w:hAnsiTheme="minorHAnsi" w:cstheme="minorHAnsi"/>
          <w:b w:val="0"/>
          <w:sz w:val="22"/>
          <w:szCs w:val="22"/>
        </w:rPr>
        <w:t>.</w:t>
      </w:r>
      <w:r w:rsidR="0041572A" w:rsidRPr="006F6DF8">
        <w:rPr>
          <w:rStyle w:val="Voetnootmarkering"/>
          <w:rFonts w:asciiTheme="minorHAnsi" w:hAnsiTheme="minorHAnsi" w:cstheme="minorHAnsi"/>
          <w:b w:val="0"/>
          <w:sz w:val="22"/>
          <w:szCs w:val="22"/>
        </w:rPr>
        <w:footnoteReference w:id="110"/>
      </w:r>
    </w:p>
    <w:p w:rsidR="008C1D47" w:rsidRPr="006F6DF8" w:rsidRDefault="008C1D47" w:rsidP="008C1D47">
      <w:pPr>
        <w:jc w:val="left"/>
        <w:rPr>
          <w:rFonts w:asciiTheme="minorHAnsi" w:hAnsiTheme="minorHAnsi" w:cstheme="minorHAnsi"/>
          <w:b w:val="0"/>
          <w:sz w:val="22"/>
          <w:szCs w:val="22"/>
        </w:rPr>
      </w:pPr>
    </w:p>
    <w:p w:rsidR="00341578" w:rsidRPr="006F6DF8" w:rsidRDefault="00341578" w:rsidP="002107CE">
      <w:pPr>
        <w:jc w:val="left"/>
        <w:rPr>
          <w:rFonts w:asciiTheme="minorHAnsi" w:hAnsiTheme="minorHAnsi" w:cstheme="minorHAnsi"/>
          <w:b w:val="0"/>
          <w:sz w:val="22"/>
          <w:szCs w:val="22"/>
        </w:rPr>
      </w:pPr>
      <w:r w:rsidRPr="006F6DF8">
        <w:rPr>
          <w:rFonts w:asciiTheme="minorHAnsi" w:hAnsiTheme="minorHAnsi" w:cstheme="minorHAnsi"/>
          <w:b w:val="0"/>
          <w:sz w:val="22"/>
          <w:szCs w:val="22"/>
        </w:rPr>
        <w:t>§</w:t>
      </w:r>
      <w:r w:rsidR="00D52CBE" w:rsidRPr="006F6DF8">
        <w:rPr>
          <w:rFonts w:asciiTheme="minorHAnsi" w:hAnsiTheme="minorHAnsi" w:cstheme="minorHAnsi"/>
          <w:b w:val="0"/>
          <w:sz w:val="22"/>
          <w:szCs w:val="22"/>
        </w:rPr>
        <w:t>2.1.</w:t>
      </w:r>
      <w:r w:rsidR="000536E6" w:rsidRPr="006F6DF8">
        <w:rPr>
          <w:rFonts w:asciiTheme="minorHAnsi" w:hAnsiTheme="minorHAnsi" w:cstheme="minorHAnsi"/>
          <w:b w:val="0"/>
          <w:sz w:val="22"/>
          <w:szCs w:val="22"/>
        </w:rPr>
        <w:t>7</w:t>
      </w:r>
      <w:r w:rsidRPr="006F6DF8">
        <w:rPr>
          <w:rFonts w:asciiTheme="minorHAnsi" w:hAnsiTheme="minorHAnsi" w:cstheme="minorHAnsi"/>
          <w:b w:val="0"/>
          <w:sz w:val="22"/>
          <w:szCs w:val="22"/>
        </w:rPr>
        <w:t xml:space="preserve"> Kortom</w:t>
      </w:r>
    </w:p>
    <w:p w:rsidR="00C75DCC" w:rsidRPr="006F6DF8" w:rsidRDefault="007375B6" w:rsidP="002107CE">
      <w:pPr>
        <w:jc w:val="left"/>
        <w:rPr>
          <w:rFonts w:asciiTheme="minorHAnsi" w:hAnsiTheme="minorHAnsi" w:cstheme="minorHAnsi"/>
          <w:b w:val="0"/>
          <w:sz w:val="22"/>
          <w:szCs w:val="22"/>
        </w:rPr>
      </w:pPr>
      <w:r w:rsidRPr="006F6DF8">
        <w:rPr>
          <w:rFonts w:asciiTheme="minorHAnsi" w:hAnsiTheme="minorHAnsi" w:cstheme="minorHAnsi"/>
          <w:b w:val="0"/>
          <w:sz w:val="22"/>
          <w:szCs w:val="22"/>
        </w:rPr>
        <w:t>Een belangrijk element in het arrest Mulder q.q./CLBN is het bezitten van een stil pandrecht op basis waarvan verrekend kan worden.</w:t>
      </w:r>
      <w:r w:rsidRPr="006F6DF8">
        <w:rPr>
          <w:rFonts w:asciiTheme="minorHAnsi" w:hAnsiTheme="minorHAnsi" w:cstheme="minorHAnsi"/>
          <w:b w:val="0"/>
          <w:color w:val="FF0000"/>
          <w:sz w:val="22"/>
          <w:szCs w:val="22"/>
        </w:rPr>
        <w:t xml:space="preserve"> </w:t>
      </w:r>
      <w:r w:rsidRPr="006F6DF8">
        <w:rPr>
          <w:rFonts w:asciiTheme="minorHAnsi" w:hAnsiTheme="minorHAnsi" w:cstheme="minorHAnsi"/>
          <w:b w:val="0"/>
          <w:sz w:val="22"/>
          <w:szCs w:val="22"/>
        </w:rPr>
        <w:t xml:space="preserve">Ten aanzien van het stil pandrecht zijn in de rechtspraak een aantal nieuwe elementen naar voren gekomen en een aantal elementen uit de wet en literatuur bekrachtigd. </w:t>
      </w:r>
      <w:r w:rsidR="006C55C9" w:rsidRPr="006F6DF8">
        <w:rPr>
          <w:rFonts w:asciiTheme="minorHAnsi" w:hAnsiTheme="minorHAnsi" w:cstheme="minorHAnsi"/>
          <w:b w:val="0"/>
          <w:sz w:val="22"/>
          <w:szCs w:val="22"/>
        </w:rPr>
        <w:t xml:space="preserve">Zo dient de curator de stil pandhouder op basis van artikel 58 </w:t>
      </w:r>
      <w:proofErr w:type="spellStart"/>
      <w:r w:rsidR="006C55C9" w:rsidRPr="006F6DF8">
        <w:rPr>
          <w:rFonts w:asciiTheme="minorHAnsi" w:hAnsiTheme="minorHAnsi" w:cstheme="minorHAnsi"/>
          <w:b w:val="0"/>
          <w:sz w:val="22"/>
          <w:szCs w:val="22"/>
        </w:rPr>
        <w:t>Fw</w:t>
      </w:r>
      <w:proofErr w:type="spellEnd"/>
      <w:r w:rsidR="006C55C9" w:rsidRPr="006F6DF8">
        <w:rPr>
          <w:rFonts w:asciiTheme="minorHAnsi" w:hAnsiTheme="minorHAnsi" w:cstheme="minorHAnsi"/>
          <w:b w:val="0"/>
          <w:sz w:val="22"/>
          <w:szCs w:val="22"/>
        </w:rPr>
        <w:t xml:space="preserve"> een redelijke termijn te geven om zijn pandrechten uit te kunnen oefenen. Uit het onderzoek in bijlage 1 is gebleken dat een redelijke termijn veertien dagen betreft. </w:t>
      </w:r>
      <w:r w:rsidR="00C75DCC" w:rsidRPr="006F6DF8">
        <w:rPr>
          <w:rFonts w:asciiTheme="minorHAnsi" w:hAnsiTheme="minorHAnsi" w:cstheme="minorHAnsi"/>
          <w:b w:val="0"/>
          <w:sz w:val="22"/>
          <w:szCs w:val="22"/>
        </w:rPr>
        <w:t xml:space="preserve">Indien de stil pandhouder geen gebruik maakt van zijn </w:t>
      </w:r>
      <w:r w:rsidR="00C75DCC" w:rsidRPr="006F6DF8">
        <w:rPr>
          <w:rFonts w:asciiTheme="minorHAnsi" w:hAnsiTheme="minorHAnsi" w:cstheme="minorHAnsi"/>
          <w:b w:val="0"/>
          <w:sz w:val="22"/>
          <w:szCs w:val="22"/>
        </w:rPr>
        <w:lastRenderedPageBreak/>
        <w:t>pandrechten, dan</w:t>
      </w:r>
      <w:r w:rsidR="00107063" w:rsidRPr="006F6DF8">
        <w:rPr>
          <w:rFonts w:asciiTheme="minorHAnsi" w:hAnsiTheme="minorHAnsi" w:cstheme="minorHAnsi"/>
          <w:b w:val="0"/>
          <w:sz w:val="22"/>
          <w:szCs w:val="22"/>
        </w:rPr>
        <w:t xml:space="preserve"> kan de curator actief de vorderingen innen en</w:t>
      </w:r>
      <w:r w:rsidR="00C75DCC" w:rsidRPr="006F6DF8">
        <w:rPr>
          <w:rFonts w:asciiTheme="minorHAnsi" w:hAnsiTheme="minorHAnsi" w:cstheme="minorHAnsi"/>
          <w:b w:val="0"/>
          <w:sz w:val="22"/>
          <w:szCs w:val="22"/>
        </w:rPr>
        <w:t xml:space="preserve"> zullen de gelden naar de curator gaan. De stil pandhouder blijft echter altijd zijn recht behouden om </w:t>
      </w:r>
      <w:r w:rsidR="00747A88" w:rsidRPr="006F6DF8">
        <w:rPr>
          <w:rFonts w:asciiTheme="minorHAnsi" w:hAnsiTheme="minorHAnsi" w:cstheme="minorHAnsi"/>
          <w:b w:val="0"/>
          <w:sz w:val="22"/>
          <w:szCs w:val="22"/>
        </w:rPr>
        <w:t>zich met voorrang</w:t>
      </w:r>
      <w:r w:rsidR="00C75DCC" w:rsidRPr="006F6DF8">
        <w:rPr>
          <w:rFonts w:asciiTheme="minorHAnsi" w:hAnsiTheme="minorHAnsi" w:cstheme="minorHAnsi"/>
          <w:b w:val="0"/>
          <w:sz w:val="22"/>
          <w:szCs w:val="22"/>
        </w:rPr>
        <w:t xml:space="preserve"> te </w:t>
      </w:r>
      <w:r w:rsidR="00747A88" w:rsidRPr="006F6DF8">
        <w:rPr>
          <w:rFonts w:asciiTheme="minorHAnsi" w:hAnsiTheme="minorHAnsi" w:cstheme="minorHAnsi"/>
          <w:b w:val="0"/>
          <w:sz w:val="22"/>
          <w:szCs w:val="22"/>
        </w:rPr>
        <w:t>ver</w:t>
      </w:r>
      <w:r w:rsidR="00C75DCC" w:rsidRPr="006F6DF8">
        <w:rPr>
          <w:rFonts w:asciiTheme="minorHAnsi" w:hAnsiTheme="minorHAnsi" w:cstheme="minorHAnsi"/>
          <w:b w:val="0"/>
          <w:sz w:val="22"/>
          <w:szCs w:val="22"/>
        </w:rPr>
        <w:t xml:space="preserve">halen op de door de curator geïnde vorderingen, overeenkomstig zijn pandrechten. De pandhouder dient wel bij te dragen in de algemene faillissementskosten. Dit lijkt aan te sluiten op wat </w:t>
      </w:r>
      <w:proofErr w:type="spellStart"/>
      <w:r w:rsidR="00C75DCC" w:rsidRPr="006F6DF8">
        <w:rPr>
          <w:rFonts w:asciiTheme="minorHAnsi" w:hAnsiTheme="minorHAnsi" w:cstheme="minorHAnsi"/>
          <w:b w:val="0"/>
          <w:sz w:val="22"/>
          <w:szCs w:val="22"/>
        </w:rPr>
        <w:t>Hartkamp</w:t>
      </w:r>
      <w:proofErr w:type="spellEnd"/>
      <w:r w:rsidR="00C75DCC" w:rsidRPr="006F6DF8">
        <w:rPr>
          <w:rFonts w:asciiTheme="minorHAnsi" w:hAnsiTheme="minorHAnsi" w:cstheme="minorHAnsi"/>
          <w:b w:val="0"/>
          <w:sz w:val="22"/>
          <w:szCs w:val="22"/>
        </w:rPr>
        <w:t xml:space="preserve"> in de literatuur hieromtrent zei. </w:t>
      </w:r>
      <w:proofErr w:type="spellStart"/>
      <w:r w:rsidR="00C75DCC" w:rsidRPr="006F6DF8">
        <w:rPr>
          <w:rFonts w:asciiTheme="minorHAnsi" w:hAnsiTheme="minorHAnsi" w:cstheme="minorHAnsi"/>
          <w:b w:val="0"/>
          <w:sz w:val="22"/>
          <w:szCs w:val="22"/>
        </w:rPr>
        <w:t>Hartkamp</w:t>
      </w:r>
      <w:proofErr w:type="spellEnd"/>
      <w:r w:rsidR="00C75DCC" w:rsidRPr="006F6DF8">
        <w:rPr>
          <w:rFonts w:asciiTheme="minorHAnsi" w:hAnsiTheme="minorHAnsi" w:cstheme="minorHAnsi"/>
          <w:b w:val="0"/>
          <w:sz w:val="22"/>
          <w:szCs w:val="22"/>
        </w:rPr>
        <w:t xml:space="preserve"> was immers van mening dat een  stil pandhouder pas na openbaarmaking van zijn pandrechten zich als separatist kon gedragen in de zin van artikel 57 </w:t>
      </w:r>
      <w:proofErr w:type="spellStart"/>
      <w:r w:rsidR="00C75DCC" w:rsidRPr="006F6DF8">
        <w:rPr>
          <w:rFonts w:asciiTheme="minorHAnsi" w:hAnsiTheme="minorHAnsi" w:cstheme="minorHAnsi"/>
          <w:b w:val="0"/>
          <w:sz w:val="22"/>
          <w:szCs w:val="22"/>
        </w:rPr>
        <w:t>Fw</w:t>
      </w:r>
      <w:proofErr w:type="spellEnd"/>
      <w:r w:rsidR="00C75DCC" w:rsidRPr="006F6DF8">
        <w:rPr>
          <w:rFonts w:asciiTheme="minorHAnsi" w:hAnsiTheme="minorHAnsi" w:cstheme="minorHAnsi"/>
          <w:b w:val="0"/>
          <w:sz w:val="22"/>
          <w:szCs w:val="22"/>
        </w:rPr>
        <w:t xml:space="preserve">. </w:t>
      </w:r>
    </w:p>
    <w:p w:rsidR="0064252D" w:rsidRPr="006F6DF8" w:rsidRDefault="0064252D" w:rsidP="002107CE">
      <w:pPr>
        <w:jc w:val="left"/>
        <w:rPr>
          <w:rFonts w:asciiTheme="minorHAnsi" w:hAnsiTheme="minorHAnsi" w:cstheme="minorHAnsi"/>
          <w:b w:val="0"/>
          <w:sz w:val="22"/>
          <w:szCs w:val="22"/>
        </w:rPr>
      </w:pPr>
    </w:p>
    <w:p w:rsidR="004577A7" w:rsidRPr="006F6DF8" w:rsidRDefault="004577A7" w:rsidP="002107CE">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Verder is door middel van het onderzoek in bijlage 1 duidelijk geworden dat het vestigen van losse pandrechten in het zicht van een faillissement niet mag. </w:t>
      </w:r>
      <w:r w:rsidR="00EB01A1" w:rsidRPr="006F6DF8">
        <w:rPr>
          <w:rFonts w:asciiTheme="minorHAnsi" w:hAnsiTheme="minorHAnsi" w:cstheme="minorHAnsi"/>
          <w:b w:val="0"/>
          <w:sz w:val="22"/>
          <w:szCs w:val="22"/>
        </w:rPr>
        <w:t xml:space="preserve">Daarnaast is voor het vestigen van een pandrecht in zijn algemeenheid vereist dat er wilsovereenstemming is tussen de pandhouder en de pandgever en dient er in de </w:t>
      </w:r>
      <w:proofErr w:type="spellStart"/>
      <w:r w:rsidR="00EB01A1" w:rsidRPr="006F6DF8">
        <w:rPr>
          <w:rFonts w:asciiTheme="minorHAnsi" w:hAnsiTheme="minorHAnsi" w:cstheme="minorHAnsi"/>
          <w:b w:val="0"/>
          <w:sz w:val="22"/>
          <w:szCs w:val="22"/>
        </w:rPr>
        <w:t>pandakte</w:t>
      </w:r>
      <w:proofErr w:type="spellEnd"/>
      <w:r w:rsidR="00EB01A1" w:rsidRPr="006F6DF8">
        <w:rPr>
          <w:rFonts w:asciiTheme="minorHAnsi" w:hAnsiTheme="minorHAnsi" w:cstheme="minorHAnsi"/>
          <w:b w:val="0"/>
          <w:sz w:val="22"/>
          <w:szCs w:val="22"/>
        </w:rPr>
        <w:t xml:space="preserve"> voldoende gespecificeerd te zijn welke vorderingen worden verpand. </w:t>
      </w:r>
      <w:r w:rsidR="00D615AD" w:rsidRPr="006F6DF8">
        <w:rPr>
          <w:rFonts w:asciiTheme="minorHAnsi" w:hAnsiTheme="minorHAnsi" w:cstheme="minorHAnsi"/>
          <w:b w:val="0"/>
          <w:sz w:val="22"/>
          <w:szCs w:val="22"/>
        </w:rPr>
        <w:t>Voldoende is dat uit de akte afgeleid kan worden, of in samenhang met andere gegevens of akten vastgesteld kan worden, wat er via de akte verpand wordt en dat de akte tot verpanding bestemd is.</w:t>
      </w:r>
      <w:r w:rsidR="007B6436" w:rsidRPr="006F6DF8">
        <w:rPr>
          <w:rFonts w:asciiTheme="minorHAnsi" w:hAnsiTheme="minorHAnsi" w:cstheme="minorHAnsi"/>
          <w:b w:val="0"/>
          <w:sz w:val="22"/>
          <w:szCs w:val="22"/>
        </w:rPr>
        <w:t xml:space="preserve"> </w:t>
      </w:r>
      <w:r w:rsidR="00B14029" w:rsidRPr="006F6DF8">
        <w:rPr>
          <w:rFonts w:asciiTheme="minorHAnsi" w:hAnsiTheme="minorHAnsi" w:cstheme="minorHAnsi"/>
          <w:b w:val="0"/>
          <w:sz w:val="22"/>
          <w:szCs w:val="22"/>
        </w:rPr>
        <w:t xml:space="preserve">Dit geldt zowel voor losse pandaktes als voor een verzamelpandakte. </w:t>
      </w:r>
    </w:p>
    <w:p w:rsidR="00D95412" w:rsidRPr="006F6DF8" w:rsidRDefault="00D95412" w:rsidP="002107CE">
      <w:pPr>
        <w:jc w:val="left"/>
        <w:rPr>
          <w:rFonts w:asciiTheme="minorHAnsi" w:hAnsiTheme="minorHAnsi" w:cstheme="minorHAnsi"/>
          <w:b w:val="0"/>
          <w:sz w:val="22"/>
          <w:szCs w:val="22"/>
        </w:rPr>
      </w:pPr>
    </w:p>
    <w:p w:rsidR="005F3769" w:rsidRPr="006F6DF8" w:rsidRDefault="00D95412" w:rsidP="002107CE">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Een belangrijke uitkomst van het onderzoek in bijlage 1 is omtrent het verpanden van toekomstige vorderingen. Uit de combinatie van het </w:t>
      </w:r>
      <w:r w:rsidR="00D10FA3" w:rsidRPr="006F6DF8">
        <w:rPr>
          <w:rFonts w:asciiTheme="minorHAnsi" w:hAnsiTheme="minorHAnsi" w:cstheme="minorHAnsi"/>
          <w:b w:val="0"/>
          <w:sz w:val="22"/>
          <w:szCs w:val="22"/>
        </w:rPr>
        <w:t>onderzoek</w:t>
      </w:r>
      <w:r w:rsidRPr="006F6DF8">
        <w:rPr>
          <w:rFonts w:asciiTheme="minorHAnsi" w:hAnsiTheme="minorHAnsi" w:cstheme="minorHAnsi"/>
          <w:b w:val="0"/>
          <w:sz w:val="22"/>
          <w:szCs w:val="22"/>
        </w:rPr>
        <w:t xml:space="preserve"> en het arrest </w:t>
      </w:r>
      <w:proofErr w:type="spellStart"/>
      <w:r w:rsidRPr="006F6DF8">
        <w:rPr>
          <w:rFonts w:asciiTheme="minorHAnsi" w:hAnsiTheme="minorHAnsi" w:cstheme="minorHAnsi"/>
          <w:b w:val="0"/>
          <w:sz w:val="22"/>
          <w:szCs w:val="22"/>
        </w:rPr>
        <w:t>Dix</w:t>
      </w:r>
      <w:proofErr w:type="spellEnd"/>
      <w:r w:rsidRPr="006F6DF8">
        <w:rPr>
          <w:rFonts w:asciiTheme="minorHAnsi" w:hAnsiTheme="minorHAnsi" w:cstheme="minorHAnsi"/>
          <w:b w:val="0"/>
          <w:sz w:val="22"/>
          <w:szCs w:val="22"/>
        </w:rPr>
        <w:t xml:space="preserve"> q.q./ING kan afgeleid worden dat er geen losse pandrechten op absoluut toekomstige vorderingen gevestigd kunnen worden, maar dat de mogelijkheid om absoluut toekomstige vorderingen wel bestaat indien men gebruik maakt van een verzamelpandakte.</w:t>
      </w:r>
      <w:r w:rsidR="008B0EC3" w:rsidRPr="006F6DF8">
        <w:rPr>
          <w:rFonts w:asciiTheme="minorHAnsi" w:hAnsiTheme="minorHAnsi" w:cstheme="minorHAnsi"/>
          <w:b w:val="0"/>
          <w:sz w:val="22"/>
          <w:szCs w:val="22"/>
        </w:rPr>
        <w:t xml:space="preserve"> </w:t>
      </w:r>
    </w:p>
    <w:p w:rsidR="005F3769" w:rsidRPr="006F6DF8" w:rsidRDefault="005F3769" w:rsidP="002107CE">
      <w:pPr>
        <w:jc w:val="left"/>
        <w:rPr>
          <w:rFonts w:asciiTheme="minorHAnsi" w:hAnsiTheme="minorHAnsi" w:cstheme="minorHAnsi"/>
          <w:b w:val="0"/>
          <w:sz w:val="22"/>
          <w:szCs w:val="22"/>
        </w:rPr>
      </w:pPr>
    </w:p>
    <w:p w:rsidR="00096565" w:rsidRPr="006F6DF8" w:rsidRDefault="005F3769" w:rsidP="00D377F7">
      <w:pPr>
        <w:jc w:val="left"/>
        <w:rPr>
          <w:rFonts w:asciiTheme="minorHAnsi" w:hAnsiTheme="minorHAnsi" w:cstheme="minorHAnsi"/>
          <w:b w:val="0"/>
          <w:sz w:val="22"/>
          <w:szCs w:val="22"/>
        </w:rPr>
      </w:pPr>
      <w:r w:rsidRPr="006F6DF8">
        <w:rPr>
          <w:rFonts w:asciiTheme="minorHAnsi" w:hAnsiTheme="minorHAnsi" w:cstheme="minorHAnsi"/>
          <w:b w:val="0"/>
          <w:sz w:val="22"/>
          <w:szCs w:val="22"/>
        </w:rPr>
        <w:t>Tot slot is het voor toepassing van het arrest Mulder q.q./CLBN en het mogen verrekenen in het zicht van een faillissement van belang dat er een stil pandrecht aanwezig is. Het pandrecht dient dus te bestaan om ermee te mogen verrekenen. Een pandrecht gaat echter teniet door voltooiing van de vordering waarop het pandrecht gevestigd is. Indien de vordering niet is voldaan door middel van betaling of slechts gedeeltelijk is voldaan, bestaat de vordering nog en het betreffende pandrecht dat erop ligt. Zodoende kan er nog verrekend worden.</w:t>
      </w:r>
      <w:r w:rsidR="00D377F7" w:rsidRPr="006F6DF8">
        <w:rPr>
          <w:rFonts w:asciiTheme="minorHAnsi" w:hAnsiTheme="minorHAnsi" w:cstheme="minorHAnsi"/>
          <w:b w:val="0"/>
          <w:sz w:val="22"/>
          <w:szCs w:val="22"/>
        </w:rPr>
        <w:t xml:space="preserve"> </w:t>
      </w:r>
    </w:p>
    <w:p w:rsidR="00540954" w:rsidRPr="006F6DF8" w:rsidRDefault="00540954" w:rsidP="0012021D">
      <w:pPr>
        <w:jc w:val="left"/>
        <w:rPr>
          <w:rFonts w:asciiTheme="minorHAnsi" w:hAnsiTheme="minorHAnsi" w:cstheme="minorHAnsi"/>
          <w:b w:val="0"/>
          <w:sz w:val="22"/>
          <w:szCs w:val="22"/>
        </w:rPr>
      </w:pPr>
    </w:p>
    <w:p w:rsidR="00AF0BDD" w:rsidRPr="006F6DF8" w:rsidRDefault="006B66C2" w:rsidP="006B66C2">
      <w:pPr>
        <w:jc w:val="left"/>
        <w:rPr>
          <w:rFonts w:asciiTheme="minorHAnsi" w:hAnsiTheme="minorHAnsi" w:cstheme="minorHAnsi"/>
          <w:b w:val="0"/>
          <w:sz w:val="22"/>
          <w:szCs w:val="22"/>
        </w:rPr>
      </w:pPr>
      <w:r w:rsidRPr="006F6DF8">
        <w:rPr>
          <w:rFonts w:asciiTheme="minorHAnsi" w:hAnsiTheme="minorHAnsi" w:cstheme="minorHAnsi"/>
          <w:b w:val="0"/>
          <w:sz w:val="22"/>
          <w:szCs w:val="22"/>
          <w:u w:val="single"/>
        </w:rPr>
        <w:t>§</w:t>
      </w:r>
      <w:r w:rsidR="00AF0BDD" w:rsidRPr="006F6DF8">
        <w:rPr>
          <w:rFonts w:asciiTheme="minorHAnsi" w:hAnsiTheme="minorHAnsi" w:cstheme="minorHAnsi"/>
          <w:b w:val="0"/>
          <w:sz w:val="22"/>
          <w:szCs w:val="22"/>
          <w:u w:val="single"/>
        </w:rPr>
        <w:t>2.2</w:t>
      </w:r>
      <w:r w:rsidRPr="006F6DF8">
        <w:rPr>
          <w:rFonts w:asciiTheme="minorHAnsi" w:hAnsiTheme="minorHAnsi" w:cstheme="minorHAnsi"/>
          <w:b w:val="0"/>
          <w:sz w:val="22"/>
          <w:szCs w:val="22"/>
          <w:u w:val="single"/>
        </w:rPr>
        <w:t xml:space="preserve"> </w:t>
      </w:r>
      <w:r w:rsidR="00885B3C" w:rsidRPr="006F6DF8">
        <w:rPr>
          <w:rFonts w:asciiTheme="minorHAnsi" w:hAnsiTheme="minorHAnsi" w:cstheme="minorHAnsi"/>
          <w:b w:val="0"/>
          <w:sz w:val="22"/>
          <w:szCs w:val="22"/>
          <w:u w:val="single"/>
        </w:rPr>
        <w:t>Mulder q.q./CLBN</w:t>
      </w:r>
    </w:p>
    <w:p w:rsidR="00821ACA" w:rsidRDefault="006B66C2" w:rsidP="006B66C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De pandhouder, de bank, kan alleen op basis van zijn stil verpande vorderingen verrekenen in het zicht van een faillissement. </w:t>
      </w:r>
      <w:r w:rsidR="00D41FE1" w:rsidRPr="006F6DF8">
        <w:rPr>
          <w:rFonts w:asciiTheme="minorHAnsi" w:hAnsiTheme="minorHAnsi" w:cstheme="minorHAnsi"/>
          <w:b w:val="0"/>
          <w:sz w:val="22"/>
          <w:szCs w:val="22"/>
        </w:rPr>
        <w:t>Dit is te herleiden tot het arrest Mulder q.q./CLBN. Dit arrest is nog steeds toonaangevende jurisprudentie</w:t>
      </w:r>
      <w:r w:rsidR="00472FF4" w:rsidRPr="006F6DF8">
        <w:rPr>
          <w:rFonts w:asciiTheme="minorHAnsi" w:hAnsiTheme="minorHAnsi" w:cstheme="minorHAnsi"/>
          <w:b w:val="0"/>
          <w:sz w:val="22"/>
          <w:szCs w:val="22"/>
        </w:rPr>
        <w:t xml:space="preserve"> e</w:t>
      </w:r>
      <w:r w:rsidR="008B2B2B" w:rsidRPr="006F6DF8">
        <w:rPr>
          <w:rFonts w:asciiTheme="minorHAnsi" w:hAnsiTheme="minorHAnsi" w:cstheme="minorHAnsi"/>
          <w:b w:val="0"/>
          <w:sz w:val="22"/>
          <w:szCs w:val="22"/>
        </w:rPr>
        <w:t xml:space="preserve">n wordt </w:t>
      </w:r>
      <w:r w:rsidR="006258C4" w:rsidRPr="006F6DF8">
        <w:rPr>
          <w:rFonts w:asciiTheme="minorHAnsi" w:hAnsiTheme="minorHAnsi" w:cstheme="minorHAnsi"/>
          <w:b w:val="0"/>
          <w:sz w:val="22"/>
          <w:szCs w:val="22"/>
        </w:rPr>
        <w:t>13 van de 20 zaken benadrukt</w:t>
      </w:r>
      <w:r w:rsidR="00D41FE1" w:rsidRPr="006F6DF8">
        <w:rPr>
          <w:rFonts w:asciiTheme="minorHAnsi" w:hAnsiTheme="minorHAnsi" w:cstheme="minorHAnsi"/>
          <w:b w:val="0"/>
          <w:sz w:val="22"/>
          <w:szCs w:val="22"/>
        </w:rPr>
        <w:t xml:space="preserve">. Het arrest </w:t>
      </w:r>
      <w:r w:rsidR="0060258E" w:rsidRPr="006F6DF8">
        <w:rPr>
          <w:rFonts w:asciiTheme="minorHAnsi" w:hAnsiTheme="minorHAnsi" w:cstheme="minorHAnsi"/>
          <w:b w:val="0"/>
          <w:sz w:val="22"/>
          <w:szCs w:val="22"/>
        </w:rPr>
        <w:t xml:space="preserve">Mulder </w:t>
      </w:r>
      <w:r w:rsidR="00D41FE1" w:rsidRPr="006F6DF8">
        <w:rPr>
          <w:rFonts w:asciiTheme="minorHAnsi" w:hAnsiTheme="minorHAnsi" w:cstheme="minorHAnsi"/>
          <w:b w:val="0"/>
          <w:sz w:val="22"/>
          <w:szCs w:val="22"/>
        </w:rPr>
        <w:t xml:space="preserve">toont </w:t>
      </w:r>
      <w:r w:rsidR="006258C4" w:rsidRPr="006F6DF8">
        <w:rPr>
          <w:rFonts w:asciiTheme="minorHAnsi" w:hAnsiTheme="minorHAnsi" w:cstheme="minorHAnsi"/>
          <w:b w:val="0"/>
          <w:sz w:val="22"/>
          <w:szCs w:val="22"/>
        </w:rPr>
        <w:t xml:space="preserve">zodoende </w:t>
      </w:r>
      <w:r w:rsidR="002B58D2" w:rsidRPr="006F6DF8">
        <w:rPr>
          <w:rFonts w:asciiTheme="minorHAnsi" w:hAnsiTheme="minorHAnsi" w:cstheme="minorHAnsi"/>
          <w:b w:val="0"/>
          <w:sz w:val="22"/>
          <w:szCs w:val="22"/>
        </w:rPr>
        <w:t xml:space="preserve">in een groot aantal huidige rechtszaken </w:t>
      </w:r>
      <w:r w:rsidR="00D41FE1" w:rsidRPr="006F6DF8">
        <w:rPr>
          <w:rFonts w:asciiTheme="minorHAnsi" w:hAnsiTheme="minorHAnsi" w:cstheme="minorHAnsi"/>
          <w:b w:val="0"/>
          <w:sz w:val="22"/>
          <w:szCs w:val="22"/>
        </w:rPr>
        <w:t xml:space="preserve">wederom aan dat </w:t>
      </w:r>
      <w:r w:rsidR="00687B65" w:rsidRPr="006F6DF8">
        <w:rPr>
          <w:rFonts w:asciiTheme="minorHAnsi" w:hAnsiTheme="minorHAnsi" w:cstheme="minorHAnsi"/>
          <w:b w:val="0"/>
          <w:sz w:val="22"/>
          <w:szCs w:val="22"/>
        </w:rPr>
        <w:t>het nog steeds</w:t>
      </w:r>
      <w:r w:rsidR="0060258E" w:rsidRPr="006F6DF8">
        <w:rPr>
          <w:rFonts w:asciiTheme="minorHAnsi" w:hAnsiTheme="minorHAnsi" w:cstheme="minorHAnsi"/>
          <w:b w:val="0"/>
          <w:sz w:val="22"/>
          <w:szCs w:val="22"/>
        </w:rPr>
        <w:t xml:space="preserve"> het uitgangspunt is omtrent verrekenen in het zicht van een faillissement. </w:t>
      </w:r>
      <w:r w:rsidR="006F156D" w:rsidRPr="006F6DF8">
        <w:rPr>
          <w:rFonts w:asciiTheme="minorHAnsi" w:hAnsiTheme="minorHAnsi" w:cstheme="minorHAnsi"/>
          <w:b w:val="0"/>
          <w:sz w:val="22"/>
          <w:szCs w:val="22"/>
        </w:rPr>
        <w:t xml:space="preserve">Zodoende mag </w:t>
      </w:r>
      <w:r w:rsidR="00D41FE1" w:rsidRPr="006F6DF8">
        <w:rPr>
          <w:rFonts w:asciiTheme="minorHAnsi" w:hAnsiTheme="minorHAnsi" w:cstheme="minorHAnsi"/>
          <w:b w:val="0"/>
          <w:sz w:val="22"/>
          <w:szCs w:val="22"/>
        </w:rPr>
        <w:t xml:space="preserve">men </w:t>
      </w:r>
      <w:r w:rsidR="006F156D" w:rsidRPr="006F6DF8">
        <w:rPr>
          <w:rFonts w:asciiTheme="minorHAnsi" w:hAnsiTheme="minorHAnsi" w:cstheme="minorHAnsi"/>
          <w:b w:val="0"/>
          <w:sz w:val="22"/>
          <w:szCs w:val="22"/>
        </w:rPr>
        <w:t xml:space="preserve">alleen in het zicht van een faillissement verrekenen indien men </w:t>
      </w:r>
      <w:r w:rsidR="00D41FE1" w:rsidRPr="006F6DF8">
        <w:rPr>
          <w:rFonts w:asciiTheme="minorHAnsi" w:hAnsiTheme="minorHAnsi" w:cstheme="minorHAnsi"/>
          <w:b w:val="0"/>
          <w:sz w:val="22"/>
          <w:szCs w:val="22"/>
        </w:rPr>
        <w:t xml:space="preserve">stil verpande vorderingen </w:t>
      </w:r>
      <w:r w:rsidR="006F156D" w:rsidRPr="006F6DF8">
        <w:rPr>
          <w:rFonts w:asciiTheme="minorHAnsi" w:hAnsiTheme="minorHAnsi" w:cstheme="minorHAnsi"/>
          <w:b w:val="0"/>
          <w:sz w:val="22"/>
          <w:szCs w:val="22"/>
        </w:rPr>
        <w:t xml:space="preserve">bezit en mag men op basis van die vorderingen </w:t>
      </w:r>
      <w:r w:rsidR="00D41FE1" w:rsidRPr="006F6DF8">
        <w:rPr>
          <w:rFonts w:asciiTheme="minorHAnsi" w:hAnsiTheme="minorHAnsi" w:cstheme="minorHAnsi"/>
          <w:b w:val="0"/>
          <w:sz w:val="22"/>
          <w:szCs w:val="22"/>
        </w:rPr>
        <w:t>verrekenen in het zicht van een faillissement.</w:t>
      </w:r>
      <w:r w:rsidR="00D41FE1" w:rsidRPr="006F6DF8">
        <w:rPr>
          <w:rStyle w:val="Voetnootmarkering"/>
          <w:rFonts w:asciiTheme="minorHAnsi" w:hAnsiTheme="minorHAnsi" w:cstheme="minorHAnsi"/>
          <w:b w:val="0"/>
          <w:sz w:val="22"/>
          <w:szCs w:val="22"/>
        </w:rPr>
        <w:footnoteReference w:id="111"/>
      </w:r>
      <w:r w:rsidR="00C8173A" w:rsidRPr="006F6DF8">
        <w:rPr>
          <w:rFonts w:asciiTheme="minorHAnsi" w:hAnsiTheme="minorHAnsi" w:cstheme="minorHAnsi"/>
          <w:b w:val="0"/>
          <w:sz w:val="22"/>
          <w:szCs w:val="22"/>
        </w:rPr>
        <w:t xml:space="preserve"> </w:t>
      </w:r>
      <w:r w:rsidR="002B58D2" w:rsidRPr="006F6DF8">
        <w:rPr>
          <w:rStyle w:val="Voetnootmarkering"/>
          <w:rFonts w:asciiTheme="minorHAnsi" w:hAnsiTheme="minorHAnsi" w:cstheme="minorHAnsi"/>
          <w:b w:val="0"/>
          <w:sz w:val="22"/>
          <w:szCs w:val="22"/>
        </w:rPr>
        <w:footnoteReference w:id="112"/>
      </w:r>
      <w:r w:rsidR="002B58D2" w:rsidRPr="006F6DF8">
        <w:rPr>
          <w:rFonts w:asciiTheme="minorHAnsi" w:hAnsiTheme="minorHAnsi" w:cstheme="minorHAnsi"/>
          <w:b w:val="0"/>
          <w:sz w:val="22"/>
          <w:szCs w:val="22"/>
        </w:rPr>
        <w:t xml:space="preserve"> </w:t>
      </w:r>
      <w:r w:rsidR="002B58D2" w:rsidRPr="006F6DF8">
        <w:rPr>
          <w:rStyle w:val="Voetnootmarkering"/>
          <w:rFonts w:asciiTheme="minorHAnsi" w:hAnsiTheme="minorHAnsi" w:cstheme="minorHAnsi"/>
          <w:b w:val="0"/>
          <w:sz w:val="22"/>
          <w:szCs w:val="22"/>
        </w:rPr>
        <w:footnoteReference w:id="113"/>
      </w:r>
      <w:r w:rsidR="002B58D2" w:rsidRPr="006F6DF8">
        <w:rPr>
          <w:rFonts w:asciiTheme="minorHAnsi" w:hAnsiTheme="minorHAnsi" w:cstheme="minorHAnsi"/>
          <w:b w:val="0"/>
          <w:sz w:val="22"/>
          <w:szCs w:val="22"/>
        </w:rPr>
        <w:t xml:space="preserve"> </w:t>
      </w:r>
      <w:r w:rsidR="002B58D2" w:rsidRPr="006F6DF8">
        <w:rPr>
          <w:rStyle w:val="Voetnootmarkering"/>
          <w:rFonts w:asciiTheme="minorHAnsi" w:hAnsiTheme="minorHAnsi" w:cstheme="minorHAnsi"/>
          <w:b w:val="0"/>
          <w:sz w:val="22"/>
          <w:szCs w:val="22"/>
        </w:rPr>
        <w:footnoteReference w:id="114"/>
      </w:r>
      <w:r w:rsidR="002B58D2" w:rsidRPr="006F6DF8">
        <w:rPr>
          <w:rFonts w:asciiTheme="minorHAnsi" w:hAnsiTheme="minorHAnsi" w:cstheme="minorHAnsi"/>
          <w:b w:val="0"/>
          <w:sz w:val="22"/>
          <w:szCs w:val="22"/>
        </w:rPr>
        <w:t xml:space="preserve"> </w:t>
      </w:r>
    </w:p>
    <w:p w:rsidR="00821ACA" w:rsidRDefault="00821ACA" w:rsidP="006B66C2">
      <w:pPr>
        <w:jc w:val="left"/>
        <w:rPr>
          <w:rFonts w:asciiTheme="minorHAnsi" w:hAnsiTheme="minorHAnsi" w:cstheme="minorHAnsi"/>
          <w:b w:val="0"/>
          <w:sz w:val="22"/>
          <w:szCs w:val="22"/>
        </w:rPr>
      </w:pPr>
    </w:p>
    <w:p w:rsidR="00821ACA" w:rsidRPr="009D517C" w:rsidRDefault="00DF3E51" w:rsidP="009D517C">
      <w:pPr>
        <w:ind w:firstLine="708"/>
        <w:jc w:val="left"/>
        <w:rPr>
          <w:rFonts w:asciiTheme="minorHAnsi" w:hAnsiTheme="minorHAnsi" w:cstheme="minorHAnsi"/>
          <w:b w:val="0"/>
          <w:i/>
          <w:sz w:val="22"/>
          <w:szCs w:val="22"/>
        </w:rPr>
      </w:pPr>
      <w:r w:rsidRPr="009D517C">
        <w:rPr>
          <w:rFonts w:asciiTheme="minorHAnsi" w:hAnsiTheme="minorHAnsi" w:cstheme="minorHAnsi"/>
          <w:b w:val="0"/>
          <w:i/>
          <w:sz w:val="22"/>
          <w:szCs w:val="22"/>
        </w:rPr>
        <w:t xml:space="preserve">“(…) </w:t>
      </w:r>
      <w:r w:rsidR="00821ACA" w:rsidRPr="009D517C">
        <w:rPr>
          <w:rFonts w:asciiTheme="minorHAnsi" w:hAnsiTheme="minorHAnsi" w:cstheme="minorHAnsi"/>
          <w:b w:val="0"/>
          <w:i/>
          <w:sz w:val="22"/>
          <w:szCs w:val="22"/>
        </w:rPr>
        <w:t xml:space="preserve">De gefailleerde vennootschappen hebben dan ook alleen zekerheid kunnen verstrekken </w:t>
      </w:r>
      <w:r w:rsidR="009D517C">
        <w:rPr>
          <w:rFonts w:asciiTheme="minorHAnsi" w:hAnsiTheme="minorHAnsi" w:cstheme="minorHAnsi"/>
          <w:b w:val="0"/>
          <w:i/>
          <w:sz w:val="22"/>
          <w:szCs w:val="22"/>
        </w:rPr>
        <w:tab/>
      </w:r>
      <w:r w:rsidR="00821ACA" w:rsidRPr="009D517C">
        <w:rPr>
          <w:rFonts w:asciiTheme="minorHAnsi" w:hAnsiTheme="minorHAnsi" w:cstheme="minorHAnsi"/>
          <w:b w:val="0"/>
          <w:i/>
          <w:sz w:val="22"/>
          <w:szCs w:val="22"/>
        </w:rPr>
        <w:t xml:space="preserve">voor vorderingen van Fortis die vóór de faillietverklaringen zijn ontstaan (vgl. HR 4 november </w:t>
      </w:r>
      <w:r w:rsidR="009D517C">
        <w:rPr>
          <w:rFonts w:asciiTheme="minorHAnsi" w:hAnsiTheme="minorHAnsi" w:cstheme="minorHAnsi"/>
          <w:b w:val="0"/>
          <w:i/>
          <w:sz w:val="22"/>
          <w:szCs w:val="22"/>
        </w:rPr>
        <w:tab/>
      </w:r>
      <w:r w:rsidR="00821ACA" w:rsidRPr="009D517C">
        <w:rPr>
          <w:rFonts w:asciiTheme="minorHAnsi" w:hAnsiTheme="minorHAnsi" w:cstheme="minorHAnsi"/>
          <w:b w:val="0"/>
          <w:i/>
          <w:sz w:val="22"/>
          <w:szCs w:val="22"/>
        </w:rPr>
        <w:t xml:space="preserve">1994, NJ 1995/627, </w:t>
      </w:r>
      <w:proofErr w:type="spellStart"/>
      <w:r w:rsidR="00821ACA" w:rsidRPr="009D517C">
        <w:rPr>
          <w:rFonts w:asciiTheme="minorHAnsi" w:hAnsiTheme="minorHAnsi" w:cstheme="minorHAnsi"/>
          <w:b w:val="0"/>
          <w:i/>
          <w:sz w:val="22"/>
          <w:szCs w:val="22"/>
        </w:rPr>
        <w:t>r.o.</w:t>
      </w:r>
      <w:proofErr w:type="spellEnd"/>
      <w:r w:rsidR="00821ACA" w:rsidRPr="009D517C">
        <w:rPr>
          <w:rFonts w:asciiTheme="minorHAnsi" w:hAnsiTheme="minorHAnsi" w:cstheme="minorHAnsi"/>
          <w:b w:val="0"/>
          <w:i/>
          <w:sz w:val="22"/>
          <w:szCs w:val="22"/>
        </w:rPr>
        <w:t xml:space="preserve"> 3.4). Nu de vorderingen van Fortis tot vergoeding van gederfde winst </w:t>
      </w:r>
      <w:r w:rsidR="009D517C">
        <w:rPr>
          <w:rFonts w:asciiTheme="minorHAnsi" w:hAnsiTheme="minorHAnsi" w:cstheme="minorHAnsi"/>
          <w:b w:val="0"/>
          <w:i/>
          <w:sz w:val="22"/>
          <w:szCs w:val="22"/>
        </w:rPr>
        <w:tab/>
      </w:r>
      <w:r w:rsidR="00821ACA" w:rsidRPr="009D517C">
        <w:rPr>
          <w:rFonts w:asciiTheme="minorHAnsi" w:hAnsiTheme="minorHAnsi" w:cstheme="minorHAnsi"/>
          <w:b w:val="0"/>
          <w:i/>
          <w:sz w:val="22"/>
          <w:szCs w:val="22"/>
        </w:rPr>
        <w:t xml:space="preserve">eerst nadien is ontstaan (en kon ontstaan), valt deze vordering niet onder de dekking van de </w:t>
      </w:r>
      <w:r w:rsidR="009D517C">
        <w:rPr>
          <w:rFonts w:asciiTheme="minorHAnsi" w:hAnsiTheme="minorHAnsi" w:cstheme="minorHAnsi"/>
          <w:b w:val="0"/>
          <w:i/>
          <w:sz w:val="22"/>
          <w:szCs w:val="22"/>
        </w:rPr>
        <w:tab/>
      </w:r>
      <w:r w:rsidR="00821ACA" w:rsidRPr="009D517C">
        <w:rPr>
          <w:rFonts w:asciiTheme="minorHAnsi" w:hAnsiTheme="minorHAnsi" w:cstheme="minorHAnsi"/>
          <w:b w:val="0"/>
          <w:i/>
          <w:sz w:val="22"/>
          <w:szCs w:val="22"/>
        </w:rPr>
        <w:t>verstrekte zekerheden.”</w:t>
      </w:r>
      <w:r w:rsidR="0089321F">
        <w:rPr>
          <w:rStyle w:val="Voetnootmarkering"/>
          <w:rFonts w:asciiTheme="minorHAnsi" w:hAnsiTheme="minorHAnsi" w:cstheme="minorHAnsi"/>
          <w:b w:val="0"/>
          <w:i/>
          <w:sz w:val="22"/>
          <w:szCs w:val="22"/>
        </w:rPr>
        <w:footnoteReference w:id="115"/>
      </w:r>
    </w:p>
    <w:p w:rsidR="00821ACA" w:rsidRDefault="00821ACA" w:rsidP="006B66C2">
      <w:pPr>
        <w:jc w:val="left"/>
        <w:rPr>
          <w:rFonts w:asciiTheme="minorHAnsi" w:hAnsiTheme="minorHAnsi" w:cstheme="minorHAnsi"/>
          <w:b w:val="0"/>
          <w:sz w:val="22"/>
          <w:szCs w:val="22"/>
        </w:rPr>
      </w:pPr>
    </w:p>
    <w:p w:rsidR="007736D6" w:rsidRPr="006F6DF8" w:rsidRDefault="00370C9A" w:rsidP="006B66C2">
      <w:pPr>
        <w:jc w:val="left"/>
        <w:rPr>
          <w:rFonts w:asciiTheme="minorHAnsi" w:hAnsiTheme="minorHAnsi" w:cstheme="minorHAnsi"/>
          <w:b w:val="0"/>
          <w:sz w:val="22"/>
          <w:szCs w:val="22"/>
        </w:rPr>
      </w:pPr>
      <w:r w:rsidRPr="006F6DF8">
        <w:rPr>
          <w:rFonts w:asciiTheme="minorHAnsi" w:hAnsiTheme="minorHAnsi" w:cstheme="minorHAnsi"/>
          <w:b w:val="0"/>
          <w:sz w:val="22"/>
          <w:szCs w:val="22"/>
        </w:rPr>
        <w:t>In recente jurisprudentie</w:t>
      </w:r>
      <w:r w:rsidR="004B5B7A">
        <w:rPr>
          <w:rFonts w:asciiTheme="minorHAnsi" w:hAnsiTheme="minorHAnsi" w:cstheme="minorHAnsi"/>
          <w:b w:val="0"/>
          <w:sz w:val="22"/>
          <w:szCs w:val="22"/>
        </w:rPr>
        <w:t>, zie hierboven,</w:t>
      </w:r>
      <w:r w:rsidRPr="006F6DF8">
        <w:rPr>
          <w:rFonts w:asciiTheme="minorHAnsi" w:hAnsiTheme="minorHAnsi" w:cstheme="minorHAnsi"/>
          <w:b w:val="0"/>
          <w:sz w:val="22"/>
          <w:szCs w:val="22"/>
        </w:rPr>
        <w:t xml:space="preserve"> is aan het arrest Mulder</w:t>
      </w:r>
      <w:r w:rsidR="00C8173A" w:rsidRPr="006F6DF8">
        <w:rPr>
          <w:rFonts w:asciiTheme="minorHAnsi" w:hAnsiTheme="minorHAnsi" w:cstheme="minorHAnsi"/>
          <w:b w:val="0"/>
          <w:sz w:val="22"/>
          <w:szCs w:val="22"/>
        </w:rPr>
        <w:t xml:space="preserve"> toegevoegd dat voor toepassing van het mogen verrekenen in het zicht van een faillissement tevens vereist is dat het pandrecht </w:t>
      </w:r>
      <w:r w:rsidRPr="006F6DF8">
        <w:rPr>
          <w:rFonts w:asciiTheme="minorHAnsi" w:hAnsiTheme="minorHAnsi" w:cstheme="minorHAnsi"/>
          <w:b w:val="0"/>
          <w:sz w:val="22"/>
          <w:szCs w:val="22"/>
        </w:rPr>
        <w:t xml:space="preserve">voor </w:t>
      </w:r>
      <w:r w:rsidRPr="006F6DF8">
        <w:rPr>
          <w:rFonts w:asciiTheme="minorHAnsi" w:hAnsiTheme="minorHAnsi" w:cstheme="minorHAnsi"/>
          <w:b w:val="0"/>
          <w:sz w:val="22"/>
          <w:szCs w:val="22"/>
        </w:rPr>
        <w:lastRenderedPageBreak/>
        <w:t xml:space="preserve">faillietverklaring </w:t>
      </w:r>
      <w:r w:rsidR="00C8173A" w:rsidRPr="006F6DF8">
        <w:rPr>
          <w:rFonts w:asciiTheme="minorHAnsi" w:hAnsiTheme="minorHAnsi" w:cstheme="minorHAnsi"/>
          <w:b w:val="0"/>
          <w:sz w:val="22"/>
          <w:szCs w:val="22"/>
        </w:rPr>
        <w:t>op de</w:t>
      </w:r>
      <w:r w:rsidR="00AC211C" w:rsidRPr="006F6DF8">
        <w:rPr>
          <w:rFonts w:asciiTheme="minorHAnsi" w:hAnsiTheme="minorHAnsi" w:cstheme="minorHAnsi"/>
          <w:b w:val="0"/>
          <w:sz w:val="22"/>
          <w:szCs w:val="22"/>
        </w:rPr>
        <w:t xml:space="preserve"> bestaande</w:t>
      </w:r>
      <w:r w:rsidR="00C8173A" w:rsidRPr="006F6DF8">
        <w:rPr>
          <w:rFonts w:asciiTheme="minorHAnsi" w:hAnsiTheme="minorHAnsi" w:cstheme="minorHAnsi"/>
          <w:b w:val="0"/>
          <w:sz w:val="22"/>
          <w:szCs w:val="22"/>
        </w:rPr>
        <w:t xml:space="preserve"> vorderingen is gevestigd. Indien een vordering na faillietverklaring is ontstaan en niet onder het pandrecht valt kan er niet mee worden verrekend.</w:t>
      </w:r>
      <w:r w:rsidR="00C8173A" w:rsidRPr="006F6DF8">
        <w:rPr>
          <w:rStyle w:val="Voetnootmarkering"/>
          <w:rFonts w:asciiTheme="minorHAnsi" w:hAnsiTheme="minorHAnsi" w:cstheme="minorHAnsi"/>
          <w:b w:val="0"/>
          <w:sz w:val="22"/>
          <w:szCs w:val="22"/>
        </w:rPr>
        <w:footnoteReference w:id="116"/>
      </w:r>
    </w:p>
    <w:p w:rsidR="00D41FE1" w:rsidRPr="006F6DF8" w:rsidRDefault="00D41FE1" w:rsidP="006B66C2">
      <w:pPr>
        <w:jc w:val="left"/>
        <w:rPr>
          <w:rFonts w:asciiTheme="minorHAnsi" w:hAnsiTheme="minorHAnsi" w:cstheme="minorHAnsi"/>
          <w:b w:val="0"/>
          <w:sz w:val="22"/>
          <w:szCs w:val="22"/>
        </w:rPr>
      </w:pPr>
    </w:p>
    <w:p w:rsidR="00885B3C" w:rsidRPr="006F6DF8" w:rsidRDefault="00885B3C" w:rsidP="006B66C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§2.2.1 </w:t>
      </w:r>
      <w:r w:rsidR="00943CE9" w:rsidRPr="006F6DF8">
        <w:rPr>
          <w:rFonts w:asciiTheme="minorHAnsi" w:hAnsiTheme="minorHAnsi" w:cstheme="minorHAnsi"/>
          <w:b w:val="0"/>
          <w:sz w:val="22"/>
          <w:szCs w:val="22"/>
        </w:rPr>
        <w:t>Ver</w:t>
      </w:r>
      <w:r w:rsidR="00251D2D" w:rsidRPr="006F6DF8">
        <w:rPr>
          <w:rFonts w:asciiTheme="minorHAnsi" w:hAnsiTheme="minorHAnsi" w:cstheme="minorHAnsi"/>
          <w:b w:val="0"/>
          <w:sz w:val="22"/>
          <w:szCs w:val="22"/>
        </w:rPr>
        <w:t>rekenen in het faillissement</w:t>
      </w:r>
    </w:p>
    <w:p w:rsidR="006B66C2" w:rsidRPr="006F6DF8" w:rsidRDefault="005332F5" w:rsidP="006B66C2">
      <w:pPr>
        <w:jc w:val="left"/>
        <w:rPr>
          <w:rFonts w:asciiTheme="minorHAnsi" w:hAnsiTheme="minorHAnsi" w:cstheme="minorHAnsi"/>
          <w:b w:val="0"/>
          <w:sz w:val="22"/>
          <w:szCs w:val="22"/>
        </w:rPr>
      </w:pPr>
      <w:r w:rsidRPr="006F6DF8">
        <w:rPr>
          <w:rFonts w:asciiTheme="minorHAnsi" w:hAnsiTheme="minorHAnsi" w:cstheme="minorHAnsi"/>
          <w:b w:val="0"/>
          <w:sz w:val="22"/>
          <w:szCs w:val="22"/>
        </w:rPr>
        <w:t>Zoals in paragraaf 2.1.6 al ter sprake kwam gaan stille pandrechten op vorderingen teniet i</w:t>
      </w:r>
      <w:r w:rsidR="006B66C2" w:rsidRPr="006F6DF8">
        <w:rPr>
          <w:rFonts w:asciiTheme="minorHAnsi" w:hAnsiTheme="minorHAnsi" w:cstheme="minorHAnsi"/>
          <w:b w:val="0"/>
          <w:sz w:val="22"/>
          <w:szCs w:val="22"/>
        </w:rPr>
        <w:t>ndien betalingen van debiteuren in het faillissement aan de curator worden gedaan</w:t>
      </w:r>
      <w:r w:rsidRPr="006F6DF8">
        <w:rPr>
          <w:rFonts w:asciiTheme="minorHAnsi" w:hAnsiTheme="minorHAnsi" w:cstheme="minorHAnsi"/>
          <w:b w:val="0"/>
          <w:sz w:val="22"/>
          <w:szCs w:val="22"/>
        </w:rPr>
        <w:t>.</w:t>
      </w:r>
      <w:r w:rsidR="00D41FE1" w:rsidRPr="006F6DF8">
        <w:rPr>
          <w:rFonts w:asciiTheme="minorHAnsi" w:hAnsiTheme="minorHAnsi" w:cstheme="minorHAnsi"/>
          <w:b w:val="0"/>
          <w:sz w:val="22"/>
          <w:szCs w:val="22"/>
        </w:rPr>
        <w:t xml:space="preserve"> </w:t>
      </w:r>
      <w:r w:rsidRPr="006F6DF8">
        <w:rPr>
          <w:rFonts w:asciiTheme="minorHAnsi" w:hAnsiTheme="minorHAnsi" w:cstheme="minorHAnsi"/>
          <w:b w:val="0"/>
          <w:sz w:val="22"/>
          <w:szCs w:val="22"/>
        </w:rPr>
        <w:t xml:space="preserve">De pandrechten gaan immers teniet als de vorderingen waarop ze liggen voldaan worden door middel van betaling. </w:t>
      </w:r>
      <w:r w:rsidR="00575A82" w:rsidRPr="006F6DF8">
        <w:rPr>
          <w:rFonts w:asciiTheme="minorHAnsi" w:hAnsiTheme="minorHAnsi" w:cstheme="minorHAnsi"/>
          <w:b w:val="0"/>
          <w:sz w:val="22"/>
          <w:szCs w:val="22"/>
        </w:rPr>
        <w:t xml:space="preserve">Indien een pandrecht teniet gaat </w:t>
      </w:r>
      <w:r w:rsidR="006B66C2" w:rsidRPr="006F6DF8">
        <w:rPr>
          <w:rFonts w:asciiTheme="minorHAnsi" w:hAnsiTheme="minorHAnsi" w:cstheme="minorHAnsi"/>
          <w:b w:val="0"/>
          <w:sz w:val="22"/>
          <w:szCs w:val="22"/>
        </w:rPr>
        <w:t>door voltooiing van die vorderingen, dan blijft de pandhouder</w:t>
      </w:r>
      <w:r w:rsidR="00B5362F" w:rsidRPr="006F6DF8">
        <w:rPr>
          <w:rFonts w:asciiTheme="minorHAnsi" w:hAnsiTheme="minorHAnsi" w:cstheme="minorHAnsi"/>
          <w:b w:val="0"/>
          <w:sz w:val="22"/>
          <w:szCs w:val="22"/>
        </w:rPr>
        <w:t>/bank</w:t>
      </w:r>
      <w:r w:rsidR="006B66C2" w:rsidRPr="006F6DF8">
        <w:rPr>
          <w:rFonts w:asciiTheme="minorHAnsi" w:hAnsiTheme="minorHAnsi" w:cstheme="minorHAnsi"/>
          <w:b w:val="0"/>
          <w:sz w:val="22"/>
          <w:szCs w:val="22"/>
        </w:rPr>
        <w:t xml:space="preserve"> zijn voorrang op de opbrengst behouden overeenkomend met zijn eerdere pandrechten. Normaliter zou de bank zich niet op verrekening kunnen beroepen in het faillissement, maar indien de betalingen worden gedaan op stil verpande vorderingen die de bank bezat is het toegestaan om die betalingen te verreken in het faillissement.</w:t>
      </w:r>
      <w:r w:rsidR="006B66C2" w:rsidRPr="006F6DF8">
        <w:rPr>
          <w:rStyle w:val="Voetnootmarkering"/>
          <w:rFonts w:asciiTheme="minorHAnsi" w:hAnsiTheme="minorHAnsi" w:cstheme="minorHAnsi"/>
          <w:b w:val="0"/>
          <w:sz w:val="22"/>
          <w:szCs w:val="22"/>
        </w:rPr>
        <w:footnoteReference w:id="117"/>
      </w:r>
      <w:r w:rsidR="006B66C2" w:rsidRPr="006F6DF8">
        <w:rPr>
          <w:rFonts w:asciiTheme="minorHAnsi" w:hAnsiTheme="minorHAnsi" w:cstheme="minorHAnsi"/>
          <w:b w:val="0"/>
          <w:sz w:val="22"/>
          <w:szCs w:val="22"/>
        </w:rPr>
        <w:t xml:space="preserve"> </w:t>
      </w:r>
      <w:r w:rsidR="008E4471" w:rsidRPr="006F6DF8">
        <w:rPr>
          <w:rFonts w:asciiTheme="minorHAnsi" w:hAnsiTheme="minorHAnsi" w:cstheme="minorHAnsi"/>
          <w:b w:val="0"/>
          <w:sz w:val="22"/>
          <w:szCs w:val="22"/>
        </w:rPr>
        <w:t xml:space="preserve">Dit betekent dat de bank de stille pandrechten dus niet meer hoeft te bezitten om te kunnen verrekenen in het faillissement, maar dat zij de boedelopbrengst mag verrekenen overeenkomstig met de pandrechten die zij bezat. </w:t>
      </w:r>
    </w:p>
    <w:p w:rsidR="008D6215" w:rsidRPr="006F6DF8" w:rsidRDefault="008D6215" w:rsidP="006B66C2">
      <w:pPr>
        <w:jc w:val="left"/>
        <w:rPr>
          <w:rFonts w:asciiTheme="minorHAnsi" w:hAnsiTheme="minorHAnsi" w:cstheme="minorHAnsi"/>
          <w:b w:val="0"/>
          <w:sz w:val="22"/>
          <w:szCs w:val="22"/>
        </w:rPr>
      </w:pPr>
    </w:p>
    <w:p w:rsidR="008D6215" w:rsidRPr="006F6DF8" w:rsidRDefault="008D6215" w:rsidP="006B66C2">
      <w:pPr>
        <w:jc w:val="left"/>
        <w:rPr>
          <w:rFonts w:asciiTheme="minorHAnsi" w:hAnsiTheme="minorHAnsi" w:cstheme="minorHAnsi"/>
          <w:b w:val="0"/>
          <w:sz w:val="22"/>
          <w:szCs w:val="22"/>
        </w:rPr>
      </w:pPr>
      <w:r w:rsidRPr="006F6DF8">
        <w:rPr>
          <w:rFonts w:asciiTheme="minorHAnsi" w:hAnsiTheme="minorHAnsi" w:cstheme="minorHAnsi"/>
          <w:b w:val="0"/>
          <w:sz w:val="22"/>
          <w:szCs w:val="22"/>
        </w:rPr>
        <w:t>§2.2.2 Kortom</w:t>
      </w:r>
    </w:p>
    <w:p w:rsidR="00F65756" w:rsidRPr="006F6DF8" w:rsidRDefault="00F65756" w:rsidP="006B66C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Het arrest Mulder q.q./CLBN is tot op de dag van vandaag </w:t>
      </w:r>
      <w:r w:rsidR="0001120F" w:rsidRPr="006F6DF8">
        <w:rPr>
          <w:rFonts w:asciiTheme="minorHAnsi" w:hAnsiTheme="minorHAnsi" w:cstheme="minorHAnsi"/>
          <w:b w:val="0"/>
          <w:sz w:val="22"/>
          <w:szCs w:val="22"/>
        </w:rPr>
        <w:t>de</w:t>
      </w:r>
      <w:r w:rsidRPr="006F6DF8">
        <w:rPr>
          <w:rFonts w:asciiTheme="minorHAnsi" w:hAnsiTheme="minorHAnsi" w:cstheme="minorHAnsi"/>
          <w:b w:val="0"/>
          <w:sz w:val="22"/>
          <w:szCs w:val="22"/>
        </w:rPr>
        <w:t xml:space="preserve"> toonaangevende jurisprudentie omtrent het verrekenen in het zicht van een faillissement</w:t>
      </w:r>
      <w:r w:rsidR="00DF220E" w:rsidRPr="006F6DF8">
        <w:rPr>
          <w:rFonts w:asciiTheme="minorHAnsi" w:hAnsiTheme="minorHAnsi" w:cstheme="minorHAnsi"/>
          <w:b w:val="0"/>
          <w:sz w:val="22"/>
          <w:szCs w:val="22"/>
        </w:rPr>
        <w:t>, zo blijkt uit het onderzoek in bijlage 1</w:t>
      </w:r>
      <w:r w:rsidRPr="006F6DF8">
        <w:rPr>
          <w:rFonts w:asciiTheme="minorHAnsi" w:hAnsiTheme="minorHAnsi" w:cstheme="minorHAnsi"/>
          <w:b w:val="0"/>
          <w:sz w:val="22"/>
          <w:szCs w:val="22"/>
        </w:rPr>
        <w:t>. Het uitgangspunt omtrent het verrekenen in het zicht van een faillissement is zodoende dat indien men stil verpande vorderingen bezit, men op basis van die vorderingen mag verrekenen in het zicht van een faillissement. Hier is in huidige jurisprudentie aan toegevoegd dat</w:t>
      </w:r>
      <w:r w:rsidR="00586681" w:rsidRPr="006F6DF8">
        <w:rPr>
          <w:rFonts w:asciiTheme="minorHAnsi" w:hAnsiTheme="minorHAnsi" w:cstheme="minorHAnsi"/>
          <w:b w:val="0"/>
          <w:sz w:val="22"/>
          <w:szCs w:val="22"/>
        </w:rPr>
        <w:t xml:space="preserve"> een vordering onder het pandrecht moet vallen om ermee te kunnen verrekenen. Indien</w:t>
      </w:r>
      <w:r w:rsidRPr="006F6DF8">
        <w:rPr>
          <w:rFonts w:asciiTheme="minorHAnsi" w:hAnsiTheme="minorHAnsi" w:cstheme="minorHAnsi"/>
          <w:b w:val="0"/>
          <w:sz w:val="22"/>
          <w:szCs w:val="22"/>
        </w:rPr>
        <w:t xml:space="preserve"> een vordering na faillietverklaring is ontstaan en niet onder het pandrecht valt kan er niet mee worden verrekend. </w:t>
      </w:r>
    </w:p>
    <w:p w:rsidR="004D3235" w:rsidRPr="006F6DF8" w:rsidRDefault="004D3235" w:rsidP="006B66C2">
      <w:pPr>
        <w:jc w:val="left"/>
        <w:rPr>
          <w:rFonts w:asciiTheme="minorHAnsi" w:hAnsiTheme="minorHAnsi" w:cstheme="minorHAnsi"/>
          <w:b w:val="0"/>
          <w:sz w:val="22"/>
          <w:szCs w:val="22"/>
        </w:rPr>
      </w:pPr>
    </w:p>
    <w:p w:rsidR="004D3235" w:rsidRDefault="004D3235" w:rsidP="006B66C2">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Omtrent het verrekenen in het faillissement is verduidelijkt dat stille pandhouders dit kunnen doen ook nadat hun pandrechten teniet zijn gegaan door voltooiing van de vorderingen waarop ze lagen. </w:t>
      </w:r>
      <w:r w:rsidR="00FC4744" w:rsidRPr="006F6DF8">
        <w:rPr>
          <w:rFonts w:asciiTheme="minorHAnsi" w:hAnsiTheme="minorHAnsi" w:cstheme="minorHAnsi"/>
          <w:b w:val="0"/>
          <w:sz w:val="22"/>
          <w:szCs w:val="22"/>
        </w:rPr>
        <w:t xml:space="preserve">Het vereiste van Mulder om stille pandrechten te bezitten om te mogen verrekenen in zodoende versoepelt in het faillissement. </w:t>
      </w:r>
      <w:r w:rsidR="003B1D82" w:rsidRPr="006F6DF8">
        <w:rPr>
          <w:rFonts w:asciiTheme="minorHAnsi" w:hAnsiTheme="minorHAnsi" w:cstheme="minorHAnsi"/>
          <w:b w:val="0"/>
          <w:sz w:val="22"/>
          <w:szCs w:val="22"/>
        </w:rPr>
        <w:t xml:space="preserve">De pandhouder/bank mag in het faillissement met de boedelopbrengst verrekenen overeenkomstig de stille pandrechten die zij bezat, ondanks dat deze pandrechten teniet zijn gegaan. </w:t>
      </w:r>
      <w:r w:rsidR="00FC4744" w:rsidRPr="006F6DF8">
        <w:rPr>
          <w:rFonts w:asciiTheme="minorHAnsi" w:hAnsiTheme="minorHAnsi" w:cstheme="minorHAnsi"/>
          <w:b w:val="0"/>
          <w:sz w:val="22"/>
          <w:szCs w:val="22"/>
        </w:rPr>
        <w:t>Om te verrekenen in het zicht van een faillissement is het wel van belang dat de stille pandrechten nog bestaan, overeenkomstig het arrest Mulder q.q./CLBN.</w:t>
      </w:r>
    </w:p>
    <w:p w:rsidR="00686B7D" w:rsidRPr="006F6DF8" w:rsidRDefault="00686B7D" w:rsidP="006B66C2">
      <w:pPr>
        <w:jc w:val="left"/>
        <w:rPr>
          <w:rFonts w:asciiTheme="minorHAnsi" w:hAnsiTheme="minorHAnsi" w:cstheme="minorHAnsi"/>
          <w:b w:val="0"/>
          <w:sz w:val="22"/>
          <w:szCs w:val="22"/>
        </w:rPr>
      </w:pPr>
    </w:p>
    <w:p w:rsidR="00390EB5" w:rsidRPr="006F6DF8" w:rsidRDefault="00390EB5" w:rsidP="00390EB5">
      <w:pPr>
        <w:jc w:val="left"/>
        <w:rPr>
          <w:rFonts w:asciiTheme="minorHAnsi" w:hAnsiTheme="minorHAnsi" w:cstheme="minorHAnsi"/>
          <w:b w:val="0"/>
          <w:sz w:val="22"/>
          <w:szCs w:val="22"/>
          <w:u w:val="single"/>
        </w:rPr>
      </w:pPr>
      <w:r w:rsidRPr="006F6DF8">
        <w:rPr>
          <w:rFonts w:asciiTheme="minorHAnsi" w:hAnsiTheme="minorHAnsi" w:cstheme="minorHAnsi"/>
          <w:b w:val="0"/>
          <w:sz w:val="22"/>
          <w:szCs w:val="22"/>
          <w:u w:val="single"/>
        </w:rPr>
        <w:t xml:space="preserve">§2.3 Artikel 54 </w:t>
      </w:r>
      <w:proofErr w:type="spellStart"/>
      <w:r w:rsidRPr="006F6DF8">
        <w:rPr>
          <w:rFonts w:asciiTheme="minorHAnsi" w:hAnsiTheme="minorHAnsi" w:cstheme="minorHAnsi"/>
          <w:b w:val="0"/>
          <w:sz w:val="22"/>
          <w:szCs w:val="22"/>
          <w:u w:val="single"/>
        </w:rPr>
        <w:t>Fw</w:t>
      </w:r>
      <w:proofErr w:type="spellEnd"/>
    </w:p>
    <w:p w:rsidR="00390EB5" w:rsidRPr="006F6DF8" w:rsidRDefault="00390EB5" w:rsidP="00390EB5">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Dit artikel bepaalt dat ‘degene die een schuld aan de gefailleerde of een vordering op de gefailleerde vóór de faillietverklaring van een derde heeft overgenomen, niet bevoegd tot verrekening is, indien hij bij de overneming niet te goeder trouw heeft gehandeld.’ In de literatuur is bepaald dat het begrip ‘overnemen’ in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ruimer moet worden uitgelegd, zo wordt mede bepaald door het Gerechtshof in 2013. Het Hof heeft in deze zaak bepaald dat het sluiten van een overeenkomst niet mag indien met op de hoogte is van een komend faillissement. Men is dan niet te goeder trouw in de zin van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w:t>
      </w:r>
    </w:p>
    <w:p w:rsidR="00390EB5" w:rsidRPr="006F6DF8" w:rsidRDefault="00390EB5" w:rsidP="00390EB5">
      <w:pPr>
        <w:jc w:val="left"/>
        <w:rPr>
          <w:rFonts w:asciiTheme="minorHAnsi" w:hAnsiTheme="minorHAnsi" w:cstheme="minorHAnsi"/>
          <w:b w:val="0"/>
          <w:sz w:val="22"/>
          <w:szCs w:val="22"/>
        </w:rPr>
      </w:pPr>
    </w:p>
    <w:p w:rsidR="00D37A13" w:rsidRDefault="00390EB5" w:rsidP="00390EB5">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De Hoge Raad verwerpt de uitleg van het Hof en geeft aan dat het sluiten van overeenkomsten niet onder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valt. </w:t>
      </w:r>
    </w:p>
    <w:p w:rsidR="00800CCE" w:rsidRDefault="00800CCE" w:rsidP="00390EB5">
      <w:pPr>
        <w:jc w:val="left"/>
        <w:rPr>
          <w:rFonts w:asciiTheme="minorHAnsi" w:hAnsiTheme="minorHAnsi" w:cstheme="minorHAnsi"/>
          <w:b w:val="0"/>
          <w:sz w:val="22"/>
          <w:szCs w:val="22"/>
        </w:rPr>
      </w:pPr>
    </w:p>
    <w:p w:rsidR="00D37A13" w:rsidRPr="00CC193A" w:rsidRDefault="00D37A13" w:rsidP="00D37A13">
      <w:pPr>
        <w:ind w:firstLine="708"/>
        <w:jc w:val="left"/>
        <w:rPr>
          <w:rFonts w:cstheme="minorHAnsi"/>
          <w:b w:val="0"/>
          <w:i/>
          <w:sz w:val="22"/>
          <w:szCs w:val="22"/>
        </w:rPr>
      </w:pPr>
      <w:r w:rsidRPr="00CC193A">
        <w:rPr>
          <w:rFonts w:cstheme="minorHAnsi"/>
          <w:b w:val="0"/>
          <w:i/>
          <w:sz w:val="22"/>
          <w:szCs w:val="22"/>
        </w:rPr>
        <w:t xml:space="preserve">“Art. 54 </w:t>
      </w:r>
      <w:proofErr w:type="spellStart"/>
      <w:r w:rsidRPr="00CC193A">
        <w:rPr>
          <w:rFonts w:cstheme="minorHAnsi"/>
          <w:b w:val="0"/>
          <w:i/>
          <w:sz w:val="22"/>
          <w:szCs w:val="22"/>
        </w:rPr>
        <w:t>Fw</w:t>
      </w:r>
      <w:proofErr w:type="spellEnd"/>
      <w:r w:rsidRPr="00CC193A">
        <w:rPr>
          <w:rFonts w:cstheme="minorHAnsi"/>
          <w:b w:val="0"/>
          <w:i/>
          <w:sz w:val="22"/>
          <w:szCs w:val="22"/>
        </w:rPr>
        <w:t xml:space="preserve"> bepaalt dat degene die een schuld aan de gefailleerde of een vordering op de </w:t>
      </w:r>
      <w:r w:rsidRPr="00CC193A">
        <w:rPr>
          <w:rFonts w:cstheme="minorHAnsi"/>
          <w:b w:val="0"/>
          <w:i/>
          <w:sz w:val="22"/>
          <w:szCs w:val="22"/>
        </w:rPr>
        <w:tab/>
        <w:t xml:space="preserve">gefailleerde vóór de faillietverklaring van een derde heeft overgenomen, niet bevoegd is tot </w:t>
      </w:r>
      <w:r w:rsidRPr="00CC193A">
        <w:rPr>
          <w:rFonts w:cstheme="minorHAnsi"/>
          <w:b w:val="0"/>
          <w:i/>
          <w:sz w:val="22"/>
          <w:szCs w:val="22"/>
        </w:rPr>
        <w:tab/>
        <w:t xml:space="preserve">verrekening indien hij bij de overneming niet te goeder trouw heeft gehandeld. ABN AMRO </w:t>
      </w:r>
      <w:r w:rsidRPr="00CC193A">
        <w:rPr>
          <w:rFonts w:cstheme="minorHAnsi"/>
          <w:b w:val="0"/>
          <w:i/>
          <w:sz w:val="22"/>
          <w:szCs w:val="22"/>
        </w:rPr>
        <w:tab/>
        <w:t>heeft de huurschuld echter niet van een derde overgenomen.</w:t>
      </w:r>
      <w:r w:rsidRPr="00CC193A">
        <w:rPr>
          <w:rFonts w:cstheme="minorHAnsi"/>
          <w:b w:val="0"/>
          <w:i/>
          <w:sz w:val="22"/>
          <w:szCs w:val="22"/>
        </w:rPr>
        <w:tab/>
      </w:r>
      <w:r w:rsidRPr="00CC193A">
        <w:rPr>
          <w:rFonts w:cstheme="minorHAnsi"/>
          <w:b w:val="0"/>
          <w:i/>
          <w:sz w:val="22"/>
          <w:szCs w:val="22"/>
        </w:rPr>
        <w:tab/>
      </w:r>
    </w:p>
    <w:p w:rsidR="00D37A13" w:rsidRDefault="00D37A13" w:rsidP="00D37A13">
      <w:pPr>
        <w:ind w:firstLine="708"/>
        <w:jc w:val="left"/>
        <w:rPr>
          <w:rFonts w:cstheme="minorHAnsi"/>
          <w:b w:val="0"/>
          <w:i/>
          <w:sz w:val="22"/>
          <w:szCs w:val="22"/>
        </w:rPr>
      </w:pPr>
      <w:r w:rsidRPr="00CC193A">
        <w:rPr>
          <w:rFonts w:cstheme="minorHAnsi"/>
          <w:b w:val="0"/>
          <w:i/>
          <w:sz w:val="22"/>
          <w:szCs w:val="22"/>
        </w:rPr>
        <w:lastRenderedPageBreak/>
        <w:t xml:space="preserve">De verplichting tot huurbetaling is een schuld van haarzelf als huurder, waarop art. 54 </w:t>
      </w:r>
      <w:proofErr w:type="spellStart"/>
      <w:r w:rsidRPr="00CC193A">
        <w:rPr>
          <w:rFonts w:cstheme="minorHAnsi"/>
          <w:b w:val="0"/>
          <w:i/>
          <w:sz w:val="22"/>
          <w:szCs w:val="22"/>
        </w:rPr>
        <w:t>Fw</w:t>
      </w:r>
      <w:proofErr w:type="spellEnd"/>
      <w:r w:rsidRPr="00CC193A">
        <w:rPr>
          <w:rFonts w:cstheme="minorHAnsi"/>
          <w:b w:val="0"/>
          <w:i/>
          <w:sz w:val="22"/>
          <w:szCs w:val="22"/>
        </w:rPr>
        <w:t xml:space="preserve"> </w:t>
      </w:r>
      <w:r w:rsidRPr="00CC193A">
        <w:rPr>
          <w:rFonts w:cstheme="minorHAnsi"/>
          <w:b w:val="0"/>
          <w:i/>
          <w:sz w:val="22"/>
          <w:szCs w:val="22"/>
        </w:rPr>
        <w:tab/>
        <w:t xml:space="preserve">geen betrekking heeft. Het middel is in zoverre gegrond. De overige klachten behoeven geen </w:t>
      </w:r>
      <w:r w:rsidRPr="00CC193A">
        <w:rPr>
          <w:rFonts w:cstheme="minorHAnsi"/>
          <w:b w:val="0"/>
          <w:i/>
          <w:sz w:val="22"/>
          <w:szCs w:val="22"/>
        </w:rPr>
        <w:tab/>
        <w:t>behandeling.”</w:t>
      </w:r>
      <w:r w:rsidR="00800CCE">
        <w:rPr>
          <w:rStyle w:val="Voetnootmarkering"/>
          <w:rFonts w:cstheme="minorHAnsi"/>
          <w:b w:val="0"/>
          <w:i/>
          <w:sz w:val="22"/>
          <w:szCs w:val="22"/>
        </w:rPr>
        <w:footnoteReference w:id="118"/>
      </w:r>
    </w:p>
    <w:p w:rsidR="00800CCE" w:rsidRPr="00CC193A" w:rsidRDefault="00800CCE" w:rsidP="00D37A13">
      <w:pPr>
        <w:ind w:firstLine="708"/>
        <w:jc w:val="left"/>
        <w:rPr>
          <w:rFonts w:asciiTheme="minorHAnsi" w:hAnsiTheme="minorHAnsi" w:cstheme="minorHAnsi"/>
          <w:b w:val="0"/>
          <w:i/>
          <w:sz w:val="22"/>
          <w:szCs w:val="22"/>
        </w:rPr>
      </w:pPr>
    </w:p>
    <w:p w:rsidR="00390EB5" w:rsidRPr="006F6DF8" w:rsidRDefault="00D37A13" w:rsidP="00390EB5">
      <w:pPr>
        <w:jc w:val="left"/>
        <w:rPr>
          <w:rFonts w:asciiTheme="minorHAnsi" w:hAnsiTheme="minorHAnsi" w:cstheme="minorHAnsi"/>
          <w:b w:val="0"/>
          <w:sz w:val="22"/>
          <w:szCs w:val="22"/>
        </w:rPr>
      </w:pPr>
      <w:r>
        <w:rPr>
          <w:rFonts w:asciiTheme="minorHAnsi" w:hAnsiTheme="minorHAnsi" w:cstheme="minorHAnsi"/>
          <w:b w:val="0"/>
          <w:sz w:val="22"/>
          <w:szCs w:val="22"/>
        </w:rPr>
        <w:t xml:space="preserve">Artikel 54 </w:t>
      </w:r>
      <w:proofErr w:type="spellStart"/>
      <w:r>
        <w:rPr>
          <w:rFonts w:asciiTheme="minorHAnsi" w:hAnsiTheme="minorHAnsi" w:cstheme="minorHAnsi"/>
          <w:b w:val="0"/>
          <w:sz w:val="22"/>
          <w:szCs w:val="22"/>
        </w:rPr>
        <w:t>Fw</w:t>
      </w:r>
      <w:proofErr w:type="spellEnd"/>
      <w:r>
        <w:rPr>
          <w:rFonts w:asciiTheme="minorHAnsi" w:hAnsiTheme="minorHAnsi" w:cstheme="minorHAnsi"/>
          <w:b w:val="0"/>
          <w:sz w:val="22"/>
          <w:szCs w:val="22"/>
        </w:rPr>
        <w:t xml:space="preserve"> heeft volgens</w:t>
      </w:r>
      <w:r w:rsidR="00390EB5" w:rsidRPr="006F6DF8">
        <w:rPr>
          <w:rFonts w:asciiTheme="minorHAnsi" w:hAnsiTheme="minorHAnsi" w:cstheme="minorHAnsi"/>
          <w:b w:val="0"/>
          <w:sz w:val="22"/>
          <w:szCs w:val="22"/>
        </w:rPr>
        <w:t xml:space="preserve"> de Hoge Raad slechts betrekking op het overnemen van vorderingen van derden, zoals ook letterlijk in het artikel staat. Indien het niet het overnemen van een vordering betreft maar een niet te goeder trouw ontstane eigen vordering is, kan er geen beroep op artikel 54 </w:t>
      </w:r>
      <w:proofErr w:type="spellStart"/>
      <w:r w:rsidR="00390EB5" w:rsidRPr="006F6DF8">
        <w:rPr>
          <w:rFonts w:asciiTheme="minorHAnsi" w:hAnsiTheme="minorHAnsi" w:cstheme="minorHAnsi"/>
          <w:b w:val="0"/>
          <w:sz w:val="22"/>
          <w:szCs w:val="22"/>
        </w:rPr>
        <w:t>Fw</w:t>
      </w:r>
      <w:proofErr w:type="spellEnd"/>
      <w:r w:rsidR="00390EB5" w:rsidRPr="006F6DF8">
        <w:rPr>
          <w:rFonts w:asciiTheme="minorHAnsi" w:hAnsiTheme="minorHAnsi" w:cstheme="minorHAnsi"/>
          <w:b w:val="0"/>
          <w:sz w:val="22"/>
          <w:szCs w:val="22"/>
        </w:rPr>
        <w:t xml:space="preserve"> worden gedaan.</w:t>
      </w:r>
    </w:p>
    <w:p w:rsidR="00390EB5" w:rsidRPr="006F6DF8" w:rsidRDefault="00390EB5" w:rsidP="00390EB5">
      <w:pPr>
        <w:jc w:val="left"/>
        <w:rPr>
          <w:rFonts w:asciiTheme="minorHAnsi" w:hAnsiTheme="minorHAnsi" w:cstheme="minorHAnsi"/>
          <w:b w:val="0"/>
          <w:sz w:val="22"/>
          <w:szCs w:val="22"/>
        </w:rPr>
      </w:pPr>
    </w:p>
    <w:p w:rsidR="00390EB5" w:rsidRPr="006F6DF8" w:rsidRDefault="00390EB5" w:rsidP="00390EB5">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Dit staat haaks op de uitleg uit hoofdstuk 5 paragraaf 3.1.2. Daarin heb ik aangegeven dat het begrip ‘overnemen’ ruimer uitgelegd kan worden. Het op een andere manier creëren van een verrekeningsbevoegdheid dan door overneming wordt volgens de literatuur tevens gezien als overneming in de zin van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Het vestigen van een pandrecht is ook een manier om een verrekeningsbevoegdheid te creëren in het zicht van een faillissement en lijkt dus tevens onder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te vallen. Dit is overeenkomend met wat het Gerechtshof zegt. Echter, de Hoge Raad is leidend en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zal vanaf nu geïnterpreteerd moeten worden op de volgens de </w:t>
      </w:r>
      <w:r w:rsidR="002C0414" w:rsidRPr="006F6DF8">
        <w:rPr>
          <w:rFonts w:asciiTheme="minorHAnsi" w:hAnsiTheme="minorHAnsi" w:cstheme="minorHAnsi"/>
          <w:b w:val="0"/>
          <w:sz w:val="22"/>
          <w:szCs w:val="22"/>
        </w:rPr>
        <w:t xml:space="preserve">Hoge </w:t>
      </w:r>
      <w:r w:rsidRPr="006F6DF8">
        <w:rPr>
          <w:rFonts w:asciiTheme="minorHAnsi" w:hAnsiTheme="minorHAnsi" w:cstheme="minorHAnsi"/>
          <w:b w:val="0"/>
          <w:sz w:val="22"/>
          <w:szCs w:val="22"/>
        </w:rPr>
        <w:t xml:space="preserve">Raad </w:t>
      </w:r>
      <w:r w:rsidR="006746CA" w:rsidRPr="006F6DF8">
        <w:rPr>
          <w:rFonts w:asciiTheme="minorHAnsi" w:hAnsiTheme="minorHAnsi" w:cstheme="minorHAnsi"/>
          <w:b w:val="0"/>
          <w:sz w:val="22"/>
          <w:szCs w:val="22"/>
        </w:rPr>
        <w:t>g</w:t>
      </w:r>
      <w:r w:rsidRPr="006F6DF8">
        <w:rPr>
          <w:rFonts w:asciiTheme="minorHAnsi" w:hAnsiTheme="minorHAnsi" w:cstheme="minorHAnsi"/>
          <w:b w:val="0"/>
          <w:sz w:val="22"/>
          <w:szCs w:val="22"/>
        </w:rPr>
        <w:t>enoemde manier.</w:t>
      </w:r>
      <w:r w:rsidRPr="006F6DF8">
        <w:rPr>
          <w:rStyle w:val="Voetnootmarkering"/>
          <w:rFonts w:asciiTheme="minorHAnsi" w:hAnsiTheme="minorHAnsi" w:cstheme="minorHAnsi"/>
          <w:b w:val="0"/>
          <w:sz w:val="22"/>
          <w:szCs w:val="22"/>
        </w:rPr>
        <w:footnoteReference w:id="119"/>
      </w:r>
      <w:r w:rsidRPr="006F6DF8">
        <w:rPr>
          <w:rFonts w:asciiTheme="minorHAnsi" w:hAnsiTheme="minorHAnsi" w:cstheme="minorHAnsi"/>
          <w:b w:val="0"/>
          <w:sz w:val="22"/>
          <w:szCs w:val="22"/>
        </w:rPr>
        <w:t xml:space="preserve">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heeft zodoende alleen betrekking op het niet te goeder trouw overnemen van vorderingen van derden.</w:t>
      </w:r>
    </w:p>
    <w:p w:rsidR="00390EB5" w:rsidRPr="006F6DF8" w:rsidRDefault="00390EB5" w:rsidP="00390EB5">
      <w:pPr>
        <w:jc w:val="left"/>
        <w:rPr>
          <w:rFonts w:asciiTheme="minorHAnsi" w:hAnsiTheme="minorHAnsi" w:cstheme="minorHAnsi"/>
          <w:b w:val="0"/>
          <w:sz w:val="22"/>
          <w:szCs w:val="22"/>
        </w:rPr>
      </w:pPr>
    </w:p>
    <w:p w:rsidR="00390EB5" w:rsidRPr="006F6DF8" w:rsidRDefault="00E9796D" w:rsidP="00390EB5">
      <w:pPr>
        <w:jc w:val="left"/>
        <w:rPr>
          <w:rFonts w:asciiTheme="minorHAnsi" w:hAnsiTheme="minorHAnsi" w:cstheme="minorHAnsi"/>
          <w:b w:val="0"/>
          <w:sz w:val="22"/>
          <w:szCs w:val="22"/>
        </w:rPr>
      </w:pPr>
      <w:r w:rsidRPr="006F6DF8">
        <w:rPr>
          <w:rFonts w:asciiTheme="minorHAnsi" w:hAnsiTheme="minorHAnsi" w:cstheme="minorHAnsi"/>
          <w:b w:val="0"/>
          <w:sz w:val="22"/>
          <w:szCs w:val="22"/>
        </w:rPr>
        <w:t>§2.3.1 Executoriale verkoop</w:t>
      </w:r>
    </w:p>
    <w:p w:rsidR="00390EB5" w:rsidRPr="006F6DF8" w:rsidRDefault="00E9796D" w:rsidP="00390EB5">
      <w:pPr>
        <w:jc w:val="left"/>
        <w:rPr>
          <w:rFonts w:asciiTheme="minorHAnsi" w:hAnsiTheme="minorHAnsi" w:cstheme="minorHAnsi"/>
          <w:b w:val="0"/>
          <w:sz w:val="22"/>
          <w:szCs w:val="22"/>
        </w:rPr>
      </w:pPr>
      <w:r w:rsidRPr="006F6DF8">
        <w:rPr>
          <w:rFonts w:asciiTheme="minorHAnsi" w:hAnsiTheme="minorHAnsi" w:cstheme="minorHAnsi"/>
          <w:b w:val="0"/>
          <w:sz w:val="22"/>
          <w:szCs w:val="22"/>
        </w:rPr>
        <w:t>Indien de pandhouder, de bank, gebruik maakt van haar recht</w:t>
      </w:r>
      <w:r w:rsidR="00A273A3" w:rsidRPr="006F6DF8">
        <w:rPr>
          <w:rFonts w:asciiTheme="minorHAnsi" w:hAnsiTheme="minorHAnsi" w:cstheme="minorHAnsi"/>
          <w:b w:val="0"/>
          <w:sz w:val="22"/>
          <w:szCs w:val="22"/>
        </w:rPr>
        <w:t xml:space="preserve"> van executoriale verkoop, in de zin van artikel 3:251 lid 2 BW, kan er geen beroep op artikel 54 </w:t>
      </w:r>
      <w:proofErr w:type="spellStart"/>
      <w:r w:rsidR="00A273A3" w:rsidRPr="006F6DF8">
        <w:rPr>
          <w:rFonts w:asciiTheme="minorHAnsi" w:hAnsiTheme="minorHAnsi" w:cstheme="minorHAnsi"/>
          <w:b w:val="0"/>
          <w:sz w:val="22"/>
          <w:szCs w:val="22"/>
        </w:rPr>
        <w:t>Fw</w:t>
      </w:r>
      <w:proofErr w:type="spellEnd"/>
      <w:r w:rsidR="00A273A3" w:rsidRPr="006F6DF8">
        <w:rPr>
          <w:rFonts w:asciiTheme="minorHAnsi" w:hAnsiTheme="minorHAnsi" w:cstheme="minorHAnsi"/>
          <w:b w:val="0"/>
          <w:sz w:val="22"/>
          <w:szCs w:val="22"/>
        </w:rPr>
        <w:t xml:space="preserve"> worden gedaan. </w:t>
      </w:r>
      <w:r w:rsidR="00DE31C9" w:rsidRPr="006F6DF8">
        <w:rPr>
          <w:rFonts w:asciiTheme="minorHAnsi" w:hAnsiTheme="minorHAnsi" w:cstheme="minorHAnsi"/>
          <w:b w:val="0"/>
          <w:sz w:val="22"/>
          <w:szCs w:val="22"/>
        </w:rPr>
        <w:t xml:space="preserve">Het feit dat </w:t>
      </w:r>
      <w:r w:rsidR="00390EB5" w:rsidRPr="006F6DF8">
        <w:rPr>
          <w:rFonts w:asciiTheme="minorHAnsi" w:hAnsiTheme="minorHAnsi" w:cstheme="minorHAnsi"/>
          <w:b w:val="0"/>
          <w:sz w:val="22"/>
          <w:szCs w:val="22"/>
        </w:rPr>
        <w:t>de opbrengst van de executoriale verkoop op de rekening wordt gestort die de schuldenaar bij de bank heeft brengt hier geen verandering in.</w:t>
      </w:r>
      <w:r w:rsidR="00DE31C9" w:rsidRPr="006F6DF8">
        <w:rPr>
          <w:rFonts w:asciiTheme="minorHAnsi" w:hAnsiTheme="minorHAnsi" w:cstheme="minorHAnsi"/>
          <w:b w:val="0"/>
          <w:sz w:val="22"/>
          <w:szCs w:val="22"/>
        </w:rPr>
        <w:t xml:space="preserve"> </w:t>
      </w:r>
      <w:r w:rsidR="00390EB5" w:rsidRPr="006F6DF8">
        <w:rPr>
          <w:rFonts w:asciiTheme="minorHAnsi" w:hAnsiTheme="minorHAnsi" w:cstheme="minorHAnsi"/>
          <w:b w:val="0"/>
          <w:sz w:val="22"/>
          <w:szCs w:val="22"/>
        </w:rPr>
        <w:t>De bank brengt zichzelf immers niet in een betere positie ten opzichte van andere schuldeisers. De bank was door haar pandrecht namelijk al gerechtigd zich bij voorrang te verhalen op de opbrengst van de verpande winkelvoorraad.</w:t>
      </w:r>
      <w:r w:rsidR="00390EB5" w:rsidRPr="006F6DF8">
        <w:rPr>
          <w:rStyle w:val="Voetnootmarkering"/>
          <w:rFonts w:asciiTheme="minorHAnsi" w:hAnsiTheme="minorHAnsi" w:cstheme="minorHAnsi"/>
          <w:b w:val="0"/>
          <w:sz w:val="22"/>
          <w:szCs w:val="22"/>
        </w:rPr>
        <w:footnoteReference w:id="120"/>
      </w:r>
      <w:r w:rsidR="00DE31C9" w:rsidRPr="006F6DF8">
        <w:rPr>
          <w:rFonts w:asciiTheme="minorHAnsi" w:hAnsiTheme="minorHAnsi" w:cstheme="minorHAnsi"/>
          <w:b w:val="0"/>
          <w:sz w:val="22"/>
          <w:szCs w:val="22"/>
        </w:rPr>
        <w:t xml:space="preserve"> Uit deze rechtszaak blijkt dat het voor een beroep op artikel 54 </w:t>
      </w:r>
      <w:proofErr w:type="spellStart"/>
      <w:r w:rsidR="00DE31C9" w:rsidRPr="006F6DF8">
        <w:rPr>
          <w:rFonts w:asciiTheme="minorHAnsi" w:hAnsiTheme="minorHAnsi" w:cstheme="minorHAnsi"/>
          <w:b w:val="0"/>
          <w:sz w:val="22"/>
          <w:szCs w:val="22"/>
        </w:rPr>
        <w:t>Fw</w:t>
      </w:r>
      <w:proofErr w:type="spellEnd"/>
      <w:r w:rsidR="00DE31C9" w:rsidRPr="006F6DF8">
        <w:rPr>
          <w:rFonts w:asciiTheme="minorHAnsi" w:hAnsiTheme="minorHAnsi" w:cstheme="minorHAnsi"/>
          <w:b w:val="0"/>
          <w:sz w:val="22"/>
          <w:szCs w:val="22"/>
        </w:rPr>
        <w:t xml:space="preserve"> tevens van belang is dat de bank zich ten opzichte van andere schuldeisers in een betere positie brengt.</w:t>
      </w:r>
    </w:p>
    <w:p w:rsidR="00390EB5" w:rsidRPr="006F6DF8" w:rsidRDefault="00390EB5" w:rsidP="00390EB5">
      <w:pPr>
        <w:jc w:val="left"/>
        <w:rPr>
          <w:rFonts w:asciiTheme="minorHAnsi" w:hAnsiTheme="minorHAnsi" w:cstheme="minorHAnsi"/>
          <w:b w:val="0"/>
          <w:sz w:val="22"/>
          <w:szCs w:val="22"/>
        </w:rPr>
      </w:pPr>
    </w:p>
    <w:p w:rsidR="00834DAC" w:rsidRPr="006F6DF8" w:rsidRDefault="00834DAC" w:rsidP="00390EB5">
      <w:pPr>
        <w:jc w:val="left"/>
        <w:rPr>
          <w:rFonts w:asciiTheme="minorHAnsi" w:hAnsiTheme="minorHAnsi" w:cstheme="minorHAnsi"/>
          <w:b w:val="0"/>
          <w:sz w:val="22"/>
          <w:szCs w:val="22"/>
        </w:rPr>
      </w:pPr>
      <w:r w:rsidRPr="006F6DF8">
        <w:rPr>
          <w:rFonts w:asciiTheme="minorHAnsi" w:hAnsiTheme="minorHAnsi" w:cstheme="minorHAnsi"/>
          <w:b w:val="0"/>
          <w:sz w:val="22"/>
          <w:szCs w:val="22"/>
        </w:rPr>
        <w:t>§2.3.2 Verrekening</w:t>
      </w:r>
      <w:r w:rsidR="005052B9" w:rsidRPr="006F6DF8">
        <w:rPr>
          <w:rFonts w:asciiTheme="minorHAnsi" w:hAnsiTheme="minorHAnsi" w:cstheme="minorHAnsi"/>
          <w:b w:val="0"/>
          <w:sz w:val="22"/>
          <w:szCs w:val="22"/>
        </w:rPr>
        <w:t xml:space="preserve"> betekenis</w:t>
      </w:r>
    </w:p>
    <w:p w:rsidR="00390EB5" w:rsidRPr="006F6DF8" w:rsidRDefault="00834DAC" w:rsidP="00390EB5">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Verrekening als bedoeld in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vindt niet plaats als de </w:t>
      </w:r>
      <w:r w:rsidR="001567C2" w:rsidRPr="006F6DF8">
        <w:rPr>
          <w:rFonts w:asciiTheme="minorHAnsi" w:hAnsiTheme="minorHAnsi" w:cstheme="minorHAnsi"/>
          <w:b w:val="0"/>
          <w:sz w:val="22"/>
          <w:szCs w:val="22"/>
        </w:rPr>
        <w:t xml:space="preserve">pandgever een rechtstreekse betaling doet op de rekening van de pandhouder. Indien er wordt betaald op de rekening die de pandgever bij de pandhouder heeft, dan </w:t>
      </w:r>
      <w:r w:rsidR="00390EB5" w:rsidRPr="006F6DF8">
        <w:rPr>
          <w:rFonts w:asciiTheme="minorHAnsi" w:hAnsiTheme="minorHAnsi" w:cstheme="minorHAnsi"/>
          <w:b w:val="0"/>
          <w:sz w:val="22"/>
          <w:szCs w:val="22"/>
        </w:rPr>
        <w:t>zou er wel sprake van verrekening kunnen zijn</w:t>
      </w:r>
      <w:r w:rsidR="001567C2" w:rsidRPr="006F6DF8">
        <w:rPr>
          <w:rFonts w:asciiTheme="minorHAnsi" w:hAnsiTheme="minorHAnsi" w:cstheme="minorHAnsi"/>
          <w:b w:val="0"/>
          <w:sz w:val="22"/>
          <w:szCs w:val="22"/>
        </w:rPr>
        <w:t>.</w:t>
      </w:r>
      <w:r w:rsidR="00390EB5" w:rsidRPr="006F6DF8">
        <w:rPr>
          <w:rStyle w:val="Voetnootmarkering"/>
          <w:rFonts w:asciiTheme="minorHAnsi" w:hAnsiTheme="minorHAnsi" w:cstheme="minorHAnsi"/>
          <w:b w:val="0"/>
          <w:sz w:val="22"/>
          <w:szCs w:val="22"/>
        </w:rPr>
        <w:footnoteReference w:id="121"/>
      </w:r>
      <w:r w:rsidR="00426C75" w:rsidRPr="006F6DF8">
        <w:rPr>
          <w:rFonts w:asciiTheme="minorHAnsi" w:hAnsiTheme="minorHAnsi" w:cstheme="minorHAnsi"/>
          <w:b w:val="0"/>
          <w:sz w:val="22"/>
          <w:szCs w:val="22"/>
        </w:rPr>
        <w:t xml:space="preserve"> Indien de pandhouder op de hoogte was van het aanstaande faillissement van de pandgever en een vordering heeft overgenomen, mag hij deze vordering niet verrekenen omdat hij </w:t>
      </w:r>
      <w:r w:rsidR="00EC5402" w:rsidRPr="006F6DF8">
        <w:rPr>
          <w:rFonts w:asciiTheme="minorHAnsi" w:hAnsiTheme="minorHAnsi" w:cstheme="minorHAnsi"/>
          <w:b w:val="0"/>
          <w:sz w:val="22"/>
          <w:szCs w:val="22"/>
        </w:rPr>
        <w:t xml:space="preserve">op de hoogte is van het komend faillissement en zodoende </w:t>
      </w:r>
      <w:r w:rsidR="00426C75" w:rsidRPr="006F6DF8">
        <w:rPr>
          <w:rFonts w:asciiTheme="minorHAnsi" w:hAnsiTheme="minorHAnsi" w:cstheme="minorHAnsi"/>
          <w:b w:val="0"/>
          <w:sz w:val="22"/>
          <w:szCs w:val="22"/>
        </w:rPr>
        <w:t>niet te goeder trouw is</w:t>
      </w:r>
      <w:r w:rsidR="00EC5402" w:rsidRPr="006F6DF8">
        <w:rPr>
          <w:rFonts w:asciiTheme="minorHAnsi" w:hAnsiTheme="minorHAnsi" w:cstheme="minorHAnsi"/>
          <w:b w:val="0"/>
          <w:sz w:val="22"/>
          <w:szCs w:val="22"/>
        </w:rPr>
        <w:t xml:space="preserve">. </w:t>
      </w:r>
      <w:r w:rsidR="00BE2B68" w:rsidRPr="006F6DF8">
        <w:rPr>
          <w:rFonts w:asciiTheme="minorHAnsi" w:hAnsiTheme="minorHAnsi" w:cstheme="minorHAnsi"/>
          <w:b w:val="0"/>
          <w:sz w:val="22"/>
          <w:szCs w:val="22"/>
        </w:rPr>
        <w:t xml:space="preserve">Wanneer er een ‘gewone’ betaling wordt gedaan van de pandgever aan de pandhouder, niet </w:t>
      </w:r>
      <w:r w:rsidR="00E97BE4" w:rsidRPr="006F6DF8">
        <w:rPr>
          <w:rFonts w:asciiTheme="minorHAnsi" w:hAnsiTheme="minorHAnsi" w:cstheme="minorHAnsi"/>
          <w:b w:val="0"/>
          <w:sz w:val="22"/>
          <w:szCs w:val="22"/>
        </w:rPr>
        <w:t xml:space="preserve">zijnde </w:t>
      </w:r>
      <w:r w:rsidR="00BE2B68" w:rsidRPr="006F6DF8">
        <w:rPr>
          <w:rFonts w:asciiTheme="minorHAnsi" w:hAnsiTheme="minorHAnsi" w:cstheme="minorHAnsi"/>
          <w:b w:val="0"/>
          <w:sz w:val="22"/>
          <w:szCs w:val="22"/>
        </w:rPr>
        <w:t>op de rekening van de pandgever bij de pandhouder, dan geldt het niet als verrekenen</w:t>
      </w:r>
      <w:r w:rsidR="00E97BE4" w:rsidRPr="006F6DF8">
        <w:rPr>
          <w:rFonts w:asciiTheme="minorHAnsi" w:hAnsiTheme="minorHAnsi" w:cstheme="minorHAnsi"/>
          <w:b w:val="0"/>
          <w:sz w:val="22"/>
          <w:szCs w:val="22"/>
        </w:rPr>
        <w:t xml:space="preserve"> en is artikel 54 </w:t>
      </w:r>
      <w:proofErr w:type="spellStart"/>
      <w:r w:rsidR="00E97BE4" w:rsidRPr="006F6DF8">
        <w:rPr>
          <w:rFonts w:asciiTheme="minorHAnsi" w:hAnsiTheme="minorHAnsi" w:cstheme="minorHAnsi"/>
          <w:b w:val="0"/>
          <w:sz w:val="22"/>
          <w:szCs w:val="22"/>
        </w:rPr>
        <w:t>Fw</w:t>
      </w:r>
      <w:proofErr w:type="spellEnd"/>
      <w:r w:rsidR="00E97BE4" w:rsidRPr="006F6DF8">
        <w:rPr>
          <w:rFonts w:asciiTheme="minorHAnsi" w:hAnsiTheme="minorHAnsi" w:cstheme="minorHAnsi"/>
          <w:b w:val="0"/>
          <w:sz w:val="22"/>
          <w:szCs w:val="22"/>
        </w:rPr>
        <w:t xml:space="preserve"> niet van toepassing</w:t>
      </w:r>
      <w:r w:rsidR="00BE2B68" w:rsidRPr="006F6DF8">
        <w:rPr>
          <w:rFonts w:asciiTheme="minorHAnsi" w:hAnsiTheme="minorHAnsi" w:cstheme="minorHAnsi"/>
          <w:b w:val="0"/>
          <w:sz w:val="22"/>
          <w:szCs w:val="22"/>
        </w:rPr>
        <w:t xml:space="preserve">. </w:t>
      </w:r>
    </w:p>
    <w:p w:rsidR="00686B7D" w:rsidRDefault="00686B7D" w:rsidP="0012021D">
      <w:pPr>
        <w:jc w:val="left"/>
        <w:rPr>
          <w:rFonts w:asciiTheme="minorHAnsi" w:hAnsiTheme="minorHAnsi" w:cstheme="minorHAnsi"/>
          <w:b w:val="0"/>
          <w:sz w:val="22"/>
          <w:szCs w:val="22"/>
        </w:rPr>
      </w:pPr>
    </w:p>
    <w:p w:rsidR="005052B9" w:rsidRPr="006F6DF8" w:rsidRDefault="005052B9" w:rsidP="0012021D">
      <w:pPr>
        <w:jc w:val="left"/>
        <w:rPr>
          <w:rFonts w:asciiTheme="minorHAnsi" w:hAnsiTheme="minorHAnsi" w:cstheme="minorHAnsi"/>
          <w:b w:val="0"/>
          <w:sz w:val="22"/>
          <w:szCs w:val="22"/>
        </w:rPr>
      </w:pPr>
      <w:r w:rsidRPr="006F6DF8">
        <w:rPr>
          <w:rFonts w:asciiTheme="minorHAnsi" w:hAnsiTheme="minorHAnsi" w:cstheme="minorHAnsi"/>
          <w:b w:val="0"/>
          <w:sz w:val="22"/>
          <w:szCs w:val="22"/>
        </w:rPr>
        <w:t>§2.3.3 Vordering overgenomen na faillietverklaring</w:t>
      </w:r>
    </w:p>
    <w:p w:rsidR="00BE7745" w:rsidRPr="006F6DF8" w:rsidRDefault="005052B9" w:rsidP="00BE7745">
      <w:pPr>
        <w:jc w:val="left"/>
        <w:rPr>
          <w:rFonts w:asciiTheme="minorHAnsi" w:hAnsiTheme="minorHAnsi" w:cstheme="minorHAnsi"/>
          <w:b w:val="0"/>
          <w:sz w:val="22"/>
          <w:szCs w:val="22"/>
        </w:rPr>
      </w:pPr>
      <w:r w:rsidRPr="006F6DF8">
        <w:rPr>
          <w:rFonts w:asciiTheme="minorHAnsi" w:hAnsiTheme="minorHAnsi" w:cstheme="minorHAnsi"/>
          <w:b w:val="0"/>
          <w:sz w:val="22"/>
          <w:szCs w:val="22"/>
        </w:rPr>
        <w:t>Op</w:t>
      </w:r>
      <w:r w:rsidR="00BE7745" w:rsidRPr="006F6DF8">
        <w:rPr>
          <w:rFonts w:asciiTheme="minorHAnsi" w:hAnsiTheme="minorHAnsi" w:cstheme="minorHAnsi"/>
          <w:b w:val="0"/>
          <w:sz w:val="22"/>
          <w:szCs w:val="22"/>
        </w:rPr>
        <w:t xml:space="preserve"> grond van artikel 54 lid 2 </w:t>
      </w:r>
      <w:proofErr w:type="spellStart"/>
      <w:r w:rsidR="00BE7745" w:rsidRPr="006F6DF8">
        <w:rPr>
          <w:rFonts w:asciiTheme="minorHAnsi" w:hAnsiTheme="minorHAnsi" w:cstheme="minorHAnsi"/>
          <w:b w:val="0"/>
          <w:sz w:val="22"/>
          <w:szCs w:val="22"/>
        </w:rPr>
        <w:t>Fw</w:t>
      </w:r>
      <w:proofErr w:type="spellEnd"/>
      <w:r w:rsidR="00BE7745" w:rsidRPr="006F6DF8">
        <w:rPr>
          <w:rFonts w:asciiTheme="minorHAnsi" w:hAnsiTheme="minorHAnsi" w:cstheme="minorHAnsi"/>
          <w:b w:val="0"/>
          <w:sz w:val="22"/>
          <w:szCs w:val="22"/>
        </w:rPr>
        <w:t xml:space="preserve"> </w:t>
      </w:r>
      <w:r w:rsidRPr="006F6DF8">
        <w:rPr>
          <w:rFonts w:asciiTheme="minorHAnsi" w:hAnsiTheme="minorHAnsi" w:cstheme="minorHAnsi"/>
          <w:b w:val="0"/>
          <w:sz w:val="22"/>
          <w:szCs w:val="22"/>
        </w:rPr>
        <w:t xml:space="preserve">mag er </w:t>
      </w:r>
      <w:r w:rsidR="00BE7745" w:rsidRPr="006F6DF8">
        <w:rPr>
          <w:rFonts w:asciiTheme="minorHAnsi" w:hAnsiTheme="minorHAnsi" w:cstheme="minorHAnsi"/>
          <w:b w:val="0"/>
          <w:sz w:val="22"/>
          <w:szCs w:val="22"/>
        </w:rPr>
        <w:t>niet verrekend worden indien een vordering wordt overgenomen na de faillietverklaring. Daar kan zelfs een pandrecht geen verandering in brengen.</w:t>
      </w:r>
      <w:r w:rsidR="00BE7745" w:rsidRPr="006F6DF8">
        <w:rPr>
          <w:rStyle w:val="Voetnootmarkering"/>
          <w:rFonts w:asciiTheme="minorHAnsi" w:hAnsiTheme="minorHAnsi" w:cstheme="minorHAnsi"/>
          <w:b w:val="0"/>
          <w:sz w:val="22"/>
          <w:szCs w:val="22"/>
        </w:rPr>
        <w:footnoteReference w:id="122"/>
      </w:r>
      <w:r w:rsidRPr="006F6DF8">
        <w:rPr>
          <w:rFonts w:asciiTheme="minorHAnsi" w:hAnsiTheme="minorHAnsi" w:cstheme="minorHAnsi"/>
          <w:b w:val="0"/>
          <w:sz w:val="22"/>
          <w:szCs w:val="22"/>
        </w:rPr>
        <w:t xml:space="preserve"> Dit lijkt logisch, maar indien men na faillietverklaring een vordering overneemt is er geen sprake van te goeder trouw, aangezien de faillietverklaring al is geschiedt. </w:t>
      </w:r>
      <w:r w:rsidR="00E92C97" w:rsidRPr="006F6DF8">
        <w:rPr>
          <w:rFonts w:asciiTheme="minorHAnsi" w:hAnsiTheme="minorHAnsi" w:cstheme="minorHAnsi"/>
          <w:b w:val="0"/>
          <w:sz w:val="22"/>
          <w:szCs w:val="22"/>
        </w:rPr>
        <w:t>Zodoende</w:t>
      </w:r>
      <w:r w:rsidR="002031E8" w:rsidRPr="006F6DF8">
        <w:rPr>
          <w:rFonts w:asciiTheme="minorHAnsi" w:hAnsiTheme="minorHAnsi" w:cstheme="minorHAnsi"/>
          <w:b w:val="0"/>
          <w:sz w:val="22"/>
          <w:szCs w:val="22"/>
        </w:rPr>
        <w:t xml:space="preserve"> bepaalt dit artikel in combinatie met de rechtbank dat na faillietverklaring overgenomen vorderingen niet verrekend mogen worden.</w:t>
      </w:r>
    </w:p>
    <w:p w:rsidR="00BE7745" w:rsidRPr="006F6DF8" w:rsidRDefault="00E1641F" w:rsidP="00BE7745">
      <w:pPr>
        <w:jc w:val="left"/>
        <w:rPr>
          <w:rFonts w:asciiTheme="minorHAnsi" w:hAnsiTheme="minorHAnsi" w:cstheme="minorHAnsi"/>
          <w:b w:val="0"/>
          <w:sz w:val="22"/>
          <w:szCs w:val="22"/>
        </w:rPr>
      </w:pPr>
      <w:r w:rsidRPr="006F6DF8">
        <w:rPr>
          <w:rFonts w:asciiTheme="minorHAnsi" w:hAnsiTheme="minorHAnsi" w:cstheme="minorHAnsi"/>
          <w:b w:val="0"/>
          <w:sz w:val="22"/>
          <w:szCs w:val="22"/>
        </w:rPr>
        <w:lastRenderedPageBreak/>
        <w:t>§2.3.4 Mulder q.q./CLBN</w:t>
      </w:r>
    </w:p>
    <w:p w:rsidR="00BE7745" w:rsidRPr="006F6DF8" w:rsidRDefault="00E1641F" w:rsidP="00BE7745">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Het arrest Mulder wordt door het Hof Arnhem bekrachtigd als vaste </w:t>
      </w:r>
      <w:r w:rsidR="00BE7745" w:rsidRPr="006F6DF8">
        <w:rPr>
          <w:rFonts w:asciiTheme="minorHAnsi" w:hAnsiTheme="minorHAnsi" w:cstheme="minorHAnsi"/>
          <w:b w:val="0"/>
          <w:sz w:val="22"/>
          <w:szCs w:val="22"/>
        </w:rPr>
        <w:t>jurisprudentie omtrent verrekenen in het zich</w:t>
      </w:r>
      <w:r w:rsidR="00E92C97" w:rsidRPr="006F6DF8">
        <w:rPr>
          <w:rFonts w:asciiTheme="minorHAnsi" w:hAnsiTheme="minorHAnsi" w:cstheme="minorHAnsi"/>
          <w:b w:val="0"/>
          <w:sz w:val="22"/>
          <w:szCs w:val="22"/>
        </w:rPr>
        <w:t>t</w:t>
      </w:r>
      <w:r w:rsidR="00BE7745" w:rsidRPr="006F6DF8">
        <w:rPr>
          <w:rFonts w:asciiTheme="minorHAnsi" w:hAnsiTheme="minorHAnsi" w:cstheme="minorHAnsi"/>
          <w:b w:val="0"/>
          <w:sz w:val="22"/>
          <w:szCs w:val="22"/>
        </w:rPr>
        <w:t xml:space="preserve"> van </w:t>
      </w:r>
      <w:r w:rsidR="00E92C97" w:rsidRPr="006F6DF8">
        <w:rPr>
          <w:rFonts w:asciiTheme="minorHAnsi" w:hAnsiTheme="minorHAnsi" w:cstheme="minorHAnsi"/>
          <w:b w:val="0"/>
          <w:sz w:val="22"/>
          <w:szCs w:val="22"/>
        </w:rPr>
        <w:t>een</w:t>
      </w:r>
      <w:r w:rsidR="00BE7745" w:rsidRPr="006F6DF8">
        <w:rPr>
          <w:rFonts w:asciiTheme="minorHAnsi" w:hAnsiTheme="minorHAnsi" w:cstheme="minorHAnsi"/>
          <w:b w:val="0"/>
          <w:sz w:val="22"/>
          <w:szCs w:val="22"/>
        </w:rPr>
        <w:t xml:space="preserve"> faillissement. </w:t>
      </w:r>
      <w:r w:rsidR="00632F90" w:rsidRPr="006F6DF8">
        <w:rPr>
          <w:rFonts w:asciiTheme="minorHAnsi" w:hAnsiTheme="minorHAnsi" w:cstheme="minorHAnsi"/>
          <w:b w:val="0"/>
          <w:sz w:val="22"/>
          <w:szCs w:val="22"/>
        </w:rPr>
        <w:t>Echter, h</w:t>
      </w:r>
      <w:r w:rsidR="00BE7745" w:rsidRPr="006F6DF8">
        <w:rPr>
          <w:rFonts w:asciiTheme="minorHAnsi" w:hAnsiTheme="minorHAnsi" w:cstheme="minorHAnsi"/>
          <w:b w:val="0"/>
          <w:sz w:val="22"/>
          <w:szCs w:val="22"/>
        </w:rPr>
        <w:t xml:space="preserve">et arrest Mulder kan niet worden ingeroepen indien de verpande vordering gelijkgesteld wordt met een niet te goeder trouw overgenomen schuld als bedoeld in artikel 54 </w:t>
      </w:r>
      <w:proofErr w:type="spellStart"/>
      <w:r w:rsidR="00BE7745" w:rsidRPr="006F6DF8">
        <w:rPr>
          <w:rFonts w:asciiTheme="minorHAnsi" w:hAnsiTheme="minorHAnsi" w:cstheme="minorHAnsi"/>
          <w:b w:val="0"/>
          <w:sz w:val="22"/>
          <w:szCs w:val="22"/>
        </w:rPr>
        <w:t>Fw</w:t>
      </w:r>
      <w:proofErr w:type="spellEnd"/>
      <w:r w:rsidR="00BE7745" w:rsidRPr="006F6DF8">
        <w:rPr>
          <w:rFonts w:asciiTheme="minorHAnsi" w:hAnsiTheme="minorHAnsi" w:cstheme="minorHAnsi"/>
          <w:b w:val="0"/>
          <w:sz w:val="22"/>
          <w:szCs w:val="22"/>
        </w:rPr>
        <w:t xml:space="preserve">. Men mag zodoende niet verrekenen in het zicht van een faillissement als artikel 54 </w:t>
      </w:r>
      <w:proofErr w:type="spellStart"/>
      <w:r w:rsidR="00BE7745" w:rsidRPr="006F6DF8">
        <w:rPr>
          <w:rFonts w:asciiTheme="minorHAnsi" w:hAnsiTheme="minorHAnsi" w:cstheme="minorHAnsi"/>
          <w:b w:val="0"/>
          <w:sz w:val="22"/>
          <w:szCs w:val="22"/>
        </w:rPr>
        <w:t>Fw</w:t>
      </w:r>
      <w:proofErr w:type="spellEnd"/>
      <w:r w:rsidR="00BE7745" w:rsidRPr="006F6DF8">
        <w:rPr>
          <w:rFonts w:asciiTheme="minorHAnsi" w:hAnsiTheme="minorHAnsi" w:cstheme="minorHAnsi"/>
          <w:b w:val="0"/>
          <w:sz w:val="22"/>
          <w:szCs w:val="22"/>
        </w:rPr>
        <w:t xml:space="preserve"> in het geding is</w:t>
      </w:r>
      <w:r w:rsidR="00BD2442" w:rsidRPr="006F6DF8">
        <w:rPr>
          <w:rFonts w:asciiTheme="minorHAnsi" w:hAnsiTheme="minorHAnsi" w:cstheme="minorHAnsi"/>
          <w:b w:val="0"/>
          <w:sz w:val="22"/>
          <w:szCs w:val="22"/>
        </w:rPr>
        <w:t>, ondanks dat men een pandrecht heeft</w:t>
      </w:r>
      <w:r w:rsidR="00BE7745" w:rsidRPr="006F6DF8">
        <w:rPr>
          <w:rFonts w:asciiTheme="minorHAnsi" w:hAnsiTheme="minorHAnsi" w:cstheme="minorHAnsi"/>
          <w:b w:val="0"/>
          <w:sz w:val="22"/>
          <w:szCs w:val="22"/>
        </w:rPr>
        <w:t>.</w:t>
      </w:r>
      <w:r w:rsidR="00BE7745" w:rsidRPr="006F6DF8">
        <w:rPr>
          <w:rStyle w:val="Voetnootmarkering"/>
          <w:rFonts w:asciiTheme="minorHAnsi" w:hAnsiTheme="minorHAnsi" w:cstheme="minorHAnsi"/>
          <w:b w:val="0"/>
          <w:sz w:val="22"/>
          <w:szCs w:val="22"/>
        </w:rPr>
        <w:footnoteReference w:id="123"/>
      </w:r>
    </w:p>
    <w:p w:rsidR="005334D7" w:rsidRPr="006F6DF8" w:rsidRDefault="005334D7" w:rsidP="0012021D">
      <w:pPr>
        <w:jc w:val="left"/>
        <w:rPr>
          <w:rFonts w:asciiTheme="minorHAnsi" w:hAnsiTheme="minorHAnsi" w:cstheme="minorHAnsi"/>
          <w:b w:val="0"/>
          <w:sz w:val="22"/>
          <w:szCs w:val="22"/>
        </w:rPr>
      </w:pPr>
    </w:p>
    <w:p w:rsidR="0088761A" w:rsidRPr="006F6DF8" w:rsidRDefault="004B68B2" w:rsidP="0012021D">
      <w:pPr>
        <w:jc w:val="left"/>
        <w:rPr>
          <w:rFonts w:asciiTheme="minorHAnsi" w:hAnsiTheme="minorHAnsi" w:cstheme="minorHAnsi"/>
          <w:b w:val="0"/>
          <w:sz w:val="22"/>
          <w:szCs w:val="22"/>
        </w:rPr>
      </w:pPr>
      <w:r w:rsidRPr="006F6DF8">
        <w:rPr>
          <w:rFonts w:asciiTheme="minorHAnsi" w:hAnsiTheme="minorHAnsi" w:cstheme="minorHAnsi"/>
          <w:b w:val="0"/>
          <w:sz w:val="22"/>
          <w:szCs w:val="22"/>
        </w:rPr>
        <w:t>Als toevoeging aan het arrest Mulder is in 2007 bepaald dat i</w:t>
      </w:r>
      <w:r w:rsidR="005334D7" w:rsidRPr="006F6DF8">
        <w:rPr>
          <w:rFonts w:asciiTheme="minorHAnsi" w:hAnsiTheme="minorHAnsi" w:cstheme="minorHAnsi"/>
          <w:b w:val="0"/>
          <w:sz w:val="22"/>
          <w:szCs w:val="22"/>
        </w:rPr>
        <w:t xml:space="preserve">ndien men stil verpande vorderingen bezit en deze, zonder mededeling van de pandrechten te hebben gedaan, verrekend in het zicht van een faillissement of na het faillissement men niet in strijd met artikel 54 </w:t>
      </w:r>
      <w:proofErr w:type="spellStart"/>
      <w:r w:rsidR="005334D7"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handelt</w:t>
      </w:r>
      <w:r w:rsidR="005334D7" w:rsidRPr="006F6DF8">
        <w:rPr>
          <w:rFonts w:asciiTheme="minorHAnsi" w:hAnsiTheme="minorHAnsi" w:cstheme="minorHAnsi"/>
          <w:b w:val="0"/>
          <w:sz w:val="22"/>
          <w:szCs w:val="22"/>
        </w:rPr>
        <w:t>.</w:t>
      </w:r>
      <w:r w:rsidR="005334D7" w:rsidRPr="006F6DF8">
        <w:rPr>
          <w:rStyle w:val="Voetnootmarkering"/>
          <w:rFonts w:asciiTheme="minorHAnsi" w:hAnsiTheme="minorHAnsi" w:cstheme="minorHAnsi"/>
          <w:b w:val="0"/>
          <w:sz w:val="22"/>
          <w:szCs w:val="22"/>
        </w:rPr>
        <w:footnoteReference w:id="124"/>
      </w:r>
      <w:r w:rsidRPr="006F6DF8">
        <w:rPr>
          <w:rFonts w:asciiTheme="minorHAnsi" w:hAnsiTheme="minorHAnsi" w:cstheme="minorHAnsi"/>
          <w:b w:val="0"/>
          <w:sz w:val="22"/>
          <w:szCs w:val="22"/>
        </w:rPr>
        <w:t xml:space="preserve"> Dit bekrachtigd nogmaals dat het hebben van stille pandrechten op basis waarvan verrekend wordt is toegestaan volgens de rechtspraak.</w:t>
      </w:r>
    </w:p>
    <w:p w:rsidR="005334D7" w:rsidRPr="006F6DF8" w:rsidRDefault="005334D7" w:rsidP="0012021D">
      <w:pPr>
        <w:jc w:val="left"/>
        <w:rPr>
          <w:rFonts w:asciiTheme="minorHAnsi" w:hAnsiTheme="minorHAnsi" w:cstheme="minorHAnsi"/>
          <w:b w:val="0"/>
          <w:sz w:val="22"/>
          <w:szCs w:val="22"/>
        </w:rPr>
      </w:pPr>
    </w:p>
    <w:p w:rsidR="005334D7" w:rsidRPr="006F6DF8" w:rsidRDefault="006E57F2" w:rsidP="005334D7">
      <w:pPr>
        <w:jc w:val="left"/>
        <w:rPr>
          <w:rFonts w:asciiTheme="minorHAnsi" w:hAnsiTheme="minorHAnsi" w:cstheme="minorHAnsi"/>
          <w:b w:val="0"/>
          <w:sz w:val="22"/>
          <w:szCs w:val="22"/>
        </w:rPr>
      </w:pPr>
      <w:r w:rsidRPr="006F6DF8">
        <w:rPr>
          <w:rFonts w:asciiTheme="minorHAnsi" w:hAnsiTheme="minorHAnsi" w:cstheme="minorHAnsi"/>
          <w:b w:val="0"/>
          <w:sz w:val="22"/>
          <w:szCs w:val="22"/>
        </w:rPr>
        <w:t>§2.3.5 Beroep door curator</w:t>
      </w:r>
    </w:p>
    <w:p w:rsidR="005334D7" w:rsidRPr="006F6DF8" w:rsidRDefault="006E57F2" w:rsidP="005334D7">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Niet iedereen kan een beroep doen op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Zo is deze mogelijkheid er niet voor schuldeisers. Alleen de curator kan</w:t>
      </w:r>
      <w:r w:rsidR="005334D7" w:rsidRPr="006F6DF8">
        <w:rPr>
          <w:rFonts w:asciiTheme="minorHAnsi" w:hAnsiTheme="minorHAnsi" w:cstheme="minorHAnsi"/>
          <w:b w:val="0"/>
          <w:sz w:val="22"/>
          <w:szCs w:val="22"/>
        </w:rPr>
        <w:t xml:space="preserve"> een beroep op artikel 54 </w:t>
      </w:r>
      <w:proofErr w:type="spellStart"/>
      <w:r w:rsidR="005334D7" w:rsidRPr="006F6DF8">
        <w:rPr>
          <w:rFonts w:asciiTheme="minorHAnsi" w:hAnsiTheme="minorHAnsi" w:cstheme="minorHAnsi"/>
          <w:b w:val="0"/>
          <w:sz w:val="22"/>
          <w:szCs w:val="22"/>
        </w:rPr>
        <w:t>Fw</w:t>
      </w:r>
      <w:proofErr w:type="spellEnd"/>
      <w:r w:rsidR="005334D7" w:rsidRPr="006F6DF8">
        <w:rPr>
          <w:rFonts w:asciiTheme="minorHAnsi" w:hAnsiTheme="minorHAnsi" w:cstheme="minorHAnsi"/>
          <w:b w:val="0"/>
          <w:sz w:val="22"/>
          <w:szCs w:val="22"/>
        </w:rPr>
        <w:t xml:space="preserve"> </w:t>
      </w:r>
      <w:r w:rsidRPr="006F6DF8">
        <w:rPr>
          <w:rFonts w:asciiTheme="minorHAnsi" w:hAnsiTheme="minorHAnsi" w:cstheme="minorHAnsi"/>
          <w:b w:val="0"/>
          <w:sz w:val="22"/>
          <w:szCs w:val="22"/>
        </w:rPr>
        <w:t xml:space="preserve">doen. </w:t>
      </w:r>
      <w:r w:rsidR="00765782" w:rsidRPr="006F6DF8">
        <w:rPr>
          <w:rFonts w:asciiTheme="minorHAnsi" w:hAnsiTheme="minorHAnsi" w:cstheme="minorHAnsi"/>
          <w:b w:val="0"/>
          <w:sz w:val="22"/>
          <w:szCs w:val="22"/>
        </w:rPr>
        <w:t xml:space="preserve">Daarbij kan </w:t>
      </w:r>
      <w:r w:rsidR="005334D7" w:rsidRPr="006F6DF8">
        <w:rPr>
          <w:rFonts w:asciiTheme="minorHAnsi" w:hAnsiTheme="minorHAnsi" w:cstheme="minorHAnsi"/>
          <w:b w:val="0"/>
          <w:sz w:val="22"/>
          <w:szCs w:val="22"/>
        </w:rPr>
        <w:t xml:space="preserve">de curator </w:t>
      </w:r>
      <w:r w:rsidR="00765782" w:rsidRPr="006F6DF8">
        <w:rPr>
          <w:rFonts w:asciiTheme="minorHAnsi" w:hAnsiTheme="minorHAnsi" w:cstheme="minorHAnsi"/>
          <w:b w:val="0"/>
          <w:sz w:val="22"/>
          <w:szCs w:val="22"/>
        </w:rPr>
        <w:t xml:space="preserve">alleen een beroep op artikel 54 </w:t>
      </w:r>
      <w:proofErr w:type="spellStart"/>
      <w:r w:rsidR="00765782" w:rsidRPr="006F6DF8">
        <w:rPr>
          <w:rFonts w:asciiTheme="minorHAnsi" w:hAnsiTheme="minorHAnsi" w:cstheme="minorHAnsi"/>
          <w:b w:val="0"/>
          <w:sz w:val="22"/>
          <w:szCs w:val="22"/>
        </w:rPr>
        <w:t>Fw</w:t>
      </w:r>
      <w:proofErr w:type="spellEnd"/>
      <w:r w:rsidR="00765782" w:rsidRPr="006F6DF8">
        <w:rPr>
          <w:rFonts w:asciiTheme="minorHAnsi" w:hAnsiTheme="minorHAnsi" w:cstheme="minorHAnsi"/>
          <w:b w:val="0"/>
          <w:sz w:val="22"/>
          <w:szCs w:val="22"/>
        </w:rPr>
        <w:t xml:space="preserve"> doen </w:t>
      </w:r>
      <w:r w:rsidR="005334D7" w:rsidRPr="006F6DF8">
        <w:rPr>
          <w:rFonts w:asciiTheme="minorHAnsi" w:hAnsiTheme="minorHAnsi" w:cstheme="minorHAnsi"/>
          <w:b w:val="0"/>
          <w:sz w:val="22"/>
          <w:szCs w:val="22"/>
        </w:rPr>
        <w:t>ten gunste van meerdere schuldeisers.</w:t>
      </w:r>
      <w:r w:rsidR="00765782" w:rsidRPr="006F6DF8">
        <w:rPr>
          <w:rFonts w:asciiTheme="minorHAnsi" w:hAnsiTheme="minorHAnsi" w:cstheme="minorHAnsi"/>
          <w:b w:val="0"/>
          <w:sz w:val="22"/>
          <w:szCs w:val="22"/>
        </w:rPr>
        <w:t xml:space="preserve"> Er dient zodoende pluraliteit van schuldeisers te zijn om</w:t>
      </w:r>
      <w:r w:rsidR="00C35972" w:rsidRPr="006F6DF8">
        <w:rPr>
          <w:rFonts w:asciiTheme="minorHAnsi" w:hAnsiTheme="minorHAnsi" w:cstheme="minorHAnsi"/>
          <w:b w:val="0"/>
          <w:sz w:val="22"/>
          <w:szCs w:val="22"/>
        </w:rPr>
        <w:t xml:space="preserve"> een beroep te doen op</w:t>
      </w:r>
      <w:r w:rsidR="00765782" w:rsidRPr="006F6DF8">
        <w:rPr>
          <w:rFonts w:asciiTheme="minorHAnsi" w:hAnsiTheme="minorHAnsi" w:cstheme="minorHAnsi"/>
          <w:b w:val="0"/>
          <w:sz w:val="22"/>
          <w:szCs w:val="22"/>
        </w:rPr>
        <w:t xml:space="preserve"> artikel 54 </w:t>
      </w:r>
      <w:proofErr w:type="spellStart"/>
      <w:r w:rsidR="00C35972" w:rsidRPr="006F6DF8">
        <w:rPr>
          <w:rFonts w:asciiTheme="minorHAnsi" w:hAnsiTheme="minorHAnsi" w:cstheme="minorHAnsi"/>
          <w:b w:val="0"/>
          <w:sz w:val="22"/>
          <w:szCs w:val="22"/>
        </w:rPr>
        <w:t>Fw</w:t>
      </w:r>
      <w:proofErr w:type="spellEnd"/>
      <w:r w:rsidR="00C35972" w:rsidRPr="006F6DF8">
        <w:rPr>
          <w:rFonts w:asciiTheme="minorHAnsi" w:hAnsiTheme="minorHAnsi" w:cstheme="minorHAnsi"/>
          <w:b w:val="0"/>
          <w:sz w:val="22"/>
          <w:szCs w:val="22"/>
        </w:rPr>
        <w:t xml:space="preserve"> en de </w:t>
      </w:r>
      <w:r w:rsidR="003B5CB6" w:rsidRPr="006F6DF8">
        <w:rPr>
          <w:rFonts w:asciiTheme="minorHAnsi" w:hAnsiTheme="minorHAnsi" w:cstheme="minorHAnsi"/>
          <w:b w:val="0"/>
          <w:sz w:val="22"/>
          <w:szCs w:val="22"/>
        </w:rPr>
        <w:t xml:space="preserve">te </w:t>
      </w:r>
      <w:r w:rsidR="00C35972" w:rsidRPr="006F6DF8">
        <w:rPr>
          <w:rFonts w:asciiTheme="minorHAnsi" w:hAnsiTheme="minorHAnsi" w:cstheme="minorHAnsi"/>
          <w:b w:val="0"/>
          <w:sz w:val="22"/>
          <w:szCs w:val="22"/>
        </w:rPr>
        <w:t>goeder trouw regel.</w:t>
      </w:r>
      <w:r w:rsidR="005334D7" w:rsidRPr="006F6DF8">
        <w:rPr>
          <w:rStyle w:val="Voetnootmarkering"/>
          <w:rFonts w:asciiTheme="minorHAnsi" w:hAnsiTheme="minorHAnsi" w:cstheme="minorHAnsi"/>
          <w:b w:val="0"/>
          <w:sz w:val="22"/>
          <w:szCs w:val="22"/>
        </w:rPr>
        <w:footnoteReference w:id="125"/>
      </w:r>
    </w:p>
    <w:p w:rsidR="00292CFA" w:rsidRPr="006F6DF8" w:rsidRDefault="00292CFA" w:rsidP="0012021D">
      <w:pPr>
        <w:jc w:val="left"/>
        <w:rPr>
          <w:rFonts w:asciiTheme="minorHAnsi" w:hAnsiTheme="minorHAnsi" w:cstheme="minorHAnsi"/>
          <w:b w:val="0"/>
          <w:sz w:val="22"/>
          <w:szCs w:val="22"/>
        </w:rPr>
      </w:pPr>
    </w:p>
    <w:p w:rsidR="003B5CB6" w:rsidRPr="006F6DF8" w:rsidRDefault="003B5CB6" w:rsidP="0012021D">
      <w:pPr>
        <w:jc w:val="left"/>
        <w:rPr>
          <w:rFonts w:asciiTheme="minorHAnsi" w:hAnsiTheme="minorHAnsi" w:cstheme="minorHAnsi"/>
          <w:b w:val="0"/>
          <w:sz w:val="22"/>
          <w:szCs w:val="22"/>
        </w:rPr>
      </w:pPr>
      <w:r w:rsidRPr="006F6DF8">
        <w:rPr>
          <w:rFonts w:asciiTheme="minorHAnsi" w:hAnsiTheme="minorHAnsi" w:cstheme="minorHAnsi"/>
          <w:b w:val="0"/>
          <w:sz w:val="22"/>
          <w:szCs w:val="22"/>
        </w:rPr>
        <w:t>§2.3.6 Kortom</w:t>
      </w:r>
    </w:p>
    <w:p w:rsidR="003B5CB6" w:rsidRPr="006F6DF8" w:rsidRDefault="00876F94" w:rsidP="0012021D">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In de literatuur is bepaald dat het begrip ‘overnemen’ in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ruimer moet worden uitgelegd, zo wordt mede bepaald door het Gerechtshof in 2013.</w:t>
      </w:r>
      <w:r w:rsidR="009A1C40" w:rsidRPr="006F6DF8">
        <w:rPr>
          <w:rFonts w:asciiTheme="minorHAnsi" w:hAnsiTheme="minorHAnsi" w:cstheme="minorHAnsi"/>
          <w:b w:val="0"/>
          <w:sz w:val="22"/>
          <w:szCs w:val="22"/>
        </w:rPr>
        <w:t xml:space="preserve"> </w:t>
      </w:r>
      <w:r w:rsidR="00AF33C5" w:rsidRPr="006F6DF8">
        <w:rPr>
          <w:rFonts w:asciiTheme="minorHAnsi" w:hAnsiTheme="minorHAnsi" w:cstheme="minorHAnsi"/>
          <w:b w:val="0"/>
          <w:sz w:val="22"/>
          <w:szCs w:val="22"/>
        </w:rPr>
        <w:t>Uit het onderzoek in bijlage 1 is gebleken dat d</w:t>
      </w:r>
      <w:r w:rsidR="009A1C40" w:rsidRPr="006F6DF8">
        <w:rPr>
          <w:rFonts w:asciiTheme="minorHAnsi" w:hAnsiTheme="minorHAnsi" w:cstheme="minorHAnsi"/>
          <w:b w:val="0"/>
          <w:sz w:val="22"/>
          <w:szCs w:val="22"/>
        </w:rPr>
        <w:t xml:space="preserve">e Hoge Raad de uitleg van het Hof </w:t>
      </w:r>
      <w:r w:rsidR="0069202B" w:rsidRPr="006F6DF8">
        <w:rPr>
          <w:rFonts w:asciiTheme="minorHAnsi" w:hAnsiTheme="minorHAnsi" w:cstheme="minorHAnsi"/>
          <w:b w:val="0"/>
          <w:sz w:val="22"/>
          <w:szCs w:val="22"/>
        </w:rPr>
        <w:t>en de literatuur verwerpt</w:t>
      </w:r>
      <w:r w:rsidR="0011358E" w:rsidRPr="006F6DF8">
        <w:rPr>
          <w:rFonts w:asciiTheme="minorHAnsi" w:hAnsiTheme="minorHAnsi" w:cstheme="minorHAnsi"/>
          <w:b w:val="0"/>
          <w:sz w:val="22"/>
          <w:szCs w:val="22"/>
        </w:rPr>
        <w:t>. De Hoge Raad</w:t>
      </w:r>
      <w:r w:rsidR="009A1C40" w:rsidRPr="006F6DF8">
        <w:rPr>
          <w:rFonts w:asciiTheme="minorHAnsi" w:hAnsiTheme="minorHAnsi" w:cstheme="minorHAnsi"/>
          <w:b w:val="0"/>
          <w:sz w:val="22"/>
          <w:szCs w:val="22"/>
        </w:rPr>
        <w:t xml:space="preserve"> geeft aan dat het sluiten van overeenkomsten niet onder artikel 54 </w:t>
      </w:r>
      <w:proofErr w:type="spellStart"/>
      <w:r w:rsidR="009A1C40" w:rsidRPr="006F6DF8">
        <w:rPr>
          <w:rFonts w:asciiTheme="minorHAnsi" w:hAnsiTheme="minorHAnsi" w:cstheme="minorHAnsi"/>
          <w:b w:val="0"/>
          <w:sz w:val="22"/>
          <w:szCs w:val="22"/>
        </w:rPr>
        <w:t>Fw</w:t>
      </w:r>
      <w:proofErr w:type="spellEnd"/>
      <w:r w:rsidR="009A1C40" w:rsidRPr="006F6DF8">
        <w:rPr>
          <w:rFonts w:asciiTheme="minorHAnsi" w:hAnsiTheme="minorHAnsi" w:cstheme="minorHAnsi"/>
          <w:b w:val="0"/>
          <w:sz w:val="22"/>
          <w:szCs w:val="22"/>
        </w:rPr>
        <w:t xml:space="preserve"> v</w:t>
      </w:r>
      <w:r w:rsidR="0011358E" w:rsidRPr="006F6DF8">
        <w:rPr>
          <w:rFonts w:asciiTheme="minorHAnsi" w:hAnsiTheme="minorHAnsi" w:cstheme="minorHAnsi"/>
          <w:b w:val="0"/>
          <w:sz w:val="22"/>
          <w:szCs w:val="22"/>
        </w:rPr>
        <w:t xml:space="preserve">alt. Artikel 54 </w:t>
      </w:r>
      <w:proofErr w:type="spellStart"/>
      <w:r w:rsidR="0011358E" w:rsidRPr="006F6DF8">
        <w:rPr>
          <w:rFonts w:asciiTheme="minorHAnsi" w:hAnsiTheme="minorHAnsi" w:cstheme="minorHAnsi"/>
          <w:b w:val="0"/>
          <w:sz w:val="22"/>
          <w:szCs w:val="22"/>
        </w:rPr>
        <w:t>Fw</w:t>
      </w:r>
      <w:proofErr w:type="spellEnd"/>
      <w:r w:rsidR="0011358E" w:rsidRPr="006F6DF8">
        <w:rPr>
          <w:rFonts w:asciiTheme="minorHAnsi" w:hAnsiTheme="minorHAnsi" w:cstheme="minorHAnsi"/>
          <w:b w:val="0"/>
          <w:sz w:val="22"/>
          <w:szCs w:val="22"/>
        </w:rPr>
        <w:t xml:space="preserve"> heeft volgens</w:t>
      </w:r>
      <w:r w:rsidR="009A1C40" w:rsidRPr="006F6DF8">
        <w:rPr>
          <w:rFonts w:asciiTheme="minorHAnsi" w:hAnsiTheme="minorHAnsi" w:cstheme="minorHAnsi"/>
          <w:b w:val="0"/>
          <w:sz w:val="22"/>
          <w:szCs w:val="22"/>
        </w:rPr>
        <w:t xml:space="preserve"> de Hoge Raad slechts betrekking op het overnemen van vorderingen van derden, zoals ook letterlijk in het artikel staat. Artikel 54 </w:t>
      </w:r>
      <w:proofErr w:type="spellStart"/>
      <w:r w:rsidR="009A1C40" w:rsidRPr="006F6DF8">
        <w:rPr>
          <w:rFonts w:asciiTheme="minorHAnsi" w:hAnsiTheme="minorHAnsi" w:cstheme="minorHAnsi"/>
          <w:b w:val="0"/>
          <w:sz w:val="22"/>
          <w:szCs w:val="22"/>
        </w:rPr>
        <w:t>Fw</w:t>
      </w:r>
      <w:proofErr w:type="spellEnd"/>
      <w:r w:rsidR="009A1C40" w:rsidRPr="006F6DF8">
        <w:rPr>
          <w:rFonts w:asciiTheme="minorHAnsi" w:hAnsiTheme="minorHAnsi" w:cstheme="minorHAnsi"/>
          <w:b w:val="0"/>
          <w:sz w:val="22"/>
          <w:szCs w:val="22"/>
        </w:rPr>
        <w:t xml:space="preserve"> heeft zodoende alleen betrekking op het niet te goeder trouw overnemen van vorderingen van derden. </w:t>
      </w:r>
    </w:p>
    <w:p w:rsidR="00C40341" w:rsidRPr="006F6DF8" w:rsidRDefault="00C40341" w:rsidP="0012021D">
      <w:pPr>
        <w:jc w:val="left"/>
        <w:rPr>
          <w:rFonts w:asciiTheme="minorHAnsi" w:hAnsiTheme="minorHAnsi" w:cstheme="minorHAnsi"/>
          <w:b w:val="0"/>
          <w:sz w:val="22"/>
          <w:szCs w:val="22"/>
        </w:rPr>
      </w:pPr>
    </w:p>
    <w:p w:rsidR="00C40341" w:rsidRPr="006F6DF8" w:rsidRDefault="00C40341" w:rsidP="0012021D">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Voor een beroep op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is tevens van belang is dat de bank zich ten opzichte van andere schuldeisers in een betere positie brengt. Als dit niet het geval is kan geen beroep op het artikel worden gedaan. Daarbij kan </w:t>
      </w:r>
      <w:r w:rsidR="00315E7F" w:rsidRPr="006F6DF8">
        <w:rPr>
          <w:rFonts w:asciiTheme="minorHAnsi" w:hAnsiTheme="minorHAnsi" w:cstheme="minorHAnsi"/>
          <w:b w:val="0"/>
          <w:sz w:val="22"/>
          <w:szCs w:val="22"/>
        </w:rPr>
        <w:t xml:space="preserve">alleen </w:t>
      </w:r>
      <w:r w:rsidRPr="006F6DF8">
        <w:rPr>
          <w:rFonts w:asciiTheme="minorHAnsi" w:hAnsiTheme="minorHAnsi" w:cstheme="minorHAnsi"/>
          <w:b w:val="0"/>
          <w:sz w:val="22"/>
          <w:szCs w:val="22"/>
        </w:rPr>
        <w:t xml:space="preserve">de curator een beroep op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doen ten gunste van meerdere schuldeisers.</w:t>
      </w:r>
    </w:p>
    <w:p w:rsidR="009E2FA1" w:rsidRPr="006F6DF8" w:rsidRDefault="009E2FA1" w:rsidP="0012021D">
      <w:pPr>
        <w:jc w:val="left"/>
        <w:rPr>
          <w:rFonts w:asciiTheme="minorHAnsi" w:hAnsiTheme="minorHAnsi" w:cstheme="minorHAnsi"/>
          <w:b w:val="0"/>
          <w:sz w:val="22"/>
          <w:szCs w:val="22"/>
        </w:rPr>
      </w:pPr>
    </w:p>
    <w:p w:rsidR="00CD3AD8" w:rsidRPr="006F6DF8" w:rsidRDefault="00CE6C4C" w:rsidP="0012021D">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Een andere uitsluiting voor de toepassing van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is de volgende. </w:t>
      </w:r>
      <w:r w:rsidR="009E2FA1" w:rsidRPr="006F6DF8">
        <w:rPr>
          <w:rFonts w:asciiTheme="minorHAnsi" w:hAnsiTheme="minorHAnsi" w:cstheme="minorHAnsi"/>
          <w:b w:val="0"/>
          <w:sz w:val="22"/>
          <w:szCs w:val="22"/>
        </w:rPr>
        <w:t xml:space="preserve">Wanneer er een ‘gewone’ betaling wordt gedaan van de pandgever aan de pandhouder, niet zijnde op de rekening van de pandgever bij de pandhouder, dan geldt het niet als verrekenen en is artikel 54 </w:t>
      </w:r>
      <w:proofErr w:type="spellStart"/>
      <w:r w:rsidR="009E2FA1" w:rsidRPr="006F6DF8">
        <w:rPr>
          <w:rFonts w:asciiTheme="minorHAnsi" w:hAnsiTheme="minorHAnsi" w:cstheme="minorHAnsi"/>
          <w:b w:val="0"/>
          <w:sz w:val="22"/>
          <w:szCs w:val="22"/>
        </w:rPr>
        <w:t>Fw</w:t>
      </w:r>
      <w:proofErr w:type="spellEnd"/>
      <w:r w:rsidR="009E2FA1" w:rsidRPr="006F6DF8">
        <w:rPr>
          <w:rFonts w:asciiTheme="minorHAnsi" w:hAnsiTheme="minorHAnsi" w:cstheme="minorHAnsi"/>
          <w:b w:val="0"/>
          <w:sz w:val="22"/>
          <w:szCs w:val="22"/>
        </w:rPr>
        <w:t xml:space="preserve"> niet van toepassing. </w:t>
      </w:r>
      <w:r w:rsidR="00AA7141" w:rsidRPr="006F6DF8">
        <w:rPr>
          <w:rFonts w:asciiTheme="minorHAnsi" w:hAnsiTheme="minorHAnsi" w:cstheme="minorHAnsi"/>
          <w:b w:val="0"/>
          <w:sz w:val="22"/>
          <w:szCs w:val="22"/>
        </w:rPr>
        <w:t>Verder mag er o</w:t>
      </w:r>
      <w:r w:rsidR="00CD3AD8" w:rsidRPr="006F6DF8">
        <w:rPr>
          <w:rFonts w:asciiTheme="minorHAnsi" w:hAnsiTheme="minorHAnsi" w:cstheme="minorHAnsi"/>
          <w:b w:val="0"/>
          <w:sz w:val="22"/>
          <w:szCs w:val="22"/>
        </w:rPr>
        <w:t xml:space="preserve">p grond van artikel 54 lid 2 </w:t>
      </w:r>
      <w:proofErr w:type="spellStart"/>
      <w:r w:rsidR="00CD3AD8" w:rsidRPr="006F6DF8">
        <w:rPr>
          <w:rFonts w:asciiTheme="minorHAnsi" w:hAnsiTheme="minorHAnsi" w:cstheme="minorHAnsi"/>
          <w:b w:val="0"/>
          <w:sz w:val="22"/>
          <w:szCs w:val="22"/>
        </w:rPr>
        <w:t>Fw</w:t>
      </w:r>
      <w:proofErr w:type="spellEnd"/>
      <w:r w:rsidR="00CD3AD8" w:rsidRPr="006F6DF8">
        <w:rPr>
          <w:rFonts w:asciiTheme="minorHAnsi" w:hAnsiTheme="minorHAnsi" w:cstheme="minorHAnsi"/>
          <w:b w:val="0"/>
          <w:sz w:val="22"/>
          <w:szCs w:val="22"/>
        </w:rPr>
        <w:t xml:space="preserve"> niet verrekend worden indien een vordering wordt overgenomen na de faillietverklaring. Daar kan zelfs een pandrecht geen verandering in brengen.</w:t>
      </w:r>
    </w:p>
    <w:p w:rsidR="00CD3AD8" w:rsidRPr="006F6DF8" w:rsidRDefault="00CD3AD8" w:rsidP="0012021D">
      <w:pPr>
        <w:jc w:val="left"/>
        <w:rPr>
          <w:rFonts w:asciiTheme="minorHAnsi" w:hAnsiTheme="minorHAnsi" w:cstheme="minorHAnsi"/>
          <w:b w:val="0"/>
          <w:sz w:val="22"/>
          <w:szCs w:val="22"/>
        </w:rPr>
      </w:pPr>
    </w:p>
    <w:p w:rsidR="00CD3AD8" w:rsidRPr="006F6DF8" w:rsidRDefault="00CD3AD8" w:rsidP="0012021D">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Tot slot kan het arrest Mulder q.q./CLBN niet worden ingeroepen indien de verpande vordering gelijkgesteld wordt met een niet te goeder trouw overgenomen schuld als bedoeld in artikel 54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w:t>
      </w:r>
      <w:r w:rsidR="00AA2B92" w:rsidRPr="006F6DF8">
        <w:rPr>
          <w:rFonts w:asciiTheme="minorHAnsi" w:hAnsiTheme="minorHAnsi" w:cstheme="minorHAnsi"/>
          <w:b w:val="0"/>
          <w:sz w:val="22"/>
          <w:szCs w:val="22"/>
        </w:rPr>
        <w:t xml:space="preserve"> Zodoende kan artikel 54 </w:t>
      </w:r>
      <w:proofErr w:type="spellStart"/>
      <w:r w:rsidR="00AA2B92" w:rsidRPr="006F6DF8">
        <w:rPr>
          <w:rFonts w:asciiTheme="minorHAnsi" w:hAnsiTheme="minorHAnsi" w:cstheme="minorHAnsi"/>
          <w:b w:val="0"/>
          <w:sz w:val="22"/>
          <w:szCs w:val="22"/>
        </w:rPr>
        <w:t>Fw</w:t>
      </w:r>
      <w:proofErr w:type="spellEnd"/>
      <w:r w:rsidR="00AA2B92" w:rsidRPr="006F6DF8">
        <w:rPr>
          <w:rFonts w:asciiTheme="minorHAnsi" w:hAnsiTheme="minorHAnsi" w:cstheme="minorHAnsi"/>
          <w:b w:val="0"/>
          <w:sz w:val="22"/>
          <w:szCs w:val="22"/>
        </w:rPr>
        <w:t xml:space="preserve"> een beroep op Mulder in de weg staan. Echter, zoals de Hoge Raad in 2013 heeft bepaald lijkt alleen het niet te goeder trouw overnemen van een vordering van een derde onder artikel 54 </w:t>
      </w:r>
      <w:proofErr w:type="spellStart"/>
      <w:r w:rsidR="00AA2B92" w:rsidRPr="006F6DF8">
        <w:rPr>
          <w:rFonts w:asciiTheme="minorHAnsi" w:hAnsiTheme="minorHAnsi" w:cstheme="minorHAnsi"/>
          <w:b w:val="0"/>
          <w:sz w:val="22"/>
          <w:szCs w:val="22"/>
        </w:rPr>
        <w:t>Fw</w:t>
      </w:r>
      <w:proofErr w:type="spellEnd"/>
      <w:r w:rsidR="00AA2B92" w:rsidRPr="006F6DF8">
        <w:rPr>
          <w:rFonts w:asciiTheme="minorHAnsi" w:hAnsiTheme="minorHAnsi" w:cstheme="minorHAnsi"/>
          <w:b w:val="0"/>
          <w:sz w:val="22"/>
          <w:szCs w:val="22"/>
        </w:rPr>
        <w:t xml:space="preserve"> te vallen</w:t>
      </w:r>
      <w:r w:rsidR="00E61967" w:rsidRPr="006F6DF8">
        <w:rPr>
          <w:rFonts w:asciiTheme="minorHAnsi" w:hAnsiTheme="minorHAnsi" w:cstheme="minorHAnsi"/>
          <w:b w:val="0"/>
          <w:sz w:val="22"/>
          <w:szCs w:val="22"/>
        </w:rPr>
        <w:t xml:space="preserve"> en verrekening in de weg te staan</w:t>
      </w:r>
      <w:r w:rsidR="00AA2B92" w:rsidRPr="006F6DF8">
        <w:rPr>
          <w:rFonts w:asciiTheme="minorHAnsi" w:hAnsiTheme="minorHAnsi" w:cstheme="minorHAnsi"/>
          <w:b w:val="0"/>
          <w:sz w:val="22"/>
          <w:szCs w:val="22"/>
        </w:rPr>
        <w:t xml:space="preserve">. Zo lang de vordering met het daarop rustende </w:t>
      </w:r>
      <w:r w:rsidR="007641C2" w:rsidRPr="006F6DF8">
        <w:rPr>
          <w:rFonts w:asciiTheme="minorHAnsi" w:hAnsiTheme="minorHAnsi" w:cstheme="minorHAnsi"/>
          <w:b w:val="0"/>
          <w:sz w:val="22"/>
          <w:szCs w:val="22"/>
        </w:rPr>
        <w:t xml:space="preserve">pandrecht </w:t>
      </w:r>
      <w:r w:rsidR="00392EE4" w:rsidRPr="006F6DF8">
        <w:rPr>
          <w:rFonts w:asciiTheme="minorHAnsi" w:hAnsiTheme="minorHAnsi" w:cstheme="minorHAnsi"/>
          <w:b w:val="0"/>
          <w:sz w:val="22"/>
          <w:szCs w:val="22"/>
        </w:rPr>
        <w:t>al</w:t>
      </w:r>
      <w:r w:rsidR="00AA2B92" w:rsidRPr="006F6DF8">
        <w:rPr>
          <w:rFonts w:asciiTheme="minorHAnsi" w:hAnsiTheme="minorHAnsi" w:cstheme="minorHAnsi"/>
          <w:b w:val="0"/>
          <w:sz w:val="22"/>
          <w:szCs w:val="22"/>
        </w:rPr>
        <w:t xml:space="preserve"> in het bezit was van de pandhouder </w:t>
      </w:r>
      <w:r w:rsidR="00392EE4" w:rsidRPr="006F6DF8">
        <w:rPr>
          <w:rFonts w:asciiTheme="minorHAnsi" w:hAnsiTheme="minorHAnsi" w:cstheme="minorHAnsi"/>
          <w:b w:val="0"/>
          <w:sz w:val="22"/>
          <w:szCs w:val="22"/>
        </w:rPr>
        <w:t>en er geen sprake is van overname</w:t>
      </w:r>
      <w:r w:rsidR="007B0B7E" w:rsidRPr="006F6DF8">
        <w:rPr>
          <w:rFonts w:asciiTheme="minorHAnsi" w:hAnsiTheme="minorHAnsi" w:cstheme="minorHAnsi"/>
          <w:b w:val="0"/>
          <w:sz w:val="22"/>
          <w:szCs w:val="22"/>
        </w:rPr>
        <w:t>,</w:t>
      </w:r>
      <w:r w:rsidR="00392EE4" w:rsidRPr="006F6DF8">
        <w:rPr>
          <w:rFonts w:asciiTheme="minorHAnsi" w:hAnsiTheme="minorHAnsi" w:cstheme="minorHAnsi"/>
          <w:b w:val="0"/>
          <w:sz w:val="22"/>
          <w:szCs w:val="22"/>
        </w:rPr>
        <w:t xml:space="preserve"> </w:t>
      </w:r>
      <w:r w:rsidR="00AA2B92" w:rsidRPr="006F6DF8">
        <w:rPr>
          <w:rFonts w:asciiTheme="minorHAnsi" w:hAnsiTheme="minorHAnsi" w:cstheme="minorHAnsi"/>
          <w:b w:val="0"/>
          <w:sz w:val="22"/>
          <w:szCs w:val="22"/>
        </w:rPr>
        <w:t>kan er verrekend worden met dat pandrecht</w:t>
      </w:r>
      <w:r w:rsidR="00B16577" w:rsidRPr="006F6DF8">
        <w:rPr>
          <w:rFonts w:asciiTheme="minorHAnsi" w:hAnsiTheme="minorHAnsi" w:cstheme="minorHAnsi"/>
          <w:b w:val="0"/>
          <w:sz w:val="22"/>
          <w:szCs w:val="22"/>
        </w:rPr>
        <w:t xml:space="preserve"> in de zin van artikel 54 </w:t>
      </w:r>
      <w:proofErr w:type="spellStart"/>
      <w:r w:rsidR="00B16577" w:rsidRPr="006F6DF8">
        <w:rPr>
          <w:rFonts w:asciiTheme="minorHAnsi" w:hAnsiTheme="minorHAnsi" w:cstheme="minorHAnsi"/>
          <w:b w:val="0"/>
          <w:sz w:val="22"/>
          <w:szCs w:val="22"/>
        </w:rPr>
        <w:t>Fw</w:t>
      </w:r>
      <w:proofErr w:type="spellEnd"/>
      <w:r w:rsidR="00AA2B92" w:rsidRPr="006F6DF8">
        <w:rPr>
          <w:rFonts w:asciiTheme="minorHAnsi" w:hAnsiTheme="minorHAnsi" w:cstheme="minorHAnsi"/>
          <w:b w:val="0"/>
          <w:sz w:val="22"/>
          <w:szCs w:val="22"/>
        </w:rPr>
        <w:t>.</w:t>
      </w:r>
    </w:p>
    <w:p w:rsidR="005334D7" w:rsidRPr="006F6DF8" w:rsidRDefault="005334D7" w:rsidP="0012021D">
      <w:pPr>
        <w:jc w:val="left"/>
        <w:rPr>
          <w:rFonts w:asciiTheme="minorHAnsi" w:hAnsiTheme="minorHAnsi" w:cstheme="minorHAnsi"/>
          <w:b w:val="0"/>
          <w:sz w:val="22"/>
          <w:szCs w:val="22"/>
        </w:rPr>
      </w:pPr>
    </w:p>
    <w:p w:rsidR="00946B47" w:rsidRPr="006F6DF8" w:rsidRDefault="00DD25A3" w:rsidP="00946B47">
      <w:pPr>
        <w:jc w:val="left"/>
        <w:rPr>
          <w:rFonts w:asciiTheme="minorHAnsi" w:hAnsiTheme="minorHAnsi" w:cstheme="minorHAnsi"/>
          <w:b w:val="0"/>
          <w:sz w:val="22"/>
          <w:szCs w:val="22"/>
          <w:u w:val="single"/>
        </w:rPr>
      </w:pPr>
      <w:r w:rsidRPr="006F6DF8">
        <w:rPr>
          <w:rFonts w:asciiTheme="minorHAnsi" w:hAnsiTheme="minorHAnsi" w:cstheme="minorHAnsi"/>
          <w:b w:val="0"/>
          <w:sz w:val="22"/>
          <w:szCs w:val="22"/>
          <w:u w:val="single"/>
        </w:rPr>
        <w:t xml:space="preserve">§2.4 </w:t>
      </w:r>
      <w:r w:rsidR="00946B47" w:rsidRPr="006F6DF8">
        <w:rPr>
          <w:rFonts w:asciiTheme="minorHAnsi" w:hAnsiTheme="minorHAnsi" w:cstheme="minorHAnsi"/>
          <w:b w:val="0"/>
          <w:sz w:val="22"/>
          <w:szCs w:val="22"/>
          <w:u w:val="single"/>
        </w:rPr>
        <w:t xml:space="preserve">Artikel </w:t>
      </w:r>
      <w:r w:rsidR="00220B05" w:rsidRPr="006F6DF8">
        <w:rPr>
          <w:rFonts w:asciiTheme="minorHAnsi" w:hAnsiTheme="minorHAnsi" w:cstheme="minorHAnsi"/>
          <w:b w:val="0"/>
          <w:sz w:val="22"/>
          <w:szCs w:val="22"/>
          <w:u w:val="single"/>
        </w:rPr>
        <w:t xml:space="preserve">42 en </w:t>
      </w:r>
      <w:r w:rsidR="00946B47" w:rsidRPr="006F6DF8">
        <w:rPr>
          <w:rFonts w:asciiTheme="minorHAnsi" w:hAnsiTheme="minorHAnsi" w:cstheme="minorHAnsi"/>
          <w:b w:val="0"/>
          <w:sz w:val="22"/>
          <w:szCs w:val="22"/>
          <w:u w:val="single"/>
        </w:rPr>
        <w:t xml:space="preserve">47 </w:t>
      </w:r>
      <w:proofErr w:type="spellStart"/>
      <w:r w:rsidR="00946B47" w:rsidRPr="006F6DF8">
        <w:rPr>
          <w:rFonts w:asciiTheme="minorHAnsi" w:hAnsiTheme="minorHAnsi" w:cstheme="minorHAnsi"/>
          <w:b w:val="0"/>
          <w:sz w:val="22"/>
          <w:szCs w:val="22"/>
          <w:u w:val="single"/>
        </w:rPr>
        <w:t>Fw</w:t>
      </w:r>
      <w:proofErr w:type="spellEnd"/>
    </w:p>
    <w:p w:rsidR="00927079" w:rsidRPr="006F6DF8" w:rsidRDefault="00C94F00" w:rsidP="00946B47">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De artikelen 42 en 47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bepalen of er </w:t>
      </w:r>
      <w:r w:rsidR="00927079" w:rsidRPr="006F6DF8">
        <w:rPr>
          <w:rFonts w:asciiTheme="minorHAnsi" w:hAnsiTheme="minorHAnsi" w:cstheme="minorHAnsi"/>
          <w:b w:val="0"/>
          <w:sz w:val="22"/>
          <w:szCs w:val="22"/>
        </w:rPr>
        <w:t xml:space="preserve">nieuwe stille pandrechten </w:t>
      </w:r>
      <w:r w:rsidRPr="006F6DF8">
        <w:rPr>
          <w:rFonts w:asciiTheme="minorHAnsi" w:hAnsiTheme="minorHAnsi" w:cstheme="minorHAnsi"/>
          <w:b w:val="0"/>
          <w:sz w:val="22"/>
          <w:szCs w:val="22"/>
        </w:rPr>
        <w:t>in het zicht van een faillissement gevestigd mogen worden</w:t>
      </w:r>
      <w:r w:rsidR="00927079" w:rsidRPr="006F6DF8">
        <w:rPr>
          <w:rFonts w:asciiTheme="minorHAnsi" w:hAnsiTheme="minorHAnsi" w:cstheme="minorHAnsi"/>
          <w:b w:val="0"/>
          <w:sz w:val="22"/>
          <w:szCs w:val="22"/>
        </w:rPr>
        <w:t xml:space="preserve"> en </w:t>
      </w:r>
      <w:r w:rsidRPr="006F6DF8">
        <w:rPr>
          <w:rFonts w:asciiTheme="minorHAnsi" w:hAnsiTheme="minorHAnsi" w:cstheme="minorHAnsi"/>
          <w:b w:val="0"/>
          <w:sz w:val="22"/>
          <w:szCs w:val="22"/>
        </w:rPr>
        <w:t xml:space="preserve">of </w:t>
      </w:r>
      <w:r w:rsidR="00927079" w:rsidRPr="006F6DF8">
        <w:rPr>
          <w:rFonts w:asciiTheme="minorHAnsi" w:hAnsiTheme="minorHAnsi" w:cstheme="minorHAnsi"/>
          <w:b w:val="0"/>
          <w:sz w:val="22"/>
          <w:szCs w:val="22"/>
        </w:rPr>
        <w:t xml:space="preserve">op basis van deze pandrechten </w:t>
      </w:r>
      <w:r w:rsidRPr="006F6DF8">
        <w:rPr>
          <w:rFonts w:asciiTheme="minorHAnsi" w:hAnsiTheme="minorHAnsi" w:cstheme="minorHAnsi"/>
          <w:b w:val="0"/>
          <w:sz w:val="22"/>
          <w:szCs w:val="22"/>
        </w:rPr>
        <w:t>verrekend mag worden</w:t>
      </w:r>
      <w:r w:rsidR="00927079" w:rsidRPr="006F6DF8">
        <w:rPr>
          <w:rFonts w:asciiTheme="minorHAnsi" w:hAnsiTheme="minorHAnsi" w:cstheme="minorHAnsi"/>
          <w:b w:val="0"/>
          <w:sz w:val="22"/>
          <w:szCs w:val="22"/>
        </w:rPr>
        <w:t xml:space="preserve">. Er mag op grond van artikel 47 </w:t>
      </w:r>
      <w:proofErr w:type="spellStart"/>
      <w:r w:rsidR="00927079" w:rsidRPr="006F6DF8">
        <w:rPr>
          <w:rFonts w:asciiTheme="minorHAnsi" w:hAnsiTheme="minorHAnsi" w:cstheme="minorHAnsi"/>
          <w:b w:val="0"/>
          <w:sz w:val="22"/>
          <w:szCs w:val="22"/>
        </w:rPr>
        <w:t>Fw</w:t>
      </w:r>
      <w:proofErr w:type="spellEnd"/>
      <w:r w:rsidR="00927079" w:rsidRPr="006F6DF8">
        <w:rPr>
          <w:rFonts w:asciiTheme="minorHAnsi" w:hAnsiTheme="minorHAnsi" w:cstheme="minorHAnsi"/>
          <w:b w:val="0"/>
          <w:sz w:val="22"/>
          <w:szCs w:val="22"/>
        </w:rPr>
        <w:t xml:space="preserve"> namelijk geen verrekeningsbevoegdheid worden gecreëerd indien men op de hoogte is van </w:t>
      </w:r>
      <w:r w:rsidR="006E7C31" w:rsidRPr="006F6DF8">
        <w:rPr>
          <w:rFonts w:asciiTheme="minorHAnsi" w:hAnsiTheme="minorHAnsi" w:cstheme="minorHAnsi"/>
          <w:b w:val="0"/>
          <w:sz w:val="22"/>
          <w:szCs w:val="22"/>
        </w:rPr>
        <w:t>een</w:t>
      </w:r>
      <w:r w:rsidR="00927079" w:rsidRPr="006F6DF8">
        <w:rPr>
          <w:rFonts w:asciiTheme="minorHAnsi" w:hAnsiTheme="minorHAnsi" w:cstheme="minorHAnsi"/>
          <w:b w:val="0"/>
          <w:sz w:val="22"/>
          <w:szCs w:val="22"/>
        </w:rPr>
        <w:t xml:space="preserve"> naderend faillissement.</w:t>
      </w:r>
      <w:r w:rsidR="00927079" w:rsidRPr="006F6DF8">
        <w:rPr>
          <w:rStyle w:val="Voetnootmarkering"/>
          <w:rFonts w:asciiTheme="minorHAnsi" w:hAnsiTheme="minorHAnsi" w:cstheme="minorHAnsi"/>
          <w:b w:val="0"/>
          <w:sz w:val="22"/>
          <w:szCs w:val="22"/>
        </w:rPr>
        <w:footnoteReference w:id="126"/>
      </w:r>
      <w:r w:rsidR="00927079" w:rsidRPr="006F6DF8">
        <w:rPr>
          <w:rFonts w:asciiTheme="minorHAnsi" w:hAnsiTheme="minorHAnsi" w:cstheme="minorHAnsi"/>
          <w:b w:val="0"/>
          <w:sz w:val="22"/>
          <w:szCs w:val="22"/>
        </w:rPr>
        <w:t xml:space="preserve"> Daarnaast bepaalt artikel 42 </w:t>
      </w:r>
      <w:proofErr w:type="spellStart"/>
      <w:r w:rsidR="00927079" w:rsidRPr="006F6DF8">
        <w:rPr>
          <w:rFonts w:asciiTheme="minorHAnsi" w:hAnsiTheme="minorHAnsi" w:cstheme="minorHAnsi"/>
          <w:b w:val="0"/>
          <w:sz w:val="22"/>
          <w:szCs w:val="22"/>
        </w:rPr>
        <w:t>Fw</w:t>
      </w:r>
      <w:proofErr w:type="spellEnd"/>
      <w:r w:rsidR="00927079" w:rsidRPr="006F6DF8">
        <w:rPr>
          <w:rFonts w:asciiTheme="minorHAnsi" w:hAnsiTheme="minorHAnsi" w:cstheme="minorHAnsi"/>
          <w:b w:val="0"/>
          <w:sz w:val="22"/>
          <w:szCs w:val="22"/>
        </w:rPr>
        <w:t xml:space="preserve"> dat alleen verplichte rechtshandelingen gedaan mogen worden in het zicht van een faillissement.</w:t>
      </w:r>
    </w:p>
    <w:p w:rsidR="00927079" w:rsidRPr="006F6DF8" w:rsidRDefault="00927079" w:rsidP="00946B47">
      <w:pPr>
        <w:jc w:val="left"/>
        <w:rPr>
          <w:rFonts w:asciiTheme="minorHAnsi" w:hAnsiTheme="minorHAnsi" w:cstheme="minorHAnsi"/>
          <w:b w:val="0"/>
          <w:sz w:val="22"/>
          <w:szCs w:val="22"/>
        </w:rPr>
      </w:pPr>
    </w:p>
    <w:p w:rsidR="00927079" w:rsidRPr="006F6DF8" w:rsidRDefault="00D27E35" w:rsidP="00946B47">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§2.4.1 Artikel 47 </w:t>
      </w:r>
      <w:proofErr w:type="spellStart"/>
      <w:r w:rsidRPr="006F6DF8">
        <w:rPr>
          <w:rFonts w:asciiTheme="minorHAnsi" w:hAnsiTheme="minorHAnsi" w:cstheme="minorHAnsi"/>
          <w:b w:val="0"/>
          <w:sz w:val="22"/>
          <w:szCs w:val="22"/>
        </w:rPr>
        <w:t>Fw</w:t>
      </w:r>
      <w:proofErr w:type="spellEnd"/>
    </w:p>
    <w:p w:rsidR="00CF0D66" w:rsidRPr="006F6DF8" w:rsidRDefault="00946B47" w:rsidP="00946B47">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Artikel 47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zegt dat overleg tussen de schuldenaar en de schuldeiser met oogmerk om zich boven andere schuldeisers te begunstigen niet mag. De rechter benadrukt dat dit zowel het oogmerk van de bank als van de schuldenaar dient te zijn. Indien alleen de bank </w:t>
      </w:r>
      <w:r w:rsidR="00880949" w:rsidRPr="006F6DF8">
        <w:rPr>
          <w:rFonts w:asciiTheme="minorHAnsi" w:hAnsiTheme="minorHAnsi" w:cstheme="minorHAnsi"/>
          <w:b w:val="0"/>
          <w:sz w:val="22"/>
          <w:szCs w:val="22"/>
        </w:rPr>
        <w:t>het</w:t>
      </w:r>
      <w:r w:rsidRPr="006F6DF8">
        <w:rPr>
          <w:rFonts w:asciiTheme="minorHAnsi" w:hAnsiTheme="minorHAnsi" w:cstheme="minorHAnsi"/>
          <w:b w:val="0"/>
          <w:sz w:val="22"/>
          <w:szCs w:val="22"/>
        </w:rPr>
        <w:t xml:space="preserve"> oogmerk heeft </w:t>
      </w:r>
      <w:r w:rsidR="00880949" w:rsidRPr="006F6DF8">
        <w:rPr>
          <w:rFonts w:asciiTheme="minorHAnsi" w:hAnsiTheme="minorHAnsi" w:cstheme="minorHAnsi"/>
          <w:b w:val="0"/>
          <w:sz w:val="22"/>
          <w:szCs w:val="22"/>
        </w:rPr>
        <w:t xml:space="preserve">om zich boven andere schuldeisers te begunstigen </w:t>
      </w:r>
      <w:r w:rsidRPr="006F6DF8">
        <w:rPr>
          <w:rFonts w:asciiTheme="minorHAnsi" w:hAnsiTheme="minorHAnsi" w:cstheme="minorHAnsi"/>
          <w:b w:val="0"/>
          <w:sz w:val="22"/>
          <w:szCs w:val="22"/>
        </w:rPr>
        <w:t>is het niet voldoende</w:t>
      </w:r>
      <w:r w:rsidR="00880949" w:rsidRPr="006F6DF8">
        <w:rPr>
          <w:rFonts w:asciiTheme="minorHAnsi" w:hAnsiTheme="minorHAnsi" w:cstheme="minorHAnsi"/>
          <w:b w:val="0"/>
          <w:sz w:val="22"/>
          <w:szCs w:val="22"/>
        </w:rPr>
        <w:t xml:space="preserve"> voor een beroep op artikel 47 </w:t>
      </w:r>
      <w:proofErr w:type="spellStart"/>
      <w:r w:rsidR="00880949"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w:t>
      </w:r>
      <w:r w:rsidR="0029620C" w:rsidRPr="006F6DF8">
        <w:rPr>
          <w:rStyle w:val="Voetnootmarkering"/>
          <w:rFonts w:asciiTheme="minorHAnsi" w:hAnsiTheme="minorHAnsi" w:cstheme="minorHAnsi"/>
          <w:b w:val="0"/>
          <w:sz w:val="22"/>
          <w:szCs w:val="22"/>
        </w:rPr>
        <w:footnoteReference w:id="127"/>
      </w:r>
      <w:r w:rsidR="005A7348" w:rsidRPr="006F6DF8">
        <w:rPr>
          <w:rFonts w:asciiTheme="minorHAnsi" w:hAnsiTheme="minorHAnsi" w:cstheme="minorHAnsi"/>
          <w:b w:val="0"/>
          <w:sz w:val="22"/>
          <w:szCs w:val="22"/>
        </w:rPr>
        <w:t xml:space="preserve"> Dit is overeenkomstig met wat in het theoretisch kader naar voren is gekomen onder hoofdstuk 5.</w:t>
      </w:r>
    </w:p>
    <w:p w:rsidR="00220B05" w:rsidRPr="006F6DF8" w:rsidRDefault="00220B05" w:rsidP="00220B05">
      <w:pPr>
        <w:jc w:val="left"/>
        <w:rPr>
          <w:rFonts w:asciiTheme="minorHAnsi" w:hAnsiTheme="minorHAnsi" w:cstheme="minorHAnsi"/>
          <w:b w:val="0"/>
          <w:sz w:val="22"/>
          <w:szCs w:val="22"/>
          <w:u w:val="single"/>
        </w:rPr>
      </w:pPr>
    </w:p>
    <w:p w:rsidR="00220B05" w:rsidRPr="006F6DF8" w:rsidRDefault="00CA0F54" w:rsidP="00220B05">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§2.4.2 </w:t>
      </w:r>
      <w:r w:rsidR="00220B05" w:rsidRPr="006F6DF8">
        <w:rPr>
          <w:rFonts w:asciiTheme="minorHAnsi" w:hAnsiTheme="minorHAnsi" w:cstheme="minorHAnsi"/>
          <w:b w:val="0"/>
          <w:sz w:val="22"/>
          <w:szCs w:val="22"/>
        </w:rPr>
        <w:t xml:space="preserve">artikel 42 </w:t>
      </w:r>
      <w:proofErr w:type="spellStart"/>
      <w:r w:rsidR="00220B05" w:rsidRPr="006F6DF8">
        <w:rPr>
          <w:rFonts w:asciiTheme="minorHAnsi" w:hAnsiTheme="minorHAnsi" w:cstheme="minorHAnsi"/>
          <w:b w:val="0"/>
          <w:sz w:val="22"/>
          <w:szCs w:val="22"/>
        </w:rPr>
        <w:t>Fw</w:t>
      </w:r>
      <w:proofErr w:type="spellEnd"/>
    </w:p>
    <w:p w:rsidR="00220B05" w:rsidRPr="006F6DF8" w:rsidRDefault="007C07D6" w:rsidP="00220B05">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Artikel 42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zegt dat er alleen verplichte rechtshandelingen in het zicht van een faillissement gedaan mogen worden. </w:t>
      </w:r>
      <w:r w:rsidR="00220B05" w:rsidRPr="006F6DF8">
        <w:rPr>
          <w:rFonts w:asciiTheme="minorHAnsi" w:hAnsiTheme="minorHAnsi" w:cstheme="minorHAnsi"/>
          <w:b w:val="0"/>
          <w:sz w:val="22"/>
          <w:szCs w:val="22"/>
        </w:rPr>
        <w:t xml:space="preserve">Het vestigen van een pandrecht als gevolg van een contractuele afspraak, om een verrekeningsbevoegdheid te creëren in het zicht van een faillissement is geen verplichte rechtshandeling.  Het pandrecht kan zodoende op grond van artikel 42 </w:t>
      </w:r>
      <w:proofErr w:type="spellStart"/>
      <w:r w:rsidR="00220B05" w:rsidRPr="006F6DF8">
        <w:rPr>
          <w:rFonts w:asciiTheme="minorHAnsi" w:hAnsiTheme="minorHAnsi" w:cstheme="minorHAnsi"/>
          <w:b w:val="0"/>
          <w:sz w:val="22"/>
          <w:szCs w:val="22"/>
        </w:rPr>
        <w:t>Fw</w:t>
      </w:r>
      <w:proofErr w:type="spellEnd"/>
      <w:r w:rsidR="00220B05" w:rsidRPr="006F6DF8">
        <w:rPr>
          <w:rFonts w:asciiTheme="minorHAnsi" w:hAnsiTheme="minorHAnsi" w:cstheme="minorHAnsi"/>
          <w:b w:val="0"/>
          <w:sz w:val="22"/>
          <w:szCs w:val="22"/>
        </w:rPr>
        <w:t xml:space="preserve"> niet gevestigd worden.</w:t>
      </w:r>
      <w:r w:rsidR="00725AB8" w:rsidRPr="006F6DF8">
        <w:rPr>
          <w:rStyle w:val="Voetnootmarkering"/>
          <w:rFonts w:asciiTheme="minorHAnsi" w:hAnsiTheme="minorHAnsi" w:cstheme="minorHAnsi"/>
          <w:b w:val="0"/>
          <w:sz w:val="22"/>
          <w:szCs w:val="22"/>
        </w:rPr>
        <w:t xml:space="preserve"> </w:t>
      </w:r>
      <w:r w:rsidR="00725AB8" w:rsidRPr="006F6DF8">
        <w:rPr>
          <w:rStyle w:val="Voetnootmarkering"/>
          <w:rFonts w:asciiTheme="minorHAnsi" w:hAnsiTheme="minorHAnsi" w:cstheme="minorHAnsi"/>
          <w:b w:val="0"/>
          <w:sz w:val="22"/>
          <w:szCs w:val="22"/>
        </w:rPr>
        <w:footnoteReference w:id="128"/>
      </w:r>
    </w:p>
    <w:p w:rsidR="00220B05" w:rsidRPr="006F6DF8" w:rsidRDefault="00220B05" w:rsidP="00220B05">
      <w:pPr>
        <w:jc w:val="left"/>
        <w:rPr>
          <w:rFonts w:asciiTheme="minorHAnsi" w:hAnsiTheme="minorHAnsi" w:cstheme="minorHAnsi"/>
          <w:b w:val="0"/>
          <w:sz w:val="22"/>
          <w:szCs w:val="22"/>
        </w:rPr>
      </w:pPr>
    </w:p>
    <w:p w:rsidR="00220B05" w:rsidRPr="006F6DF8" w:rsidRDefault="00220B05" w:rsidP="00220B05">
      <w:pPr>
        <w:jc w:val="left"/>
        <w:rPr>
          <w:rFonts w:asciiTheme="minorHAnsi" w:hAnsiTheme="minorHAnsi" w:cstheme="minorHAnsi"/>
          <w:b w:val="0"/>
          <w:sz w:val="22"/>
          <w:szCs w:val="22"/>
        </w:rPr>
      </w:pPr>
      <w:r w:rsidRPr="006F6DF8">
        <w:rPr>
          <w:rFonts w:asciiTheme="minorHAnsi" w:hAnsiTheme="minorHAnsi" w:cstheme="minorHAnsi"/>
          <w:b w:val="0"/>
          <w:sz w:val="22"/>
          <w:szCs w:val="22"/>
        </w:rPr>
        <w:t>Dit lijkt meer duidelijkheid te scheppen over of het vestigen van een pandrecht een verplichte rechtshandeling is. Ditmaal is het gevestigde pandrecht geen gevolg van een volmacht in een verzamelpandakte</w:t>
      </w:r>
      <w:r w:rsidR="00725AB8" w:rsidRPr="006F6DF8">
        <w:rPr>
          <w:rFonts w:asciiTheme="minorHAnsi" w:hAnsiTheme="minorHAnsi" w:cstheme="minorHAnsi"/>
          <w:b w:val="0"/>
          <w:sz w:val="22"/>
          <w:szCs w:val="22"/>
        </w:rPr>
        <w:t>, zoals in de theorie werd aangehaald</w:t>
      </w:r>
      <w:r w:rsidRPr="006F6DF8">
        <w:rPr>
          <w:rFonts w:asciiTheme="minorHAnsi" w:hAnsiTheme="minorHAnsi" w:cstheme="minorHAnsi"/>
          <w:b w:val="0"/>
          <w:sz w:val="22"/>
          <w:szCs w:val="22"/>
        </w:rPr>
        <w:t xml:space="preserve">, maar van een verhuurconstructie. Het zijn beiden wel contracten, dus dit artikel lijkt te zeggen dat het vestigen van een pandrecht geen verplichte rechtshandeling is in de zin van artikel 42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w:t>
      </w:r>
    </w:p>
    <w:p w:rsidR="0078018D" w:rsidRPr="006F6DF8" w:rsidRDefault="0078018D" w:rsidP="00220B05">
      <w:pPr>
        <w:jc w:val="left"/>
        <w:rPr>
          <w:rFonts w:asciiTheme="minorHAnsi" w:hAnsiTheme="minorHAnsi" w:cstheme="minorHAnsi"/>
          <w:b w:val="0"/>
          <w:sz w:val="22"/>
          <w:szCs w:val="22"/>
        </w:rPr>
      </w:pPr>
    </w:p>
    <w:p w:rsidR="0078018D" w:rsidRPr="006F6DF8" w:rsidRDefault="0078018D" w:rsidP="00220B05">
      <w:pPr>
        <w:jc w:val="left"/>
        <w:rPr>
          <w:rFonts w:asciiTheme="minorHAnsi" w:hAnsiTheme="minorHAnsi" w:cstheme="minorHAnsi"/>
          <w:b w:val="0"/>
          <w:sz w:val="22"/>
          <w:szCs w:val="22"/>
        </w:rPr>
      </w:pPr>
      <w:r w:rsidRPr="006F6DF8">
        <w:rPr>
          <w:rFonts w:asciiTheme="minorHAnsi" w:hAnsiTheme="minorHAnsi" w:cstheme="minorHAnsi"/>
          <w:b w:val="0"/>
          <w:sz w:val="22"/>
          <w:szCs w:val="22"/>
        </w:rPr>
        <w:t>§2.4.3 Kortom</w:t>
      </w:r>
    </w:p>
    <w:p w:rsidR="0078018D" w:rsidRPr="006F6DF8" w:rsidRDefault="00A265FD" w:rsidP="00220B05">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Het onderzoek in bijlage 1 heeft geen nieuwe inzichten geboden voor artikel 47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Het heeft wel benadrukt dat alleen een beroep op artikel 47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kan worden gedaan indien zowel de schuldeiser als de schuldenaar het oogmerk hebben om zich boven andere schuldeisers te begunstigen.</w:t>
      </w:r>
    </w:p>
    <w:p w:rsidR="00B40981" w:rsidRPr="006F6DF8" w:rsidRDefault="00B40981" w:rsidP="00220B05">
      <w:pPr>
        <w:jc w:val="left"/>
        <w:rPr>
          <w:rFonts w:asciiTheme="minorHAnsi" w:hAnsiTheme="minorHAnsi" w:cstheme="minorHAnsi"/>
          <w:b w:val="0"/>
          <w:sz w:val="22"/>
          <w:szCs w:val="22"/>
        </w:rPr>
      </w:pPr>
    </w:p>
    <w:p w:rsidR="00B40981" w:rsidRPr="006F6DF8" w:rsidRDefault="00B40981" w:rsidP="00220B05">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Ten aanzien van artikel 42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 xml:space="preserve"> is wel een nieuw inzicht gevonden. De rechtbank heeft namelijk bepaald dat het vestigen van een pandrecht als gevolg van een verhuurconstructie geen verplichte rechtshandeling is. Dit lijkt op de situatie waarbij een pandrecht wordt gevestigd als gevolg van een volmacht in een verzamelpandakte. Het is echter niet precies dezelfde situatie, zodoende kan net als in de theorie geconcludeerd worden dat er nog te weinig rechtspraak is omtrent artikel 42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w:t>
      </w:r>
    </w:p>
    <w:p w:rsidR="0004242B" w:rsidRPr="006F6DF8" w:rsidRDefault="0004242B" w:rsidP="00220B05">
      <w:pPr>
        <w:jc w:val="left"/>
        <w:rPr>
          <w:rFonts w:asciiTheme="minorHAnsi" w:hAnsiTheme="minorHAnsi" w:cstheme="minorHAnsi"/>
          <w:b w:val="0"/>
          <w:sz w:val="22"/>
          <w:szCs w:val="22"/>
        </w:rPr>
      </w:pPr>
    </w:p>
    <w:p w:rsidR="001D1D98" w:rsidRPr="00570D50" w:rsidRDefault="001D1D98" w:rsidP="00570D50">
      <w:pPr>
        <w:pStyle w:val="Kop2"/>
        <w:spacing w:before="0" w:beforeAutospacing="0" w:after="0" w:afterAutospacing="0"/>
        <w:rPr>
          <w:rFonts w:asciiTheme="minorHAnsi" w:hAnsiTheme="minorHAnsi" w:cstheme="minorHAnsi"/>
          <w:sz w:val="24"/>
          <w:szCs w:val="24"/>
        </w:rPr>
      </w:pPr>
      <w:bookmarkStart w:id="39" w:name="_Toc486246633"/>
      <w:r w:rsidRPr="00570D50">
        <w:rPr>
          <w:rFonts w:asciiTheme="minorHAnsi" w:hAnsiTheme="minorHAnsi" w:cstheme="minorHAnsi"/>
          <w:sz w:val="24"/>
          <w:szCs w:val="24"/>
        </w:rPr>
        <w:t>§3 Concluderend</w:t>
      </w:r>
      <w:bookmarkEnd w:id="39"/>
    </w:p>
    <w:p w:rsidR="007848FD" w:rsidRPr="006F6DF8" w:rsidRDefault="00BE37E6" w:rsidP="007848FD">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Uit dit onderzoek zijn een aantal nieuwe inzichten omtrent het verrekenen in het zicht van het faillissement naar voren gekomen en een aantal leerstukken uit de literatuur bekrachtigd. </w:t>
      </w:r>
      <w:r w:rsidR="009637B6" w:rsidRPr="006F6DF8">
        <w:rPr>
          <w:rFonts w:asciiTheme="minorHAnsi" w:hAnsiTheme="minorHAnsi" w:cstheme="minorHAnsi"/>
          <w:b w:val="0"/>
          <w:sz w:val="22"/>
          <w:szCs w:val="22"/>
        </w:rPr>
        <w:t xml:space="preserve">Het belangrijkste leerstuk dat door middel van dit onderzoek is bekrachtigd is dat het </w:t>
      </w:r>
      <w:r w:rsidRPr="006F6DF8">
        <w:rPr>
          <w:rFonts w:asciiTheme="minorHAnsi" w:hAnsiTheme="minorHAnsi" w:cstheme="minorHAnsi"/>
          <w:b w:val="0"/>
          <w:sz w:val="22"/>
          <w:szCs w:val="22"/>
        </w:rPr>
        <w:t>arrest Mulder q.q./CLBN</w:t>
      </w:r>
      <w:r w:rsidR="009637B6" w:rsidRPr="006F6DF8">
        <w:rPr>
          <w:rFonts w:asciiTheme="minorHAnsi" w:hAnsiTheme="minorHAnsi" w:cstheme="minorHAnsi"/>
          <w:b w:val="0"/>
          <w:sz w:val="22"/>
          <w:szCs w:val="22"/>
        </w:rPr>
        <w:t xml:space="preserve"> nog steeds toonaangevend is omtrent het verrekenen in het zicht van het faillissement. </w:t>
      </w:r>
      <w:r w:rsidR="000F330C" w:rsidRPr="006F6DF8">
        <w:rPr>
          <w:rFonts w:asciiTheme="minorHAnsi" w:hAnsiTheme="minorHAnsi" w:cstheme="minorHAnsi"/>
          <w:b w:val="0"/>
          <w:sz w:val="22"/>
          <w:szCs w:val="22"/>
        </w:rPr>
        <w:t xml:space="preserve">Het arrest Mulder is in 13 van de 20 zaken benadrukt. </w:t>
      </w:r>
      <w:r w:rsidR="007848FD" w:rsidRPr="006F6DF8">
        <w:rPr>
          <w:rFonts w:asciiTheme="minorHAnsi" w:hAnsiTheme="minorHAnsi" w:cstheme="minorHAnsi"/>
          <w:b w:val="0"/>
          <w:sz w:val="22"/>
          <w:szCs w:val="22"/>
        </w:rPr>
        <w:t xml:space="preserve">Het uitgangspunt omtrent het verrekenen in het zicht van een faillissement is zodoende dat indien men stil verpande vorderingen bezit, men op basis van die vorderingen mag verrekenen in het zicht van een faillissement. Hier is in huidige jurisprudentie aan toegevoegd dat een vordering onder het pandrecht moet vallen om ermee te kunnen verrekenen. Indien een vordering na faillietverklaring is ontstaan en niet onder het </w:t>
      </w:r>
      <w:r w:rsidR="007848FD" w:rsidRPr="006F6DF8">
        <w:rPr>
          <w:rFonts w:asciiTheme="minorHAnsi" w:hAnsiTheme="minorHAnsi" w:cstheme="minorHAnsi"/>
          <w:b w:val="0"/>
          <w:sz w:val="22"/>
          <w:szCs w:val="22"/>
        </w:rPr>
        <w:lastRenderedPageBreak/>
        <w:t xml:space="preserve">pandrecht valt kan er niet mee worden verrekend. </w:t>
      </w:r>
      <w:r w:rsidR="007C0EF1" w:rsidRPr="006F6DF8">
        <w:rPr>
          <w:rFonts w:asciiTheme="minorHAnsi" w:hAnsiTheme="minorHAnsi" w:cstheme="minorHAnsi"/>
          <w:b w:val="0"/>
          <w:sz w:val="22"/>
          <w:szCs w:val="22"/>
        </w:rPr>
        <w:t xml:space="preserve"> Daarbij dient het stil pandrecht te bestaan om ermee te kunnen verrekenen in het zicht van een faillissement. </w:t>
      </w:r>
      <w:r w:rsidR="006023E9" w:rsidRPr="006F6DF8">
        <w:rPr>
          <w:rFonts w:asciiTheme="minorHAnsi" w:hAnsiTheme="minorHAnsi" w:cstheme="minorHAnsi"/>
          <w:b w:val="0"/>
          <w:sz w:val="22"/>
          <w:szCs w:val="22"/>
        </w:rPr>
        <w:t>Het pandrecht mag zodoende niet teniet gegaan zijn door voltooiing van de vordering waar het op is gevestigd.</w:t>
      </w:r>
    </w:p>
    <w:p w:rsidR="007848FD" w:rsidRPr="006F6DF8" w:rsidRDefault="007848FD" w:rsidP="007848FD">
      <w:pPr>
        <w:jc w:val="left"/>
        <w:rPr>
          <w:rFonts w:asciiTheme="minorHAnsi" w:hAnsiTheme="minorHAnsi" w:cstheme="minorHAnsi"/>
          <w:b w:val="0"/>
          <w:sz w:val="22"/>
          <w:szCs w:val="22"/>
        </w:rPr>
      </w:pPr>
    </w:p>
    <w:p w:rsidR="00BE37E6" w:rsidRPr="006F6DF8" w:rsidRDefault="007848FD" w:rsidP="00BE37E6">
      <w:pPr>
        <w:jc w:val="left"/>
        <w:rPr>
          <w:rFonts w:asciiTheme="minorHAnsi" w:hAnsiTheme="minorHAnsi" w:cstheme="minorHAnsi"/>
          <w:b w:val="0"/>
          <w:sz w:val="22"/>
          <w:szCs w:val="22"/>
        </w:rPr>
      </w:pPr>
      <w:r w:rsidRPr="006F6DF8">
        <w:rPr>
          <w:rFonts w:asciiTheme="minorHAnsi" w:hAnsiTheme="minorHAnsi" w:cstheme="minorHAnsi"/>
          <w:b w:val="0"/>
          <w:sz w:val="22"/>
          <w:szCs w:val="22"/>
        </w:rPr>
        <w:t>H</w:t>
      </w:r>
      <w:r w:rsidR="00BE37E6" w:rsidRPr="006F6DF8">
        <w:rPr>
          <w:rFonts w:asciiTheme="minorHAnsi" w:hAnsiTheme="minorHAnsi" w:cstheme="minorHAnsi"/>
          <w:b w:val="0"/>
          <w:sz w:val="22"/>
          <w:szCs w:val="22"/>
        </w:rPr>
        <w:t>et bezitten van een stil pandrecht op basis waarvan verrekend kan worden</w:t>
      </w:r>
      <w:r w:rsidRPr="006F6DF8">
        <w:rPr>
          <w:rFonts w:asciiTheme="minorHAnsi" w:hAnsiTheme="minorHAnsi" w:cstheme="minorHAnsi"/>
          <w:b w:val="0"/>
          <w:sz w:val="22"/>
          <w:szCs w:val="22"/>
        </w:rPr>
        <w:t xml:space="preserve"> is zodoende nog steeds de leidraad</w:t>
      </w:r>
      <w:r w:rsidR="00BE37E6" w:rsidRPr="006F6DF8">
        <w:rPr>
          <w:rFonts w:asciiTheme="minorHAnsi" w:hAnsiTheme="minorHAnsi" w:cstheme="minorHAnsi"/>
          <w:b w:val="0"/>
          <w:sz w:val="22"/>
          <w:szCs w:val="22"/>
        </w:rPr>
        <w:t>.</w:t>
      </w:r>
      <w:r w:rsidR="00BE37E6" w:rsidRPr="006F6DF8">
        <w:rPr>
          <w:rFonts w:asciiTheme="minorHAnsi" w:hAnsiTheme="minorHAnsi" w:cstheme="minorHAnsi"/>
          <w:b w:val="0"/>
          <w:color w:val="FF0000"/>
          <w:sz w:val="22"/>
          <w:szCs w:val="22"/>
        </w:rPr>
        <w:t xml:space="preserve"> </w:t>
      </w:r>
      <w:r w:rsidR="00BE37E6" w:rsidRPr="006F6DF8">
        <w:rPr>
          <w:rFonts w:asciiTheme="minorHAnsi" w:hAnsiTheme="minorHAnsi" w:cstheme="minorHAnsi"/>
          <w:b w:val="0"/>
          <w:sz w:val="22"/>
          <w:szCs w:val="22"/>
        </w:rPr>
        <w:t xml:space="preserve">Ten aanzien van het stil pandrecht zijn in de rechtspraak een aantal nieuwe elementen naar voren gekomen en een aantal elementen uit de wet en literatuur bekrachtigd. Zo dient de curator de stil pandhouder op basis van artikel 58 </w:t>
      </w:r>
      <w:proofErr w:type="spellStart"/>
      <w:r w:rsidR="00BE37E6" w:rsidRPr="006F6DF8">
        <w:rPr>
          <w:rFonts w:asciiTheme="minorHAnsi" w:hAnsiTheme="minorHAnsi" w:cstheme="minorHAnsi"/>
          <w:b w:val="0"/>
          <w:sz w:val="22"/>
          <w:szCs w:val="22"/>
        </w:rPr>
        <w:t>Fw</w:t>
      </w:r>
      <w:proofErr w:type="spellEnd"/>
      <w:r w:rsidR="00BE37E6" w:rsidRPr="006F6DF8">
        <w:rPr>
          <w:rFonts w:asciiTheme="minorHAnsi" w:hAnsiTheme="minorHAnsi" w:cstheme="minorHAnsi"/>
          <w:b w:val="0"/>
          <w:sz w:val="22"/>
          <w:szCs w:val="22"/>
        </w:rPr>
        <w:t xml:space="preserve"> een redelijke termijn te geven om zijn pandrechten uit te kunnen oefenen. Uit het onderzoek in bijlage 1 is gebleken dat een redelijke termijn veertien dagen betreft. Indien de stil pandhouder geen gebruik maakt van zijn pandrechten, dan kan de curator actief de vorderingen innen en zullen de gelden naar de curator gaan. De stil pandhouder blijft echter altijd zijn recht behouden om zich met voorrang te verhalen op de door de curator geïnde vorderingen, overeenkomstig zijn pandrechten. </w:t>
      </w:r>
    </w:p>
    <w:p w:rsidR="00BE37E6" w:rsidRPr="006F6DF8" w:rsidRDefault="00BE37E6" w:rsidP="00BE37E6">
      <w:pPr>
        <w:jc w:val="left"/>
        <w:rPr>
          <w:rFonts w:asciiTheme="minorHAnsi" w:hAnsiTheme="minorHAnsi" w:cstheme="minorHAnsi"/>
          <w:b w:val="0"/>
          <w:sz w:val="22"/>
          <w:szCs w:val="22"/>
        </w:rPr>
      </w:pPr>
    </w:p>
    <w:p w:rsidR="001B0436" w:rsidRPr="006F6DF8" w:rsidRDefault="001B0436" w:rsidP="00BE37E6">
      <w:pPr>
        <w:jc w:val="left"/>
        <w:rPr>
          <w:rFonts w:asciiTheme="minorHAnsi" w:hAnsiTheme="minorHAnsi" w:cstheme="minorHAnsi"/>
          <w:b w:val="0"/>
          <w:sz w:val="22"/>
          <w:szCs w:val="22"/>
        </w:rPr>
      </w:pPr>
      <w:r w:rsidRPr="006F6DF8">
        <w:rPr>
          <w:rFonts w:asciiTheme="minorHAnsi" w:hAnsiTheme="minorHAnsi" w:cstheme="minorHAnsi"/>
          <w:b w:val="0"/>
          <w:sz w:val="22"/>
          <w:szCs w:val="22"/>
        </w:rPr>
        <w:t>Een beroep op het arrest Mulder q.q./CLBN wordt in de weg gestaan door</w:t>
      </w:r>
      <w:r w:rsidR="00B733FF" w:rsidRPr="006F6DF8">
        <w:rPr>
          <w:rFonts w:asciiTheme="minorHAnsi" w:hAnsiTheme="minorHAnsi" w:cstheme="minorHAnsi"/>
          <w:b w:val="0"/>
          <w:sz w:val="22"/>
          <w:szCs w:val="22"/>
        </w:rPr>
        <w:t xml:space="preserve"> artikel 54 </w:t>
      </w:r>
      <w:proofErr w:type="spellStart"/>
      <w:r w:rsidR="00B733FF" w:rsidRPr="006F6DF8">
        <w:rPr>
          <w:rFonts w:asciiTheme="minorHAnsi" w:hAnsiTheme="minorHAnsi" w:cstheme="minorHAnsi"/>
          <w:b w:val="0"/>
          <w:sz w:val="22"/>
          <w:szCs w:val="22"/>
        </w:rPr>
        <w:t>Fw</w:t>
      </w:r>
      <w:proofErr w:type="spellEnd"/>
      <w:r w:rsidR="00B733FF" w:rsidRPr="006F6DF8">
        <w:rPr>
          <w:rFonts w:asciiTheme="minorHAnsi" w:hAnsiTheme="minorHAnsi" w:cstheme="minorHAnsi"/>
          <w:b w:val="0"/>
          <w:sz w:val="22"/>
          <w:szCs w:val="22"/>
        </w:rPr>
        <w:t xml:space="preserve">. Om een beroep op het arrest Mulder te doen en zodoende te mogen verrekenen in het zicht van een faillissement, dient men stille pandrechten te bezitten. Men mag </w:t>
      </w:r>
      <w:r w:rsidR="006F5FBA" w:rsidRPr="006F6DF8">
        <w:rPr>
          <w:rFonts w:asciiTheme="minorHAnsi" w:hAnsiTheme="minorHAnsi" w:cstheme="minorHAnsi"/>
          <w:b w:val="0"/>
          <w:sz w:val="22"/>
          <w:szCs w:val="22"/>
        </w:rPr>
        <w:t>echter niet verrekenen indien men</w:t>
      </w:r>
      <w:r w:rsidR="00B733FF" w:rsidRPr="006F6DF8">
        <w:rPr>
          <w:rFonts w:asciiTheme="minorHAnsi" w:hAnsiTheme="minorHAnsi" w:cstheme="minorHAnsi"/>
          <w:b w:val="0"/>
          <w:sz w:val="22"/>
          <w:szCs w:val="22"/>
        </w:rPr>
        <w:t xml:space="preserve"> </w:t>
      </w:r>
      <w:r w:rsidR="006F5FBA" w:rsidRPr="006F6DF8">
        <w:rPr>
          <w:rFonts w:asciiTheme="minorHAnsi" w:hAnsiTheme="minorHAnsi" w:cstheme="minorHAnsi"/>
          <w:b w:val="0"/>
          <w:sz w:val="22"/>
          <w:szCs w:val="22"/>
        </w:rPr>
        <w:t xml:space="preserve">stille </w:t>
      </w:r>
      <w:r w:rsidR="00B733FF" w:rsidRPr="006F6DF8">
        <w:rPr>
          <w:rFonts w:asciiTheme="minorHAnsi" w:hAnsiTheme="minorHAnsi" w:cstheme="minorHAnsi"/>
          <w:b w:val="0"/>
          <w:sz w:val="22"/>
          <w:szCs w:val="22"/>
        </w:rPr>
        <w:t xml:space="preserve">pandrechten </w:t>
      </w:r>
      <w:r w:rsidR="006F5FBA" w:rsidRPr="006F6DF8">
        <w:rPr>
          <w:rFonts w:asciiTheme="minorHAnsi" w:hAnsiTheme="minorHAnsi" w:cstheme="minorHAnsi"/>
          <w:b w:val="0"/>
          <w:sz w:val="22"/>
          <w:szCs w:val="22"/>
        </w:rPr>
        <w:t>overneemt</w:t>
      </w:r>
      <w:r w:rsidR="00B733FF" w:rsidRPr="006F6DF8">
        <w:rPr>
          <w:rFonts w:asciiTheme="minorHAnsi" w:hAnsiTheme="minorHAnsi" w:cstheme="minorHAnsi"/>
          <w:b w:val="0"/>
          <w:sz w:val="22"/>
          <w:szCs w:val="22"/>
        </w:rPr>
        <w:t xml:space="preserve"> in het zicht van een faillissement </w:t>
      </w:r>
      <w:r w:rsidR="006F5FBA" w:rsidRPr="006F6DF8">
        <w:rPr>
          <w:rFonts w:asciiTheme="minorHAnsi" w:hAnsiTheme="minorHAnsi" w:cstheme="minorHAnsi"/>
          <w:b w:val="0"/>
          <w:sz w:val="22"/>
          <w:szCs w:val="22"/>
        </w:rPr>
        <w:t>en daarbij</w:t>
      </w:r>
      <w:r w:rsidR="00B733FF" w:rsidRPr="006F6DF8">
        <w:rPr>
          <w:rFonts w:asciiTheme="minorHAnsi" w:hAnsiTheme="minorHAnsi" w:cstheme="minorHAnsi"/>
          <w:b w:val="0"/>
          <w:sz w:val="22"/>
          <w:szCs w:val="22"/>
        </w:rPr>
        <w:t xml:space="preserve"> niet te goeder trouw is. Men is niet te goeder trouw indien men bij het overnemen van een vordering van het aanstaande faillissement op de hoogte was. Uit het onderzoek in bijlage 1 is gebleken dat artikel 54 </w:t>
      </w:r>
      <w:proofErr w:type="spellStart"/>
      <w:r w:rsidR="00B733FF" w:rsidRPr="006F6DF8">
        <w:rPr>
          <w:rFonts w:asciiTheme="minorHAnsi" w:hAnsiTheme="minorHAnsi" w:cstheme="minorHAnsi"/>
          <w:b w:val="0"/>
          <w:sz w:val="22"/>
          <w:szCs w:val="22"/>
        </w:rPr>
        <w:t>Fw</w:t>
      </w:r>
      <w:proofErr w:type="spellEnd"/>
      <w:r w:rsidR="00B733FF" w:rsidRPr="006F6DF8">
        <w:rPr>
          <w:rFonts w:asciiTheme="minorHAnsi" w:hAnsiTheme="minorHAnsi" w:cstheme="minorHAnsi"/>
          <w:b w:val="0"/>
          <w:sz w:val="22"/>
          <w:szCs w:val="22"/>
        </w:rPr>
        <w:t xml:space="preserve"> alleen betrekking heeft op het ‘overnemen’ van vorderingen. Zo lang de vordering met het daarop rustende pandrecht al in het bezit was van de pandhouder en er geen sprake is van overname, kan er verrekend worden met dat pandrecht.</w:t>
      </w:r>
    </w:p>
    <w:p w:rsidR="0063077C" w:rsidRPr="006F6DF8" w:rsidRDefault="0063077C" w:rsidP="00BE37E6">
      <w:pPr>
        <w:jc w:val="left"/>
        <w:rPr>
          <w:rFonts w:asciiTheme="minorHAnsi" w:hAnsiTheme="minorHAnsi" w:cstheme="minorHAnsi"/>
          <w:b w:val="0"/>
          <w:sz w:val="22"/>
          <w:szCs w:val="22"/>
        </w:rPr>
      </w:pPr>
    </w:p>
    <w:p w:rsidR="005563AC" w:rsidRPr="006F6DF8" w:rsidRDefault="00F567F6" w:rsidP="00931E03">
      <w:pPr>
        <w:jc w:val="left"/>
        <w:rPr>
          <w:rFonts w:asciiTheme="minorHAnsi" w:hAnsiTheme="minorHAnsi" w:cstheme="minorHAnsi"/>
          <w:b w:val="0"/>
          <w:sz w:val="22"/>
          <w:szCs w:val="22"/>
        </w:rPr>
      </w:pPr>
      <w:r w:rsidRPr="006F6DF8">
        <w:rPr>
          <w:rFonts w:asciiTheme="minorHAnsi" w:hAnsiTheme="minorHAnsi" w:cstheme="minorHAnsi"/>
          <w:b w:val="0"/>
          <w:sz w:val="22"/>
          <w:szCs w:val="22"/>
        </w:rPr>
        <w:t>Een ander artikel dat een beroep op het arrest Mulder q.q./CL</w:t>
      </w:r>
      <w:r w:rsidR="00DD606C" w:rsidRPr="006F6DF8">
        <w:rPr>
          <w:rFonts w:asciiTheme="minorHAnsi" w:hAnsiTheme="minorHAnsi" w:cstheme="minorHAnsi"/>
          <w:b w:val="0"/>
          <w:sz w:val="22"/>
          <w:szCs w:val="22"/>
        </w:rPr>
        <w:t>BN in de weg staat is artikel 42</w:t>
      </w:r>
      <w:r w:rsidRPr="006F6DF8">
        <w:rPr>
          <w:rFonts w:asciiTheme="minorHAnsi" w:hAnsiTheme="minorHAnsi" w:cstheme="minorHAnsi"/>
          <w:b w:val="0"/>
          <w:sz w:val="22"/>
          <w:szCs w:val="22"/>
        </w:rPr>
        <w:t xml:space="preserve"> </w:t>
      </w:r>
      <w:proofErr w:type="spellStart"/>
      <w:r w:rsidRPr="006F6DF8">
        <w:rPr>
          <w:rFonts w:asciiTheme="minorHAnsi" w:hAnsiTheme="minorHAnsi" w:cstheme="minorHAnsi"/>
          <w:b w:val="0"/>
          <w:sz w:val="22"/>
          <w:szCs w:val="22"/>
        </w:rPr>
        <w:t>Fw</w:t>
      </w:r>
      <w:proofErr w:type="spellEnd"/>
      <w:r w:rsidRPr="006F6DF8">
        <w:rPr>
          <w:rFonts w:asciiTheme="minorHAnsi" w:hAnsiTheme="minorHAnsi" w:cstheme="minorHAnsi"/>
          <w:b w:val="0"/>
          <w:sz w:val="22"/>
          <w:szCs w:val="22"/>
        </w:rPr>
        <w:t>.</w:t>
      </w:r>
      <w:r w:rsidR="004474D9" w:rsidRPr="006F6DF8">
        <w:rPr>
          <w:rFonts w:asciiTheme="minorHAnsi" w:hAnsiTheme="minorHAnsi" w:cstheme="minorHAnsi"/>
          <w:b w:val="0"/>
          <w:sz w:val="22"/>
          <w:szCs w:val="22"/>
        </w:rPr>
        <w:t xml:space="preserve"> Dit artikel heeft het niet over het overnemen van vorderingen in het zicht van een faillissement, maar over het creëren van</w:t>
      </w:r>
      <w:r w:rsidR="006F5FBA" w:rsidRPr="006F6DF8">
        <w:rPr>
          <w:rFonts w:asciiTheme="minorHAnsi" w:hAnsiTheme="minorHAnsi" w:cstheme="minorHAnsi"/>
          <w:b w:val="0"/>
          <w:sz w:val="22"/>
          <w:szCs w:val="22"/>
        </w:rPr>
        <w:t xml:space="preserve"> een verrekeningsbevoegdheid in het zicht van een faillissement. Men</w:t>
      </w:r>
      <w:r w:rsidR="00931E03" w:rsidRPr="006F6DF8">
        <w:rPr>
          <w:rFonts w:asciiTheme="minorHAnsi" w:hAnsiTheme="minorHAnsi" w:cstheme="minorHAnsi"/>
          <w:b w:val="0"/>
          <w:sz w:val="22"/>
          <w:szCs w:val="22"/>
        </w:rPr>
        <w:t xml:space="preserve"> mag immers </w:t>
      </w:r>
      <w:r w:rsidR="005563AC" w:rsidRPr="006F6DF8">
        <w:rPr>
          <w:rFonts w:asciiTheme="minorHAnsi" w:hAnsiTheme="minorHAnsi" w:cstheme="minorHAnsi"/>
          <w:b w:val="0"/>
          <w:sz w:val="22"/>
          <w:szCs w:val="22"/>
        </w:rPr>
        <w:t xml:space="preserve">alleen verplichte rechtshandelingen in het zicht van een faillissement </w:t>
      </w:r>
      <w:r w:rsidR="00931E03" w:rsidRPr="006F6DF8">
        <w:rPr>
          <w:rFonts w:asciiTheme="minorHAnsi" w:hAnsiTheme="minorHAnsi" w:cstheme="minorHAnsi"/>
          <w:b w:val="0"/>
          <w:sz w:val="22"/>
          <w:szCs w:val="22"/>
        </w:rPr>
        <w:t>doen</w:t>
      </w:r>
      <w:r w:rsidR="005563AC" w:rsidRPr="006F6DF8">
        <w:rPr>
          <w:rFonts w:asciiTheme="minorHAnsi" w:hAnsiTheme="minorHAnsi" w:cstheme="minorHAnsi"/>
          <w:b w:val="0"/>
          <w:sz w:val="22"/>
          <w:szCs w:val="22"/>
        </w:rPr>
        <w:t xml:space="preserve">. </w:t>
      </w:r>
      <w:r w:rsidR="004223DD" w:rsidRPr="006F6DF8">
        <w:rPr>
          <w:rFonts w:asciiTheme="minorHAnsi" w:hAnsiTheme="minorHAnsi" w:cstheme="minorHAnsi"/>
          <w:b w:val="0"/>
          <w:sz w:val="22"/>
          <w:szCs w:val="22"/>
        </w:rPr>
        <w:t>Uit het onderzoek in bijlage 1 is gebleken dat h</w:t>
      </w:r>
      <w:r w:rsidR="005563AC" w:rsidRPr="006F6DF8">
        <w:rPr>
          <w:rFonts w:asciiTheme="minorHAnsi" w:hAnsiTheme="minorHAnsi" w:cstheme="minorHAnsi"/>
          <w:b w:val="0"/>
          <w:sz w:val="22"/>
          <w:szCs w:val="22"/>
        </w:rPr>
        <w:t>et vestigen van een pandrecht als gevolg van een contractuele afspraak, om een verrekeningsbevoegdheid te creëren in het zicht van een faillissement is ge</w:t>
      </w:r>
      <w:r w:rsidR="00931E03" w:rsidRPr="006F6DF8">
        <w:rPr>
          <w:rFonts w:asciiTheme="minorHAnsi" w:hAnsiTheme="minorHAnsi" w:cstheme="minorHAnsi"/>
          <w:b w:val="0"/>
          <w:sz w:val="22"/>
          <w:szCs w:val="22"/>
        </w:rPr>
        <w:t xml:space="preserve">en verplichte rechtshandeling. Dit lijkt tevens te gelden voor het vestigen van pandrechten ten gevolge van een verzamelpandakte. Echter, het is nog steeds niet helemaal duidelijk zodoende kan net als in de theorie geconcludeerd worden dat er nog te weinig rechtspraak is </w:t>
      </w:r>
      <w:r w:rsidR="00E80BCA" w:rsidRPr="006F6DF8">
        <w:rPr>
          <w:rFonts w:asciiTheme="minorHAnsi" w:hAnsiTheme="minorHAnsi" w:cstheme="minorHAnsi"/>
          <w:b w:val="0"/>
          <w:sz w:val="22"/>
          <w:szCs w:val="22"/>
        </w:rPr>
        <w:t>om een antwoord op de reikwijdte van</w:t>
      </w:r>
      <w:r w:rsidR="00931E03" w:rsidRPr="006F6DF8">
        <w:rPr>
          <w:rFonts w:asciiTheme="minorHAnsi" w:hAnsiTheme="minorHAnsi" w:cstheme="minorHAnsi"/>
          <w:b w:val="0"/>
          <w:sz w:val="22"/>
          <w:szCs w:val="22"/>
        </w:rPr>
        <w:t xml:space="preserve"> artikel 42 </w:t>
      </w:r>
      <w:proofErr w:type="spellStart"/>
      <w:r w:rsidR="00931E03" w:rsidRPr="006F6DF8">
        <w:rPr>
          <w:rFonts w:asciiTheme="minorHAnsi" w:hAnsiTheme="minorHAnsi" w:cstheme="minorHAnsi"/>
          <w:b w:val="0"/>
          <w:sz w:val="22"/>
          <w:szCs w:val="22"/>
        </w:rPr>
        <w:t>Fw</w:t>
      </w:r>
      <w:proofErr w:type="spellEnd"/>
      <w:r w:rsidR="00E80BCA" w:rsidRPr="006F6DF8">
        <w:rPr>
          <w:rFonts w:asciiTheme="minorHAnsi" w:hAnsiTheme="minorHAnsi" w:cstheme="minorHAnsi"/>
          <w:b w:val="0"/>
          <w:sz w:val="22"/>
          <w:szCs w:val="22"/>
        </w:rPr>
        <w:t xml:space="preserve"> te geven</w:t>
      </w:r>
      <w:r w:rsidR="00196529" w:rsidRPr="006F6DF8">
        <w:rPr>
          <w:rFonts w:asciiTheme="minorHAnsi" w:hAnsiTheme="minorHAnsi" w:cstheme="minorHAnsi"/>
          <w:b w:val="0"/>
          <w:sz w:val="22"/>
          <w:szCs w:val="22"/>
        </w:rPr>
        <w:t>.</w:t>
      </w:r>
    </w:p>
    <w:p w:rsidR="006F5FBA" w:rsidRPr="006F6DF8" w:rsidRDefault="006F5FBA" w:rsidP="006F5FBA">
      <w:pPr>
        <w:jc w:val="left"/>
        <w:rPr>
          <w:rFonts w:asciiTheme="minorHAnsi" w:hAnsiTheme="minorHAnsi" w:cstheme="minorHAnsi"/>
          <w:b w:val="0"/>
          <w:sz w:val="22"/>
          <w:szCs w:val="22"/>
        </w:rPr>
      </w:pPr>
    </w:p>
    <w:p w:rsidR="00A13DB9" w:rsidRDefault="001A3783" w:rsidP="002411AF">
      <w:pPr>
        <w:jc w:val="left"/>
        <w:rPr>
          <w:rFonts w:asciiTheme="minorHAnsi" w:hAnsiTheme="minorHAnsi" w:cstheme="minorHAnsi"/>
          <w:b w:val="0"/>
          <w:sz w:val="22"/>
          <w:szCs w:val="22"/>
        </w:rPr>
      </w:pPr>
      <w:r w:rsidRPr="006F6DF8">
        <w:rPr>
          <w:rFonts w:asciiTheme="minorHAnsi" w:hAnsiTheme="minorHAnsi" w:cstheme="minorHAnsi"/>
          <w:b w:val="0"/>
          <w:sz w:val="22"/>
          <w:szCs w:val="22"/>
        </w:rPr>
        <w:t>Tot slot</w:t>
      </w:r>
      <w:r w:rsidR="00CE0377" w:rsidRPr="006F6DF8">
        <w:rPr>
          <w:rFonts w:asciiTheme="minorHAnsi" w:hAnsiTheme="minorHAnsi" w:cstheme="minorHAnsi"/>
          <w:b w:val="0"/>
          <w:sz w:val="22"/>
          <w:szCs w:val="22"/>
        </w:rPr>
        <w:t xml:space="preserve"> is artikel 47 </w:t>
      </w:r>
      <w:proofErr w:type="spellStart"/>
      <w:r w:rsidR="00CE0377" w:rsidRPr="006F6DF8">
        <w:rPr>
          <w:rFonts w:asciiTheme="minorHAnsi" w:hAnsiTheme="minorHAnsi" w:cstheme="minorHAnsi"/>
          <w:b w:val="0"/>
          <w:sz w:val="22"/>
          <w:szCs w:val="22"/>
        </w:rPr>
        <w:t>Fw</w:t>
      </w:r>
      <w:proofErr w:type="spellEnd"/>
      <w:r w:rsidR="00CE0377" w:rsidRPr="006F6DF8">
        <w:rPr>
          <w:rFonts w:asciiTheme="minorHAnsi" w:hAnsiTheme="minorHAnsi" w:cstheme="minorHAnsi"/>
          <w:b w:val="0"/>
          <w:sz w:val="22"/>
          <w:szCs w:val="22"/>
        </w:rPr>
        <w:t xml:space="preserve"> van belang </w:t>
      </w:r>
      <w:r w:rsidR="004223DD" w:rsidRPr="006F6DF8">
        <w:rPr>
          <w:rFonts w:asciiTheme="minorHAnsi" w:hAnsiTheme="minorHAnsi" w:cstheme="minorHAnsi"/>
          <w:b w:val="0"/>
          <w:sz w:val="22"/>
          <w:szCs w:val="22"/>
        </w:rPr>
        <w:t>omtrent</w:t>
      </w:r>
      <w:r w:rsidR="00CE0377" w:rsidRPr="006F6DF8">
        <w:rPr>
          <w:rFonts w:asciiTheme="minorHAnsi" w:hAnsiTheme="minorHAnsi" w:cstheme="minorHAnsi"/>
          <w:b w:val="0"/>
          <w:sz w:val="22"/>
          <w:szCs w:val="22"/>
        </w:rPr>
        <w:t xml:space="preserve"> verrekenen in het zicht van een faillissement. </w:t>
      </w:r>
      <w:r w:rsidR="006F5FBA" w:rsidRPr="006F6DF8">
        <w:rPr>
          <w:rFonts w:asciiTheme="minorHAnsi" w:hAnsiTheme="minorHAnsi" w:cstheme="minorHAnsi"/>
          <w:b w:val="0"/>
          <w:sz w:val="22"/>
          <w:szCs w:val="22"/>
        </w:rPr>
        <w:t xml:space="preserve">Artikel 47 </w:t>
      </w:r>
      <w:proofErr w:type="spellStart"/>
      <w:r w:rsidR="006F5FBA" w:rsidRPr="006F6DF8">
        <w:rPr>
          <w:rFonts w:asciiTheme="minorHAnsi" w:hAnsiTheme="minorHAnsi" w:cstheme="minorHAnsi"/>
          <w:b w:val="0"/>
          <w:sz w:val="22"/>
          <w:szCs w:val="22"/>
        </w:rPr>
        <w:t>Fw</w:t>
      </w:r>
      <w:proofErr w:type="spellEnd"/>
      <w:r w:rsidR="006F5FBA" w:rsidRPr="006F6DF8">
        <w:rPr>
          <w:rFonts w:asciiTheme="minorHAnsi" w:hAnsiTheme="minorHAnsi" w:cstheme="minorHAnsi"/>
          <w:b w:val="0"/>
          <w:sz w:val="22"/>
          <w:szCs w:val="22"/>
        </w:rPr>
        <w:t xml:space="preserve"> zegt </w:t>
      </w:r>
      <w:r w:rsidR="00A13DB9" w:rsidRPr="00B0149A">
        <w:rPr>
          <w:rFonts w:asciiTheme="minorHAnsi" w:hAnsiTheme="minorHAnsi" w:cstheme="minorHAnsi"/>
          <w:b w:val="0"/>
          <w:sz w:val="22"/>
          <w:szCs w:val="22"/>
        </w:rPr>
        <w:t xml:space="preserve">dat indien men wil verrekenen terwijl men op de hoogte is van het aanstaande faillissement, dit wordt bestempeld als </w:t>
      </w:r>
      <w:proofErr w:type="spellStart"/>
      <w:r w:rsidR="00A13DB9" w:rsidRPr="00B0149A">
        <w:rPr>
          <w:rFonts w:asciiTheme="minorHAnsi" w:hAnsiTheme="minorHAnsi" w:cstheme="minorHAnsi"/>
          <w:b w:val="0"/>
          <w:sz w:val="22"/>
          <w:szCs w:val="22"/>
        </w:rPr>
        <w:t>paulianeus</w:t>
      </w:r>
      <w:proofErr w:type="spellEnd"/>
      <w:r w:rsidR="00A13DB9" w:rsidRPr="00B0149A">
        <w:rPr>
          <w:rFonts w:asciiTheme="minorHAnsi" w:hAnsiTheme="minorHAnsi" w:cstheme="minorHAnsi"/>
          <w:b w:val="0"/>
          <w:sz w:val="22"/>
          <w:szCs w:val="22"/>
        </w:rPr>
        <w:t xml:space="preserve"> handelen.</w:t>
      </w:r>
      <w:r w:rsidR="00A13DB9">
        <w:rPr>
          <w:rFonts w:asciiTheme="minorHAnsi" w:hAnsiTheme="minorHAnsi" w:cstheme="minorHAnsi"/>
          <w:b w:val="0"/>
          <w:sz w:val="22"/>
          <w:szCs w:val="22"/>
        </w:rPr>
        <w:t xml:space="preserve"> Daarnaast mag</w:t>
      </w:r>
      <w:r w:rsidR="006F5FBA" w:rsidRPr="006F6DF8">
        <w:rPr>
          <w:rFonts w:asciiTheme="minorHAnsi" w:hAnsiTheme="minorHAnsi" w:cstheme="minorHAnsi"/>
          <w:b w:val="0"/>
          <w:sz w:val="22"/>
          <w:szCs w:val="22"/>
        </w:rPr>
        <w:t xml:space="preserve"> overleg tussen de schuldenaar en de schuldeiser met </w:t>
      </w:r>
      <w:r w:rsidR="00A13DB9">
        <w:rPr>
          <w:rFonts w:asciiTheme="minorHAnsi" w:hAnsiTheme="minorHAnsi" w:cstheme="minorHAnsi"/>
          <w:b w:val="0"/>
          <w:sz w:val="22"/>
          <w:szCs w:val="22"/>
        </w:rPr>
        <w:t xml:space="preserve">het </w:t>
      </w:r>
      <w:r w:rsidR="006F5FBA" w:rsidRPr="006F6DF8">
        <w:rPr>
          <w:rFonts w:asciiTheme="minorHAnsi" w:hAnsiTheme="minorHAnsi" w:cstheme="minorHAnsi"/>
          <w:b w:val="0"/>
          <w:sz w:val="22"/>
          <w:szCs w:val="22"/>
        </w:rPr>
        <w:t xml:space="preserve">oogmerk om zich boven andere schuldeisers te begunstigen niet </w:t>
      </w:r>
      <w:r w:rsidR="00A13DB9">
        <w:rPr>
          <w:rFonts w:asciiTheme="minorHAnsi" w:hAnsiTheme="minorHAnsi" w:cstheme="minorHAnsi"/>
          <w:b w:val="0"/>
          <w:sz w:val="22"/>
          <w:szCs w:val="22"/>
        </w:rPr>
        <w:t>plaatsvinden</w:t>
      </w:r>
      <w:r w:rsidR="006F5FBA" w:rsidRPr="006F6DF8">
        <w:rPr>
          <w:rFonts w:asciiTheme="minorHAnsi" w:hAnsiTheme="minorHAnsi" w:cstheme="minorHAnsi"/>
          <w:b w:val="0"/>
          <w:sz w:val="22"/>
          <w:szCs w:val="22"/>
        </w:rPr>
        <w:t xml:space="preserve">. </w:t>
      </w:r>
      <w:r w:rsidR="00E96A01" w:rsidRPr="006F6DF8">
        <w:rPr>
          <w:rFonts w:asciiTheme="minorHAnsi" w:hAnsiTheme="minorHAnsi" w:cstheme="minorHAnsi"/>
          <w:b w:val="0"/>
          <w:sz w:val="22"/>
          <w:szCs w:val="22"/>
        </w:rPr>
        <w:t>Het onderzoek in bijlage 1</w:t>
      </w:r>
      <w:r w:rsidR="006F5FBA" w:rsidRPr="006F6DF8">
        <w:rPr>
          <w:rFonts w:asciiTheme="minorHAnsi" w:hAnsiTheme="minorHAnsi" w:cstheme="minorHAnsi"/>
          <w:b w:val="0"/>
          <w:sz w:val="22"/>
          <w:szCs w:val="22"/>
        </w:rPr>
        <w:t xml:space="preserve"> benadrukt </w:t>
      </w:r>
      <w:r w:rsidR="00E96A01" w:rsidRPr="006F6DF8">
        <w:rPr>
          <w:rFonts w:asciiTheme="minorHAnsi" w:hAnsiTheme="minorHAnsi" w:cstheme="minorHAnsi"/>
          <w:b w:val="0"/>
          <w:sz w:val="22"/>
          <w:szCs w:val="22"/>
        </w:rPr>
        <w:t xml:space="preserve">in overeenstemming met de literatuur </w:t>
      </w:r>
      <w:r w:rsidR="006F5FBA" w:rsidRPr="006F6DF8">
        <w:rPr>
          <w:rFonts w:asciiTheme="minorHAnsi" w:hAnsiTheme="minorHAnsi" w:cstheme="minorHAnsi"/>
          <w:b w:val="0"/>
          <w:sz w:val="22"/>
          <w:szCs w:val="22"/>
        </w:rPr>
        <w:t xml:space="preserve">dat dit zowel het oogmerk van de </w:t>
      </w:r>
      <w:r w:rsidR="009154C3" w:rsidRPr="006F6DF8">
        <w:rPr>
          <w:rFonts w:asciiTheme="minorHAnsi" w:hAnsiTheme="minorHAnsi" w:cstheme="minorHAnsi"/>
          <w:b w:val="0"/>
          <w:sz w:val="22"/>
          <w:szCs w:val="22"/>
        </w:rPr>
        <w:t>schuldeiser</w:t>
      </w:r>
      <w:r w:rsidR="006F5FBA" w:rsidRPr="006F6DF8">
        <w:rPr>
          <w:rFonts w:asciiTheme="minorHAnsi" w:hAnsiTheme="minorHAnsi" w:cstheme="minorHAnsi"/>
          <w:b w:val="0"/>
          <w:sz w:val="22"/>
          <w:szCs w:val="22"/>
        </w:rPr>
        <w:t xml:space="preserve"> als van de schuldenaar dient te zijn. </w:t>
      </w:r>
      <w:r w:rsidR="00A13DB9">
        <w:rPr>
          <w:rFonts w:asciiTheme="minorHAnsi" w:hAnsiTheme="minorHAnsi" w:cstheme="minorHAnsi"/>
          <w:b w:val="0"/>
          <w:sz w:val="22"/>
          <w:szCs w:val="22"/>
        </w:rPr>
        <w:t xml:space="preserve"> </w:t>
      </w:r>
    </w:p>
    <w:p w:rsidR="002224EC" w:rsidRDefault="002224EC" w:rsidP="002411AF">
      <w:pPr>
        <w:jc w:val="left"/>
        <w:rPr>
          <w:rFonts w:asciiTheme="minorHAnsi" w:hAnsiTheme="minorHAnsi" w:cstheme="minorHAnsi"/>
          <w:b w:val="0"/>
          <w:sz w:val="22"/>
          <w:szCs w:val="22"/>
        </w:rPr>
      </w:pPr>
    </w:p>
    <w:p w:rsidR="00725AB8" w:rsidRDefault="003C233B" w:rsidP="00D2497B">
      <w:pPr>
        <w:jc w:val="left"/>
        <w:rPr>
          <w:rFonts w:asciiTheme="minorHAnsi" w:hAnsiTheme="minorHAnsi" w:cstheme="minorHAnsi"/>
          <w:b w:val="0"/>
          <w:sz w:val="22"/>
          <w:szCs w:val="22"/>
        </w:rPr>
      </w:pPr>
      <w:r w:rsidRPr="006F6DF8">
        <w:rPr>
          <w:rFonts w:asciiTheme="minorHAnsi" w:hAnsiTheme="minorHAnsi" w:cstheme="minorHAnsi"/>
          <w:b w:val="0"/>
          <w:sz w:val="22"/>
          <w:szCs w:val="22"/>
        </w:rPr>
        <w:t xml:space="preserve">Uit het onderzoek in bijlage 1 kan geconcludeerd worden dat het arrest Mulder q.q./CLBN nog steeds toonaangevend is omtrent het verrekenen in het zicht van het faillissement. </w:t>
      </w:r>
      <w:r w:rsidR="00A07D2E" w:rsidRPr="006F6DF8">
        <w:rPr>
          <w:rFonts w:asciiTheme="minorHAnsi" w:hAnsiTheme="minorHAnsi" w:cstheme="minorHAnsi"/>
          <w:b w:val="0"/>
          <w:sz w:val="22"/>
          <w:szCs w:val="22"/>
        </w:rPr>
        <w:t>Zodoende zijn de</w:t>
      </w:r>
      <w:r w:rsidRPr="006F6DF8">
        <w:rPr>
          <w:rFonts w:asciiTheme="minorHAnsi" w:hAnsiTheme="minorHAnsi" w:cstheme="minorHAnsi"/>
          <w:b w:val="0"/>
          <w:sz w:val="22"/>
          <w:szCs w:val="22"/>
        </w:rPr>
        <w:t xml:space="preserve"> omstandigheden om te mogen verrekenen in </w:t>
      </w:r>
      <w:r w:rsidR="00A07D2E" w:rsidRPr="006F6DF8">
        <w:rPr>
          <w:rFonts w:asciiTheme="minorHAnsi" w:hAnsiTheme="minorHAnsi" w:cstheme="minorHAnsi"/>
          <w:b w:val="0"/>
          <w:sz w:val="22"/>
          <w:szCs w:val="22"/>
        </w:rPr>
        <w:t xml:space="preserve">het zicht van het faillissement </w:t>
      </w:r>
      <w:r w:rsidRPr="006F6DF8">
        <w:rPr>
          <w:rFonts w:asciiTheme="minorHAnsi" w:hAnsiTheme="minorHAnsi" w:cstheme="minorHAnsi"/>
          <w:b w:val="0"/>
          <w:sz w:val="22"/>
          <w:szCs w:val="22"/>
        </w:rPr>
        <w:t>dat degene die zich op verrekening beroept in bezit moet zijn van stille pandrechten. De stil pandhouder kan op basis van die pandrechten verrekenen in het zicht van het faillissement</w:t>
      </w:r>
      <w:r w:rsidR="002019C2" w:rsidRPr="006F6DF8">
        <w:rPr>
          <w:rFonts w:asciiTheme="minorHAnsi" w:hAnsiTheme="minorHAnsi" w:cstheme="minorHAnsi"/>
          <w:b w:val="0"/>
          <w:sz w:val="22"/>
          <w:szCs w:val="22"/>
        </w:rPr>
        <w:t xml:space="preserve">. Het </w:t>
      </w:r>
      <w:r w:rsidR="004576AB" w:rsidRPr="006F6DF8">
        <w:rPr>
          <w:rFonts w:asciiTheme="minorHAnsi" w:hAnsiTheme="minorHAnsi" w:cstheme="minorHAnsi"/>
          <w:b w:val="0"/>
          <w:sz w:val="22"/>
          <w:szCs w:val="22"/>
        </w:rPr>
        <w:t xml:space="preserve">niet te goeder trouw </w:t>
      </w:r>
      <w:r w:rsidR="002019C2" w:rsidRPr="006F6DF8">
        <w:rPr>
          <w:rFonts w:asciiTheme="minorHAnsi" w:hAnsiTheme="minorHAnsi" w:cstheme="minorHAnsi"/>
          <w:b w:val="0"/>
          <w:sz w:val="22"/>
          <w:szCs w:val="22"/>
        </w:rPr>
        <w:t>overnemen van vorderingen</w:t>
      </w:r>
      <w:r w:rsidR="004576AB" w:rsidRPr="006F6DF8">
        <w:rPr>
          <w:rFonts w:asciiTheme="minorHAnsi" w:hAnsiTheme="minorHAnsi" w:cstheme="minorHAnsi"/>
          <w:b w:val="0"/>
          <w:sz w:val="22"/>
          <w:szCs w:val="22"/>
        </w:rPr>
        <w:t xml:space="preserve">, het vestigen van nieuwe </w:t>
      </w:r>
      <w:r w:rsidR="000404BE" w:rsidRPr="006F6DF8">
        <w:rPr>
          <w:rFonts w:asciiTheme="minorHAnsi" w:hAnsiTheme="minorHAnsi" w:cstheme="minorHAnsi"/>
          <w:b w:val="0"/>
          <w:sz w:val="22"/>
          <w:szCs w:val="22"/>
        </w:rPr>
        <w:t xml:space="preserve">stille </w:t>
      </w:r>
      <w:r w:rsidR="004576AB" w:rsidRPr="006F6DF8">
        <w:rPr>
          <w:rFonts w:asciiTheme="minorHAnsi" w:hAnsiTheme="minorHAnsi" w:cstheme="minorHAnsi"/>
          <w:b w:val="0"/>
          <w:sz w:val="22"/>
          <w:szCs w:val="22"/>
        </w:rPr>
        <w:t>pandrechten en overleg tussen de pandhouder en pandgever in het z</w:t>
      </w:r>
      <w:r w:rsidR="007C52ED" w:rsidRPr="006F6DF8">
        <w:rPr>
          <w:rFonts w:asciiTheme="minorHAnsi" w:hAnsiTheme="minorHAnsi" w:cstheme="minorHAnsi"/>
          <w:b w:val="0"/>
          <w:sz w:val="22"/>
          <w:szCs w:val="22"/>
        </w:rPr>
        <w:t>icht van het faillissement staan</w:t>
      </w:r>
      <w:r w:rsidR="004576AB" w:rsidRPr="006F6DF8">
        <w:rPr>
          <w:rFonts w:asciiTheme="minorHAnsi" w:hAnsiTheme="minorHAnsi" w:cstheme="minorHAnsi"/>
          <w:b w:val="0"/>
          <w:sz w:val="22"/>
          <w:szCs w:val="22"/>
        </w:rPr>
        <w:t xml:space="preserve"> verrekening in de weg.</w:t>
      </w:r>
      <w:r w:rsidR="002411AF" w:rsidRPr="006F6DF8">
        <w:rPr>
          <w:rFonts w:asciiTheme="minorHAnsi" w:hAnsiTheme="minorHAnsi" w:cstheme="minorHAnsi"/>
          <w:b w:val="0"/>
          <w:sz w:val="22"/>
          <w:szCs w:val="22"/>
        </w:rPr>
        <w:t xml:space="preserve"> De Rabobank in de casus </w:t>
      </w:r>
      <w:r w:rsidR="005D7E3D" w:rsidRPr="006F6DF8">
        <w:rPr>
          <w:rFonts w:asciiTheme="minorHAnsi" w:hAnsiTheme="minorHAnsi" w:cstheme="minorHAnsi"/>
          <w:b w:val="0"/>
          <w:sz w:val="22"/>
          <w:szCs w:val="22"/>
        </w:rPr>
        <w:t>was op de hoogte</w:t>
      </w:r>
      <w:r w:rsidR="002411AF" w:rsidRPr="006F6DF8">
        <w:rPr>
          <w:rFonts w:asciiTheme="minorHAnsi" w:hAnsiTheme="minorHAnsi" w:cstheme="minorHAnsi"/>
          <w:b w:val="0"/>
          <w:sz w:val="22"/>
          <w:szCs w:val="22"/>
        </w:rPr>
        <w:t xml:space="preserve"> van de faillissementsaanvraag van de winkel</w:t>
      </w:r>
      <w:r w:rsidR="005D7E3D" w:rsidRPr="006F6DF8">
        <w:rPr>
          <w:rFonts w:asciiTheme="minorHAnsi" w:hAnsiTheme="minorHAnsi" w:cstheme="minorHAnsi"/>
          <w:b w:val="0"/>
          <w:sz w:val="22"/>
          <w:szCs w:val="22"/>
        </w:rPr>
        <w:t>, de winkel had haar dit immers medegedeeld. Z</w:t>
      </w:r>
      <w:r w:rsidR="002411AF" w:rsidRPr="006F6DF8">
        <w:rPr>
          <w:rFonts w:asciiTheme="minorHAnsi" w:hAnsiTheme="minorHAnsi" w:cstheme="minorHAnsi"/>
          <w:b w:val="0"/>
          <w:sz w:val="22"/>
          <w:szCs w:val="22"/>
        </w:rPr>
        <w:t xml:space="preserve">odoende </w:t>
      </w:r>
      <w:r w:rsidR="005D7E3D" w:rsidRPr="006F6DF8">
        <w:rPr>
          <w:rFonts w:asciiTheme="minorHAnsi" w:hAnsiTheme="minorHAnsi" w:cstheme="minorHAnsi"/>
          <w:b w:val="0"/>
          <w:sz w:val="22"/>
          <w:szCs w:val="22"/>
        </w:rPr>
        <w:t xml:space="preserve">mocht de Rabobank </w:t>
      </w:r>
      <w:r w:rsidR="002411AF" w:rsidRPr="006F6DF8">
        <w:rPr>
          <w:rFonts w:asciiTheme="minorHAnsi" w:hAnsiTheme="minorHAnsi" w:cstheme="minorHAnsi"/>
          <w:b w:val="0"/>
          <w:sz w:val="22"/>
          <w:szCs w:val="22"/>
        </w:rPr>
        <w:t xml:space="preserve">geen nieuwe stille pandrechten vestigen. De Rabobank heeft zodoende geen grond om te kunnen verrekenen in het zicht van </w:t>
      </w:r>
      <w:r w:rsidR="0066171A" w:rsidRPr="006F6DF8">
        <w:rPr>
          <w:rFonts w:asciiTheme="minorHAnsi" w:hAnsiTheme="minorHAnsi" w:cstheme="minorHAnsi"/>
          <w:b w:val="0"/>
          <w:sz w:val="22"/>
          <w:szCs w:val="22"/>
        </w:rPr>
        <w:t>het</w:t>
      </w:r>
      <w:r w:rsidR="00D2497B">
        <w:rPr>
          <w:rFonts w:asciiTheme="minorHAnsi" w:hAnsiTheme="minorHAnsi" w:cstheme="minorHAnsi"/>
          <w:b w:val="0"/>
          <w:sz w:val="22"/>
          <w:szCs w:val="22"/>
        </w:rPr>
        <w:t xml:space="preserve"> faillissement.</w:t>
      </w:r>
    </w:p>
    <w:p w:rsidR="00777539" w:rsidRPr="00914D82" w:rsidRDefault="00BF76E7" w:rsidP="00833C72">
      <w:pPr>
        <w:pStyle w:val="Kop1"/>
        <w:rPr>
          <w:sz w:val="36"/>
        </w:rPr>
      </w:pPr>
      <w:bookmarkStart w:id="40" w:name="_Toc486246634"/>
      <w:r>
        <w:rPr>
          <w:sz w:val="36"/>
        </w:rPr>
        <w:lastRenderedPageBreak/>
        <w:t>Hoofdstuk 7</w:t>
      </w:r>
      <w:bookmarkEnd w:id="40"/>
    </w:p>
    <w:p w:rsidR="00833C72" w:rsidRPr="00BF76E7" w:rsidRDefault="00BF76E7" w:rsidP="00BF76E7">
      <w:pPr>
        <w:pStyle w:val="Kop4"/>
        <w:rPr>
          <w:sz w:val="26"/>
          <w:szCs w:val="26"/>
        </w:rPr>
      </w:pPr>
      <w:r w:rsidRPr="00BF76E7">
        <w:rPr>
          <w:sz w:val="26"/>
          <w:szCs w:val="26"/>
        </w:rPr>
        <w:t>- Conclusie -</w:t>
      </w:r>
    </w:p>
    <w:p w:rsidR="00E3293D" w:rsidRPr="00B0149A" w:rsidRDefault="00777539" w:rsidP="00E3293D">
      <w:pPr>
        <w:jc w:val="left"/>
        <w:rPr>
          <w:rFonts w:asciiTheme="minorHAnsi" w:hAnsiTheme="minorHAnsi" w:cstheme="minorHAnsi"/>
          <w:b w:val="0"/>
          <w:sz w:val="22"/>
          <w:szCs w:val="22"/>
        </w:rPr>
      </w:pPr>
      <w:r w:rsidRPr="00B0149A">
        <w:rPr>
          <w:rFonts w:asciiTheme="minorHAnsi" w:hAnsiTheme="minorHAnsi" w:cstheme="minorHAnsi"/>
          <w:b w:val="0"/>
          <w:sz w:val="22"/>
        </w:rPr>
        <w:t xml:space="preserve">RCDJ advocaten loopt er tegenaan dat zij geen duidelijk advies aan </w:t>
      </w:r>
      <w:r w:rsidR="00833C72" w:rsidRPr="00B0149A">
        <w:rPr>
          <w:rFonts w:asciiTheme="minorHAnsi" w:hAnsiTheme="minorHAnsi" w:cstheme="minorHAnsi"/>
          <w:b w:val="0"/>
          <w:sz w:val="22"/>
        </w:rPr>
        <w:t>haar</w:t>
      </w:r>
      <w:r w:rsidRPr="00B0149A">
        <w:rPr>
          <w:rFonts w:asciiTheme="minorHAnsi" w:hAnsiTheme="minorHAnsi" w:cstheme="minorHAnsi"/>
          <w:b w:val="0"/>
          <w:sz w:val="22"/>
        </w:rPr>
        <w:t xml:space="preserve"> cliënten </w:t>
      </w:r>
      <w:r w:rsidR="00833C72" w:rsidRPr="00B0149A">
        <w:rPr>
          <w:rFonts w:asciiTheme="minorHAnsi" w:hAnsiTheme="minorHAnsi" w:cstheme="minorHAnsi"/>
          <w:b w:val="0"/>
          <w:sz w:val="22"/>
        </w:rPr>
        <w:t>kan</w:t>
      </w:r>
      <w:r w:rsidRPr="00B0149A">
        <w:rPr>
          <w:rFonts w:asciiTheme="minorHAnsi" w:hAnsiTheme="minorHAnsi" w:cstheme="minorHAnsi"/>
          <w:b w:val="0"/>
          <w:sz w:val="22"/>
        </w:rPr>
        <w:t xml:space="preserve"> verstrekken omtrent het verrekenen in het zicht van een faillissement. Zodoende worden dit soort situaties altijd onderhands afgehandeld tussen de bank en de failliet verklaarde. De situatie die zich bij RCDJ advocaten voordoet is heel specifiek maar beslaat een groot aantal rechtsgebieden en onderwerpen. Er is te weinig kennis in huis over het mogen verrekenen en verpanden van vorderingen in het zicht van een faillissement. </w:t>
      </w:r>
      <w:r w:rsidR="00E3293D" w:rsidRPr="00B0149A">
        <w:rPr>
          <w:rFonts w:asciiTheme="minorHAnsi" w:hAnsiTheme="minorHAnsi" w:cstheme="minorHAnsi"/>
          <w:b w:val="0"/>
          <w:sz w:val="22"/>
        </w:rPr>
        <w:t>Zodoende wil RCDJ advocaten weten w</w:t>
      </w:r>
      <w:r w:rsidR="00E3293D" w:rsidRPr="00B0149A">
        <w:rPr>
          <w:rFonts w:asciiTheme="minorHAnsi" w:hAnsiTheme="minorHAnsi" w:cstheme="minorHAnsi"/>
          <w:b w:val="0"/>
          <w:sz w:val="22"/>
          <w:szCs w:val="28"/>
        </w:rPr>
        <w:t>elk advies zij blijkens literatuur en jurisprudentie aan haar cliënten kan geven omtrent verrekening van verpande vorderingen (</w:t>
      </w:r>
      <w:r w:rsidR="00E3293D" w:rsidRPr="00B0149A">
        <w:rPr>
          <w:rFonts w:asciiTheme="minorHAnsi" w:hAnsiTheme="minorHAnsi" w:cstheme="minorHAnsi"/>
          <w:b w:val="0"/>
          <w:sz w:val="22"/>
          <w:szCs w:val="22"/>
        </w:rPr>
        <w:t>pinbetalingen) in het zicht van een faillissement.</w:t>
      </w:r>
    </w:p>
    <w:p w:rsidR="00E3293D" w:rsidRPr="00B0149A" w:rsidRDefault="00E3293D" w:rsidP="00777539">
      <w:pPr>
        <w:jc w:val="left"/>
        <w:rPr>
          <w:rFonts w:asciiTheme="minorHAnsi" w:hAnsiTheme="minorHAnsi" w:cstheme="minorHAnsi"/>
          <w:b w:val="0"/>
          <w:sz w:val="22"/>
          <w:szCs w:val="22"/>
        </w:rPr>
      </w:pPr>
    </w:p>
    <w:p w:rsidR="00D73F0D" w:rsidRPr="00B0149A" w:rsidRDefault="00777539" w:rsidP="00777539">
      <w:pPr>
        <w:jc w:val="left"/>
        <w:rPr>
          <w:rFonts w:asciiTheme="minorHAnsi" w:hAnsiTheme="minorHAnsi" w:cstheme="minorHAnsi"/>
          <w:b w:val="0"/>
          <w:sz w:val="22"/>
          <w:szCs w:val="22"/>
        </w:rPr>
      </w:pPr>
      <w:r w:rsidRPr="00B0149A">
        <w:rPr>
          <w:rFonts w:asciiTheme="minorHAnsi" w:hAnsiTheme="minorHAnsi" w:cstheme="minorHAnsi"/>
          <w:b w:val="0"/>
          <w:sz w:val="22"/>
          <w:szCs w:val="22"/>
        </w:rPr>
        <w:t xml:space="preserve">Uit </w:t>
      </w:r>
      <w:r w:rsidR="00FC7240" w:rsidRPr="00B0149A">
        <w:rPr>
          <w:rFonts w:asciiTheme="minorHAnsi" w:hAnsiTheme="minorHAnsi" w:cstheme="minorHAnsi"/>
          <w:b w:val="0"/>
          <w:sz w:val="22"/>
          <w:szCs w:val="22"/>
        </w:rPr>
        <w:t>het arrest Mulder q.q./CLBN, dat in 1995 antwoord op de mogelijkheid tot verrekenen in het zicht van het faillissement heeft gegeven,</w:t>
      </w:r>
      <w:r w:rsidRPr="00B0149A">
        <w:rPr>
          <w:rFonts w:asciiTheme="minorHAnsi" w:hAnsiTheme="minorHAnsi" w:cstheme="minorHAnsi"/>
          <w:b w:val="0"/>
          <w:sz w:val="22"/>
          <w:szCs w:val="22"/>
        </w:rPr>
        <w:t xml:space="preserve"> </w:t>
      </w:r>
      <w:r w:rsidR="001632F2" w:rsidRPr="00B0149A">
        <w:rPr>
          <w:rFonts w:asciiTheme="minorHAnsi" w:hAnsiTheme="minorHAnsi" w:cstheme="minorHAnsi"/>
          <w:b w:val="0"/>
          <w:sz w:val="22"/>
          <w:szCs w:val="22"/>
        </w:rPr>
        <w:t>vloeit voort</w:t>
      </w:r>
      <w:r w:rsidRPr="00B0149A">
        <w:rPr>
          <w:rFonts w:asciiTheme="minorHAnsi" w:hAnsiTheme="minorHAnsi" w:cstheme="minorHAnsi"/>
          <w:b w:val="0"/>
          <w:sz w:val="22"/>
          <w:szCs w:val="22"/>
        </w:rPr>
        <w:t xml:space="preserve"> dat </w:t>
      </w:r>
      <w:r w:rsidR="00E3293D" w:rsidRPr="00B0149A">
        <w:rPr>
          <w:rFonts w:asciiTheme="minorHAnsi" w:hAnsiTheme="minorHAnsi" w:cstheme="minorHAnsi"/>
          <w:b w:val="0"/>
          <w:sz w:val="22"/>
          <w:szCs w:val="22"/>
        </w:rPr>
        <w:t>het hebben van een stil</w:t>
      </w:r>
      <w:r w:rsidRPr="00B0149A">
        <w:rPr>
          <w:rFonts w:asciiTheme="minorHAnsi" w:hAnsiTheme="minorHAnsi" w:cstheme="minorHAnsi"/>
          <w:b w:val="0"/>
          <w:sz w:val="22"/>
          <w:szCs w:val="22"/>
        </w:rPr>
        <w:t xml:space="preserve"> pandrecht nodig is om te mogen verrekenen in het zicht van een faillissement. </w:t>
      </w:r>
      <w:r w:rsidR="00BC40D9" w:rsidRPr="00B0149A">
        <w:rPr>
          <w:rFonts w:asciiTheme="minorHAnsi" w:hAnsiTheme="minorHAnsi" w:cstheme="minorHAnsi"/>
          <w:b w:val="0"/>
          <w:sz w:val="22"/>
          <w:szCs w:val="22"/>
        </w:rPr>
        <w:t xml:space="preserve">Dit arrest is </w:t>
      </w:r>
      <w:r w:rsidR="00F8576F" w:rsidRPr="00B0149A">
        <w:rPr>
          <w:rFonts w:asciiTheme="minorHAnsi" w:hAnsiTheme="minorHAnsi" w:cstheme="minorHAnsi"/>
          <w:b w:val="0"/>
          <w:sz w:val="22"/>
          <w:szCs w:val="22"/>
        </w:rPr>
        <w:t xml:space="preserve">krachtens literatuur- en jurisprudentieonderzoek </w:t>
      </w:r>
      <w:r w:rsidR="00BC40D9" w:rsidRPr="00B0149A">
        <w:rPr>
          <w:rFonts w:asciiTheme="minorHAnsi" w:hAnsiTheme="minorHAnsi" w:cstheme="minorHAnsi"/>
          <w:b w:val="0"/>
          <w:sz w:val="22"/>
          <w:szCs w:val="22"/>
        </w:rPr>
        <w:t xml:space="preserve">nog steeds de leidraad omtrent verrekenen in het zicht van het faillissement. </w:t>
      </w:r>
      <w:r w:rsidR="00E013ED" w:rsidRPr="00B0149A">
        <w:rPr>
          <w:rFonts w:asciiTheme="minorHAnsi" w:hAnsiTheme="minorHAnsi" w:cstheme="minorHAnsi"/>
          <w:b w:val="0"/>
          <w:sz w:val="22"/>
          <w:szCs w:val="22"/>
        </w:rPr>
        <w:t xml:space="preserve">Het stil pandrecht was in </w:t>
      </w:r>
      <w:r w:rsidR="00796B85" w:rsidRPr="00B0149A">
        <w:rPr>
          <w:rFonts w:asciiTheme="minorHAnsi" w:hAnsiTheme="minorHAnsi" w:cstheme="minorHAnsi"/>
          <w:b w:val="0"/>
          <w:sz w:val="22"/>
          <w:szCs w:val="22"/>
        </w:rPr>
        <w:t>dit arrest</w:t>
      </w:r>
      <w:r w:rsidR="00E013ED" w:rsidRPr="00B0149A">
        <w:rPr>
          <w:rFonts w:asciiTheme="minorHAnsi" w:hAnsiTheme="minorHAnsi" w:cstheme="minorHAnsi"/>
          <w:b w:val="0"/>
          <w:sz w:val="22"/>
          <w:szCs w:val="22"/>
        </w:rPr>
        <w:t xml:space="preserve"> op vorderingen gevestigd overeenkomend met de casus. In de huidige jurisprudentie is aan het arrest Mulder toegevoegd dat een vordering onder het pandrecht moet vallen om ermee te kunnen verrekenen. Indien een vordering na faillietverklaring is ontstaan en niet onder het pandrecht valt kan er niet mee worden verrekend.  Daarbij dient het stil pandrecht te bestaan om ermee te kunnen verrekenen in het zicht van een faillissement. Het pandrecht mag zodoende niet teniet gegaan zijn door voltooiing van de vordering waar het op is gevestigd. </w:t>
      </w:r>
      <w:r w:rsidRPr="00B0149A">
        <w:rPr>
          <w:rFonts w:asciiTheme="minorHAnsi" w:hAnsiTheme="minorHAnsi" w:cstheme="minorHAnsi"/>
          <w:b w:val="0"/>
          <w:sz w:val="22"/>
          <w:szCs w:val="22"/>
        </w:rPr>
        <w:t xml:space="preserve">Het nadeel van </w:t>
      </w:r>
      <w:r w:rsidR="004C321F" w:rsidRPr="00B0149A">
        <w:rPr>
          <w:rFonts w:asciiTheme="minorHAnsi" w:hAnsiTheme="minorHAnsi" w:cstheme="minorHAnsi"/>
          <w:b w:val="0"/>
          <w:sz w:val="22"/>
          <w:szCs w:val="22"/>
        </w:rPr>
        <w:t xml:space="preserve">pandrechten op </w:t>
      </w:r>
      <w:r w:rsidRPr="00B0149A">
        <w:rPr>
          <w:rFonts w:asciiTheme="minorHAnsi" w:hAnsiTheme="minorHAnsi" w:cstheme="minorHAnsi"/>
          <w:b w:val="0"/>
          <w:sz w:val="22"/>
          <w:szCs w:val="22"/>
        </w:rPr>
        <w:t xml:space="preserve">vorderingen is dat ze </w:t>
      </w:r>
      <w:r w:rsidR="002461E3" w:rsidRPr="00B0149A">
        <w:rPr>
          <w:rFonts w:asciiTheme="minorHAnsi" w:hAnsiTheme="minorHAnsi" w:cstheme="minorHAnsi"/>
          <w:b w:val="0"/>
          <w:sz w:val="22"/>
          <w:szCs w:val="22"/>
        </w:rPr>
        <w:t xml:space="preserve">vaak </w:t>
      </w:r>
      <w:r w:rsidRPr="00B0149A">
        <w:rPr>
          <w:rFonts w:asciiTheme="minorHAnsi" w:hAnsiTheme="minorHAnsi" w:cstheme="minorHAnsi"/>
          <w:b w:val="0"/>
          <w:sz w:val="22"/>
          <w:szCs w:val="22"/>
        </w:rPr>
        <w:t xml:space="preserve">maar korte tijd bestaan en dat door voltooiing van de vorderingen het pandrecht teniet gaat. </w:t>
      </w:r>
    </w:p>
    <w:p w:rsidR="00D73F0D" w:rsidRPr="00B0149A" w:rsidRDefault="00D73F0D" w:rsidP="00777539">
      <w:pPr>
        <w:jc w:val="left"/>
        <w:rPr>
          <w:rFonts w:asciiTheme="minorHAnsi" w:hAnsiTheme="minorHAnsi" w:cstheme="minorHAnsi"/>
          <w:b w:val="0"/>
          <w:sz w:val="22"/>
          <w:szCs w:val="22"/>
        </w:rPr>
      </w:pPr>
    </w:p>
    <w:p w:rsidR="00022697" w:rsidRPr="00B0149A" w:rsidRDefault="004F6285" w:rsidP="00022697">
      <w:pPr>
        <w:jc w:val="left"/>
        <w:rPr>
          <w:rFonts w:asciiTheme="minorHAnsi" w:hAnsiTheme="minorHAnsi" w:cstheme="minorHAnsi"/>
          <w:b w:val="0"/>
          <w:sz w:val="22"/>
          <w:szCs w:val="22"/>
        </w:rPr>
      </w:pPr>
      <w:r w:rsidRPr="00B0149A">
        <w:rPr>
          <w:rFonts w:asciiTheme="minorHAnsi" w:hAnsiTheme="minorHAnsi" w:cstheme="minorHAnsi"/>
          <w:b w:val="0"/>
          <w:sz w:val="22"/>
          <w:szCs w:val="22"/>
        </w:rPr>
        <w:t xml:space="preserve">In het onderzoek draait het specifiek om het verpanden van pinvorderingen. </w:t>
      </w:r>
      <w:r w:rsidR="00D54E90" w:rsidRPr="00B0149A">
        <w:rPr>
          <w:rFonts w:asciiTheme="minorHAnsi" w:hAnsiTheme="minorHAnsi" w:cstheme="minorHAnsi"/>
          <w:b w:val="0"/>
          <w:sz w:val="22"/>
          <w:szCs w:val="22"/>
        </w:rPr>
        <w:t xml:space="preserve">Dit lijkt uit te maken voor het moment van voltooiing van de vordering. </w:t>
      </w:r>
      <w:r w:rsidR="00777539" w:rsidRPr="00B0149A">
        <w:rPr>
          <w:rFonts w:asciiTheme="minorHAnsi" w:hAnsiTheme="minorHAnsi" w:cstheme="minorHAnsi"/>
          <w:b w:val="0"/>
          <w:sz w:val="22"/>
          <w:szCs w:val="22"/>
        </w:rPr>
        <w:t xml:space="preserve">Pinbetalingen </w:t>
      </w:r>
      <w:r w:rsidR="00E8607A">
        <w:rPr>
          <w:rFonts w:asciiTheme="minorHAnsi" w:hAnsiTheme="minorHAnsi" w:cstheme="minorHAnsi"/>
          <w:b w:val="0"/>
          <w:sz w:val="22"/>
          <w:szCs w:val="22"/>
        </w:rPr>
        <w:t xml:space="preserve">zijn vatbaar voor verpanding en </w:t>
      </w:r>
      <w:r w:rsidR="00777539" w:rsidRPr="00B0149A">
        <w:rPr>
          <w:rFonts w:asciiTheme="minorHAnsi" w:hAnsiTheme="minorHAnsi" w:cstheme="minorHAnsi"/>
          <w:b w:val="0"/>
          <w:sz w:val="22"/>
          <w:szCs w:val="22"/>
        </w:rPr>
        <w:t>worden alleen op werkdagen verwerkt</w:t>
      </w:r>
      <w:r w:rsidR="0066447C">
        <w:rPr>
          <w:rFonts w:asciiTheme="minorHAnsi" w:hAnsiTheme="minorHAnsi" w:cstheme="minorHAnsi"/>
          <w:b w:val="0"/>
          <w:sz w:val="22"/>
          <w:szCs w:val="22"/>
        </w:rPr>
        <w:t>. Het</w:t>
      </w:r>
      <w:r w:rsidR="00777539" w:rsidRPr="00B0149A">
        <w:rPr>
          <w:rFonts w:asciiTheme="minorHAnsi" w:hAnsiTheme="minorHAnsi" w:cstheme="minorHAnsi"/>
          <w:b w:val="0"/>
          <w:sz w:val="22"/>
          <w:szCs w:val="22"/>
        </w:rPr>
        <w:t xml:space="preserve"> verschilt per bank of het op dezelfde of de volgende werkdag </w:t>
      </w:r>
      <w:r w:rsidR="00FB4B77">
        <w:rPr>
          <w:rFonts w:asciiTheme="minorHAnsi" w:hAnsiTheme="minorHAnsi" w:cstheme="minorHAnsi"/>
          <w:b w:val="0"/>
          <w:sz w:val="22"/>
          <w:szCs w:val="22"/>
        </w:rPr>
        <w:t>wordt verwerkt</w:t>
      </w:r>
      <w:r w:rsidR="00777539" w:rsidRPr="00B0149A">
        <w:rPr>
          <w:rFonts w:asciiTheme="minorHAnsi" w:hAnsiTheme="minorHAnsi" w:cstheme="minorHAnsi"/>
          <w:b w:val="0"/>
          <w:sz w:val="22"/>
          <w:szCs w:val="22"/>
        </w:rPr>
        <w:t xml:space="preserve">. Als een pinbetaling van de </w:t>
      </w:r>
      <w:r w:rsidR="004F60F7" w:rsidRPr="00B0149A">
        <w:rPr>
          <w:rFonts w:asciiTheme="minorHAnsi" w:hAnsiTheme="minorHAnsi" w:cstheme="minorHAnsi"/>
          <w:b w:val="0"/>
          <w:sz w:val="22"/>
          <w:szCs w:val="22"/>
        </w:rPr>
        <w:t>debiteur</w:t>
      </w:r>
      <w:r w:rsidR="00777539" w:rsidRPr="00B0149A">
        <w:rPr>
          <w:rFonts w:asciiTheme="minorHAnsi" w:hAnsiTheme="minorHAnsi" w:cstheme="minorHAnsi"/>
          <w:b w:val="0"/>
          <w:sz w:val="22"/>
          <w:szCs w:val="22"/>
        </w:rPr>
        <w:t xml:space="preserve"> is gecrediteerd op de bankrekening van de </w:t>
      </w:r>
      <w:r w:rsidR="004F60F7" w:rsidRPr="00B0149A">
        <w:rPr>
          <w:rFonts w:asciiTheme="minorHAnsi" w:hAnsiTheme="minorHAnsi" w:cstheme="minorHAnsi"/>
          <w:b w:val="0"/>
          <w:sz w:val="22"/>
          <w:szCs w:val="22"/>
        </w:rPr>
        <w:t>pandgever</w:t>
      </w:r>
      <w:r w:rsidR="00777539" w:rsidRPr="00B0149A">
        <w:rPr>
          <w:rFonts w:asciiTheme="minorHAnsi" w:hAnsiTheme="minorHAnsi" w:cstheme="minorHAnsi"/>
          <w:b w:val="0"/>
          <w:sz w:val="22"/>
          <w:szCs w:val="22"/>
        </w:rPr>
        <w:t xml:space="preserve"> </w:t>
      </w:r>
      <w:r w:rsidR="004F60F7" w:rsidRPr="00B0149A">
        <w:rPr>
          <w:rFonts w:asciiTheme="minorHAnsi" w:hAnsiTheme="minorHAnsi" w:cstheme="minorHAnsi"/>
          <w:b w:val="0"/>
          <w:sz w:val="22"/>
          <w:szCs w:val="22"/>
        </w:rPr>
        <w:t>is</w:t>
      </w:r>
      <w:r w:rsidR="00777539" w:rsidRPr="00B0149A">
        <w:rPr>
          <w:rFonts w:asciiTheme="minorHAnsi" w:hAnsiTheme="minorHAnsi" w:cstheme="minorHAnsi"/>
          <w:b w:val="0"/>
          <w:sz w:val="22"/>
          <w:szCs w:val="22"/>
        </w:rPr>
        <w:t xml:space="preserve"> de vordering voltooid, tot die tijd is de vordering vatbaar voor verpanding. De verpanding van </w:t>
      </w:r>
      <w:r w:rsidR="00EF729B" w:rsidRPr="00B0149A">
        <w:rPr>
          <w:rFonts w:asciiTheme="minorHAnsi" w:hAnsiTheme="minorHAnsi" w:cstheme="minorHAnsi"/>
          <w:b w:val="0"/>
          <w:sz w:val="22"/>
          <w:szCs w:val="22"/>
        </w:rPr>
        <w:t>de pinvorderingen</w:t>
      </w:r>
      <w:r w:rsidR="00777539" w:rsidRPr="00B0149A">
        <w:rPr>
          <w:rFonts w:asciiTheme="minorHAnsi" w:hAnsiTheme="minorHAnsi" w:cstheme="minorHAnsi"/>
          <w:b w:val="0"/>
          <w:sz w:val="22"/>
          <w:szCs w:val="22"/>
        </w:rPr>
        <w:t xml:space="preserve"> vindt </w:t>
      </w:r>
      <w:r w:rsidR="00EF729B" w:rsidRPr="00B0149A">
        <w:rPr>
          <w:rFonts w:asciiTheme="minorHAnsi" w:hAnsiTheme="minorHAnsi" w:cstheme="minorHAnsi"/>
          <w:b w:val="0"/>
          <w:sz w:val="22"/>
          <w:szCs w:val="22"/>
        </w:rPr>
        <w:t xml:space="preserve">in de casus </w:t>
      </w:r>
      <w:r w:rsidR="00777539" w:rsidRPr="00B0149A">
        <w:rPr>
          <w:rFonts w:asciiTheme="minorHAnsi" w:hAnsiTheme="minorHAnsi" w:cstheme="minorHAnsi"/>
          <w:b w:val="0"/>
          <w:sz w:val="22"/>
          <w:szCs w:val="22"/>
        </w:rPr>
        <w:t>plaats door middel van verzamelpandakten om zodoende zo snel en zoveel mogelijk pandrechten te kunnen vestigen. Een verzamelpandakte verpand</w:t>
      </w:r>
      <w:r w:rsidR="00EF729B" w:rsidRPr="00B0149A">
        <w:rPr>
          <w:rFonts w:asciiTheme="minorHAnsi" w:hAnsiTheme="minorHAnsi" w:cstheme="minorHAnsi"/>
          <w:b w:val="0"/>
          <w:sz w:val="22"/>
          <w:szCs w:val="22"/>
        </w:rPr>
        <w:t xml:space="preserve"> namelijk</w:t>
      </w:r>
      <w:r w:rsidR="00777539" w:rsidRPr="00B0149A">
        <w:rPr>
          <w:rFonts w:asciiTheme="minorHAnsi" w:hAnsiTheme="minorHAnsi" w:cstheme="minorHAnsi"/>
          <w:b w:val="0"/>
          <w:sz w:val="22"/>
          <w:szCs w:val="22"/>
        </w:rPr>
        <w:t xml:space="preserve"> in één keer alle vorderingen die op de dag van registratie van de </w:t>
      </w:r>
      <w:proofErr w:type="spellStart"/>
      <w:r w:rsidR="00777539" w:rsidRPr="00B0149A">
        <w:rPr>
          <w:rFonts w:asciiTheme="minorHAnsi" w:hAnsiTheme="minorHAnsi" w:cstheme="minorHAnsi"/>
          <w:b w:val="0"/>
          <w:sz w:val="22"/>
          <w:szCs w:val="22"/>
        </w:rPr>
        <w:t>pandakte</w:t>
      </w:r>
      <w:proofErr w:type="spellEnd"/>
      <w:r w:rsidR="00777539" w:rsidRPr="00B0149A">
        <w:rPr>
          <w:rFonts w:asciiTheme="minorHAnsi" w:hAnsiTheme="minorHAnsi" w:cstheme="minorHAnsi"/>
          <w:b w:val="0"/>
          <w:sz w:val="22"/>
          <w:szCs w:val="22"/>
        </w:rPr>
        <w:t xml:space="preserve"> ontstaan. Vorderingen die op feestdagen of in weekenden ontstaan zullen de eerstvolgende werkdag via een verzamelpandakte worden verpand. Het nadeel van het verpanden van (pin)vorderingen is dat de vorderingen maar korte tijd bestaan en dat door voltooiing ervan de pandrechten teniet gaan. Daarbij komt dat slechts onder bepaalde omstandigheden verpand mag worden. In ieder geval mag men voor verpanding in het zicht van een faillissement niet op de hoogte zijn van het faillissement.</w:t>
      </w:r>
      <w:r w:rsidR="00B0149A">
        <w:rPr>
          <w:rFonts w:asciiTheme="minorHAnsi" w:hAnsiTheme="minorHAnsi" w:cstheme="minorHAnsi"/>
          <w:b w:val="0"/>
          <w:sz w:val="22"/>
          <w:szCs w:val="22"/>
        </w:rPr>
        <w:t xml:space="preserve"> </w:t>
      </w:r>
      <w:r w:rsidR="00777539" w:rsidRPr="00B0149A">
        <w:rPr>
          <w:rFonts w:asciiTheme="minorHAnsi" w:hAnsiTheme="minorHAnsi" w:cstheme="minorHAnsi"/>
          <w:b w:val="0"/>
          <w:sz w:val="22"/>
          <w:szCs w:val="22"/>
        </w:rPr>
        <w:t xml:space="preserve">Het vestigen van pandrechten via verzamelpandakten op vorderingen die door middel van pinbetalingen worden voldaan is dus mogelijk. De verzamelpandakte zorgt ervoor dat alle pandrechten, die op de dag van registratie van de akte worden gevestigd, tot stand komen. </w:t>
      </w:r>
    </w:p>
    <w:p w:rsidR="00022697" w:rsidRPr="00B0149A" w:rsidRDefault="00022697" w:rsidP="00022697">
      <w:pPr>
        <w:jc w:val="left"/>
        <w:rPr>
          <w:rFonts w:asciiTheme="minorHAnsi" w:hAnsiTheme="minorHAnsi" w:cstheme="minorHAnsi"/>
          <w:b w:val="0"/>
          <w:sz w:val="22"/>
          <w:szCs w:val="22"/>
        </w:rPr>
      </w:pPr>
    </w:p>
    <w:p w:rsidR="00B87E3D" w:rsidRPr="00B0149A" w:rsidRDefault="00860227" w:rsidP="00022697">
      <w:pPr>
        <w:jc w:val="left"/>
        <w:rPr>
          <w:rFonts w:asciiTheme="minorHAnsi" w:hAnsiTheme="minorHAnsi" w:cstheme="minorHAnsi"/>
          <w:b w:val="0"/>
          <w:sz w:val="22"/>
          <w:szCs w:val="22"/>
        </w:rPr>
      </w:pPr>
      <w:r w:rsidRPr="00B0149A">
        <w:rPr>
          <w:rFonts w:asciiTheme="minorHAnsi" w:hAnsiTheme="minorHAnsi" w:cstheme="minorHAnsi"/>
          <w:b w:val="0"/>
          <w:sz w:val="22"/>
          <w:szCs w:val="22"/>
        </w:rPr>
        <w:t xml:space="preserve">Terugkomend op het arrest Mulder q.q./CLBN. </w:t>
      </w:r>
      <w:r w:rsidR="00022697" w:rsidRPr="00B0149A">
        <w:rPr>
          <w:rFonts w:asciiTheme="minorHAnsi" w:hAnsiTheme="minorHAnsi" w:cstheme="minorHAnsi"/>
          <w:b w:val="0"/>
          <w:sz w:val="22"/>
          <w:szCs w:val="22"/>
        </w:rPr>
        <w:t xml:space="preserve">Volgens </w:t>
      </w:r>
      <w:r w:rsidRPr="00B0149A">
        <w:rPr>
          <w:rFonts w:asciiTheme="minorHAnsi" w:hAnsiTheme="minorHAnsi" w:cstheme="minorHAnsi"/>
          <w:b w:val="0"/>
          <w:sz w:val="22"/>
          <w:szCs w:val="22"/>
        </w:rPr>
        <w:t>dit arrest</w:t>
      </w:r>
      <w:r w:rsidR="00022697" w:rsidRPr="00B0149A">
        <w:rPr>
          <w:rFonts w:asciiTheme="minorHAnsi" w:hAnsiTheme="minorHAnsi" w:cstheme="minorHAnsi"/>
          <w:b w:val="0"/>
          <w:sz w:val="22"/>
          <w:szCs w:val="22"/>
        </w:rPr>
        <w:t xml:space="preserve"> kan verrekening in het zicht van een faillissement alleen met </w:t>
      </w:r>
      <w:r w:rsidR="001528D2" w:rsidRPr="00B0149A">
        <w:rPr>
          <w:rFonts w:asciiTheme="minorHAnsi" w:hAnsiTheme="minorHAnsi" w:cstheme="minorHAnsi"/>
          <w:b w:val="0"/>
          <w:sz w:val="22"/>
          <w:szCs w:val="22"/>
        </w:rPr>
        <w:t xml:space="preserve">stille </w:t>
      </w:r>
      <w:r w:rsidR="00022697" w:rsidRPr="00B0149A">
        <w:rPr>
          <w:rFonts w:asciiTheme="minorHAnsi" w:hAnsiTheme="minorHAnsi" w:cstheme="minorHAnsi"/>
          <w:b w:val="0"/>
          <w:sz w:val="22"/>
          <w:szCs w:val="22"/>
        </w:rPr>
        <w:t>pandrechten die al bestonden voor</w:t>
      </w:r>
      <w:r w:rsidR="001528D2" w:rsidRPr="00B0149A">
        <w:rPr>
          <w:rFonts w:asciiTheme="minorHAnsi" w:hAnsiTheme="minorHAnsi" w:cstheme="minorHAnsi"/>
          <w:b w:val="0"/>
          <w:sz w:val="22"/>
          <w:szCs w:val="22"/>
        </w:rPr>
        <w:t>afgaand aan</w:t>
      </w:r>
      <w:r w:rsidR="00022697" w:rsidRPr="00B0149A">
        <w:rPr>
          <w:rFonts w:asciiTheme="minorHAnsi" w:hAnsiTheme="minorHAnsi" w:cstheme="minorHAnsi"/>
          <w:b w:val="0"/>
          <w:sz w:val="22"/>
          <w:szCs w:val="22"/>
        </w:rPr>
        <w:t xml:space="preserve"> de faillissementsaanvraag.</w:t>
      </w:r>
      <w:r w:rsidR="00C75ECD" w:rsidRPr="00B0149A">
        <w:rPr>
          <w:rFonts w:asciiTheme="minorHAnsi" w:hAnsiTheme="minorHAnsi" w:cstheme="minorHAnsi"/>
          <w:b w:val="0"/>
          <w:sz w:val="22"/>
          <w:szCs w:val="22"/>
        </w:rPr>
        <w:t xml:space="preserve"> De Rabobank </w:t>
      </w:r>
      <w:r w:rsidR="00B87E3D" w:rsidRPr="00B0149A">
        <w:rPr>
          <w:rFonts w:asciiTheme="minorHAnsi" w:hAnsiTheme="minorHAnsi" w:cstheme="minorHAnsi"/>
          <w:b w:val="0"/>
          <w:sz w:val="22"/>
          <w:szCs w:val="22"/>
        </w:rPr>
        <w:t xml:space="preserve">in de casus </w:t>
      </w:r>
      <w:r w:rsidR="00C75ECD" w:rsidRPr="00B0149A">
        <w:rPr>
          <w:rFonts w:asciiTheme="minorHAnsi" w:hAnsiTheme="minorHAnsi" w:cstheme="minorHAnsi"/>
          <w:b w:val="0"/>
          <w:sz w:val="22"/>
          <w:szCs w:val="22"/>
        </w:rPr>
        <w:t>vestigt echter nieuwe pandrechten middels haar verzamelpandakte om zodoende te kunnen verrekenen. Een nieuw pandrecht kan</w:t>
      </w:r>
      <w:r w:rsidR="00986503" w:rsidRPr="00B0149A">
        <w:rPr>
          <w:rFonts w:asciiTheme="minorHAnsi" w:hAnsiTheme="minorHAnsi" w:cstheme="minorHAnsi"/>
          <w:b w:val="0"/>
          <w:sz w:val="22"/>
          <w:szCs w:val="22"/>
        </w:rPr>
        <w:t xml:space="preserve"> op basis van artikel 42 </w:t>
      </w:r>
      <w:proofErr w:type="spellStart"/>
      <w:r w:rsidR="00986503" w:rsidRPr="00B0149A">
        <w:rPr>
          <w:rFonts w:asciiTheme="minorHAnsi" w:hAnsiTheme="minorHAnsi" w:cstheme="minorHAnsi"/>
          <w:b w:val="0"/>
          <w:sz w:val="22"/>
          <w:szCs w:val="22"/>
        </w:rPr>
        <w:t>Fw</w:t>
      </w:r>
      <w:proofErr w:type="spellEnd"/>
      <w:r w:rsidR="00C75ECD" w:rsidRPr="00B0149A">
        <w:rPr>
          <w:rFonts w:asciiTheme="minorHAnsi" w:hAnsiTheme="minorHAnsi" w:cstheme="minorHAnsi"/>
          <w:b w:val="0"/>
          <w:sz w:val="22"/>
          <w:szCs w:val="22"/>
        </w:rPr>
        <w:t xml:space="preserve"> alleen worden gevestigd indien het een verplichte rechtshandeling is. Indien er een volmacht is gegeven door de pandnemer om verzamelpandakten te kunnen vestigen, dan zal het vestigen van een pandrecht een verplichte rechtshandeling </w:t>
      </w:r>
      <w:r w:rsidR="0063077C" w:rsidRPr="00B0149A">
        <w:rPr>
          <w:rFonts w:asciiTheme="minorHAnsi" w:hAnsiTheme="minorHAnsi" w:cstheme="minorHAnsi"/>
          <w:b w:val="0"/>
          <w:sz w:val="22"/>
          <w:szCs w:val="22"/>
        </w:rPr>
        <w:t xml:space="preserve">kunnen </w:t>
      </w:r>
      <w:r w:rsidR="00C75ECD" w:rsidRPr="00B0149A">
        <w:rPr>
          <w:rFonts w:asciiTheme="minorHAnsi" w:hAnsiTheme="minorHAnsi" w:cstheme="minorHAnsi"/>
          <w:b w:val="0"/>
          <w:sz w:val="22"/>
          <w:szCs w:val="22"/>
        </w:rPr>
        <w:t xml:space="preserve">zijn. Echter, het is nog niet duidelijk of het een verplichte rechtshandeling is, de rechtspraak dient hier in de toekomst </w:t>
      </w:r>
      <w:r w:rsidR="0063077C" w:rsidRPr="00B0149A">
        <w:rPr>
          <w:rFonts w:asciiTheme="minorHAnsi" w:hAnsiTheme="minorHAnsi" w:cstheme="minorHAnsi"/>
          <w:b w:val="0"/>
          <w:sz w:val="22"/>
          <w:szCs w:val="22"/>
        </w:rPr>
        <w:t xml:space="preserve">eenduidiger over te zijn </w:t>
      </w:r>
      <w:r w:rsidR="00DA75F5" w:rsidRPr="00B0149A">
        <w:rPr>
          <w:rFonts w:asciiTheme="minorHAnsi" w:hAnsiTheme="minorHAnsi" w:cstheme="minorHAnsi"/>
          <w:b w:val="0"/>
          <w:sz w:val="22"/>
          <w:szCs w:val="22"/>
        </w:rPr>
        <w:t>om</w:t>
      </w:r>
      <w:r w:rsidR="0063077C" w:rsidRPr="00B0149A">
        <w:rPr>
          <w:rFonts w:asciiTheme="minorHAnsi" w:hAnsiTheme="minorHAnsi" w:cstheme="minorHAnsi"/>
          <w:b w:val="0"/>
          <w:sz w:val="22"/>
          <w:szCs w:val="22"/>
        </w:rPr>
        <w:t xml:space="preserve"> </w:t>
      </w:r>
      <w:r w:rsidR="00C75ECD" w:rsidRPr="00B0149A">
        <w:rPr>
          <w:rFonts w:asciiTheme="minorHAnsi" w:hAnsiTheme="minorHAnsi" w:cstheme="minorHAnsi"/>
          <w:b w:val="0"/>
          <w:sz w:val="22"/>
          <w:szCs w:val="22"/>
        </w:rPr>
        <w:t>meer duidelijkheid te scheppen omtrent dit onderwerp.</w:t>
      </w:r>
      <w:r w:rsidR="00B87E3D" w:rsidRPr="00B0149A">
        <w:rPr>
          <w:rFonts w:asciiTheme="minorHAnsi" w:hAnsiTheme="minorHAnsi" w:cstheme="minorHAnsi"/>
          <w:b w:val="0"/>
          <w:sz w:val="22"/>
          <w:szCs w:val="22"/>
        </w:rPr>
        <w:t xml:space="preserve"> </w:t>
      </w:r>
    </w:p>
    <w:p w:rsidR="00B87E3D" w:rsidRPr="00B0149A" w:rsidRDefault="00B87E3D" w:rsidP="00022697">
      <w:pPr>
        <w:jc w:val="left"/>
        <w:rPr>
          <w:rFonts w:asciiTheme="minorHAnsi" w:hAnsiTheme="minorHAnsi" w:cstheme="minorHAnsi"/>
          <w:b w:val="0"/>
          <w:sz w:val="22"/>
          <w:szCs w:val="22"/>
        </w:rPr>
      </w:pPr>
    </w:p>
    <w:p w:rsidR="00E37D96" w:rsidRPr="00B0149A" w:rsidRDefault="00FA4C0E" w:rsidP="00862C7B">
      <w:pPr>
        <w:jc w:val="left"/>
        <w:rPr>
          <w:rFonts w:asciiTheme="minorHAnsi" w:hAnsiTheme="minorHAnsi" w:cstheme="minorHAnsi"/>
          <w:b w:val="0"/>
          <w:sz w:val="22"/>
          <w:szCs w:val="22"/>
        </w:rPr>
      </w:pPr>
      <w:r w:rsidRPr="00B0149A">
        <w:rPr>
          <w:rFonts w:asciiTheme="minorHAnsi" w:hAnsiTheme="minorHAnsi" w:cstheme="minorHAnsi"/>
          <w:b w:val="0"/>
          <w:sz w:val="22"/>
          <w:szCs w:val="22"/>
        </w:rPr>
        <w:t>Indien blijkt dat het vestigen van een pandrecht als gevolg van een verzamelpandakte toch een verplichte rechtshandeling is, dan mag de bank desondanks niet op de hoogte zijn van de faillissementsaanvraag.</w:t>
      </w:r>
      <w:r w:rsidR="005178A5" w:rsidRPr="00B0149A">
        <w:rPr>
          <w:rFonts w:asciiTheme="minorHAnsi" w:hAnsiTheme="minorHAnsi" w:cstheme="minorHAnsi"/>
          <w:b w:val="0"/>
          <w:sz w:val="22"/>
          <w:szCs w:val="22"/>
        </w:rPr>
        <w:t xml:space="preserve"> Artikel 47 </w:t>
      </w:r>
      <w:proofErr w:type="spellStart"/>
      <w:r w:rsidR="005178A5" w:rsidRPr="00B0149A">
        <w:rPr>
          <w:rFonts w:asciiTheme="minorHAnsi" w:hAnsiTheme="minorHAnsi" w:cstheme="minorHAnsi"/>
          <w:b w:val="0"/>
          <w:sz w:val="22"/>
          <w:szCs w:val="22"/>
        </w:rPr>
        <w:t>Fw</w:t>
      </w:r>
      <w:proofErr w:type="spellEnd"/>
      <w:r w:rsidR="005178A5" w:rsidRPr="00B0149A">
        <w:rPr>
          <w:rFonts w:asciiTheme="minorHAnsi" w:hAnsiTheme="minorHAnsi" w:cstheme="minorHAnsi"/>
          <w:b w:val="0"/>
          <w:sz w:val="22"/>
          <w:szCs w:val="22"/>
        </w:rPr>
        <w:t xml:space="preserve"> zegt immers dat indien men wil verrekenen terwijl men op de hoogte is van het aanstaande faillissement, dit wordt bestempeld als </w:t>
      </w:r>
      <w:proofErr w:type="spellStart"/>
      <w:r w:rsidR="005178A5" w:rsidRPr="00B0149A">
        <w:rPr>
          <w:rFonts w:asciiTheme="minorHAnsi" w:hAnsiTheme="minorHAnsi" w:cstheme="minorHAnsi"/>
          <w:b w:val="0"/>
          <w:sz w:val="22"/>
          <w:szCs w:val="22"/>
        </w:rPr>
        <w:t>paulianeus</w:t>
      </w:r>
      <w:proofErr w:type="spellEnd"/>
      <w:r w:rsidR="005178A5" w:rsidRPr="00B0149A">
        <w:rPr>
          <w:rFonts w:asciiTheme="minorHAnsi" w:hAnsiTheme="minorHAnsi" w:cstheme="minorHAnsi"/>
          <w:b w:val="0"/>
          <w:sz w:val="22"/>
          <w:szCs w:val="22"/>
        </w:rPr>
        <w:t xml:space="preserve"> handelen.</w:t>
      </w:r>
      <w:r w:rsidRPr="00B0149A">
        <w:rPr>
          <w:rFonts w:asciiTheme="minorHAnsi" w:hAnsiTheme="minorHAnsi" w:cstheme="minorHAnsi"/>
          <w:b w:val="0"/>
          <w:sz w:val="22"/>
          <w:szCs w:val="22"/>
        </w:rPr>
        <w:t xml:space="preserve"> </w:t>
      </w:r>
      <w:r w:rsidR="00022697" w:rsidRPr="00B0149A">
        <w:rPr>
          <w:rFonts w:asciiTheme="minorHAnsi" w:hAnsiTheme="minorHAnsi" w:cstheme="minorHAnsi"/>
          <w:b w:val="0"/>
          <w:sz w:val="22"/>
          <w:szCs w:val="22"/>
        </w:rPr>
        <w:t>Wat</w:t>
      </w:r>
      <w:r w:rsidRPr="00B0149A">
        <w:rPr>
          <w:rFonts w:asciiTheme="minorHAnsi" w:hAnsiTheme="minorHAnsi" w:cstheme="minorHAnsi"/>
          <w:b w:val="0"/>
          <w:sz w:val="22"/>
          <w:szCs w:val="22"/>
        </w:rPr>
        <w:t xml:space="preserve"> zodoende</w:t>
      </w:r>
      <w:r w:rsidR="00022697" w:rsidRPr="00B0149A">
        <w:rPr>
          <w:rFonts w:asciiTheme="minorHAnsi" w:hAnsiTheme="minorHAnsi" w:cstheme="minorHAnsi"/>
          <w:b w:val="0"/>
          <w:sz w:val="22"/>
          <w:szCs w:val="22"/>
        </w:rPr>
        <w:t xml:space="preserve"> vaststaat is dat er bij kennis van het naderende faillissement in ieder geval geen pandrechten gevestigd mogen worden en</w:t>
      </w:r>
      <w:r w:rsidR="00DA75F5" w:rsidRPr="00B0149A">
        <w:rPr>
          <w:rFonts w:asciiTheme="minorHAnsi" w:hAnsiTheme="minorHAnsi" w:cstheme="minorHAnsi"/>
          <w:b w:val="0"/>
          <w:sz w:val="22"/>
          <w:szCs w:val="22"/>
        </w:rPr>
        <w:t xml:space="preserve"> er</w:t>
      </w:r>
      <w:r w:rsidR="00022697" w:rsidRPr="00B0149A">
        <w:rPr>
          <w:rFonts w:asciiTheme="minorHAnsi" w:hAnsiTheme="minorHAnsi" w:cstheme="minorHAnsi"/>
          <w:b w:val="0"/>
          <w:sz w:val="22"/>
          <w:szCs w:val="22"/>
        </w:rPr>
        <w:t xml:space="preserve"> </w:t>
      </w:r>
      <w:r w:rsidR="0088333A" w:rsidRPr="00B0149A">
        <w:rPr>
          <w:rFonts w:asciiTheme="minorHAnsi" w:hAnsiTheme="minorHAnsi" w:cstheme="minorHAnsi"/>
          <w:b w:val="0"/>
          <w:sz w:val="22"/>
          <w:szCs w:val="22"/>
        </w:rPr>
        <w:t>daardoor</w:t>
      </w:r>
      <w:r w:rsidR="00022697" w:rsidRPr="00B0149A">
        <w:rPr>
          <w:rFonts w:asciiTheme="minorHAnsi" w:hAnsiTheme="minorHAnsi" w:cstheme="minorHAnsi"/>
          <w:b w:val="0"/>
          <w:sz w:val="22"/>
          <w:szCs w:val="22"/>
        </w:rPr>
        <w:t xml:space="preserve"> niet verrekend kan worden in het zicht van </w:t>
      </w:r>
      <w:r w:rsidR="00DA75F5" w:rsidRPr="00B0149A">
        <w:rPr>
          <w:rFonts w:asciiTheme="minorHAnsi" w:hAnsiTheme="minorHAnsi" w:cstheme="minorHAnsi"/>
          <w:b w:val="0"/>
          <w:sz w:val="22"/>
          <w:szCs w:val="22"/>
        </w:rPr>
        <w:t>het</w:t>
      </w:r>
      <w:r w:rsidR="00022697" w:rsidRPr="00B0149A">
        <w:rPr>
          <w:rFonts w:asciiTheme="minorHAnsi" w:hAnsiTheme="minorHAnsi" w:cstheme="minorHAnsi"/>
          <w:b w:val="0"/>
          <w:sz w:val="22"/>
          <w:szCs w:val="22"/>
        </w:rPr>
        <w:t xml:space="preserve"> faillissement. Het maakt</w:t>
      </w:r>
      <w:r w:rsidR="00B775E3" w:rsidRPr="00B0149A">
        <w:rPr>
          <w:rFonts w:asciiTheme="minorHAnsi" w:hAnsiTheme="minorHAnsi" w:cstheme="minorHAnsi"/>
          <w:b w:val="0"/>
          <w:sz w:val="22"/>
          <w:szCs w:val="22"/>
        </w:rPr>
        <w:t xml:space="preserve"> hierbij dus niet uit of een pandhouder </w:t>
      </w:r>
      <w:r w:rsidR="00022697" w:rsidRPr="00B0149A">
        <w:rPr>
          <w:rFonts w:asciiTheme="minorHAnsi" w:hAnsiTheme="minorHAnsi" w:cstheme="minorHAnsi"/>
          <w:b w:val="0"/>
          <w:sz w:val="22"/>
          <w:szCs w:val="22"/>
        </w:rPr>
        <w:t xml:space="preserve">een verzamelpandakte heeft. </w:t>
      </w:r>
      <w:r w:rsidR="00A30221" w:rsidRPr="00B0149A">
        <w:rPr>
          <w:rFonts w:asciiTheme="minorHAnsi" w:hAnsiTheme="minorHAnsi" w:cstheme="minorHAnsi"/>
          <w:b w:val="0"/>
          <w:sz w:val="22"/>
          <w:szCs w:val="22"/>
        </w:rPr>
        <w:t xml:space="preserve">Artikel 47 </w:t>
      </w:r>
      <w:proofErr w:type="spellStart"/>
      <w:r w:rsidR="00A30221" w:rsidRPr="00B0149A">
        <w:rPr>
          <w:rFonts w:asciiTheme="minorHAnsi" w:hAnsiTheme="minorHAnsi" w:cstheme="minorHAnsi"/>
          <w:b w:val="0"/>
          <w:sz w:val="22"/>
          <w:szCs w:val="22"/>
        </w:rPr>
        <w:t>Fw</w:t>
      </w:r>
      <w:proofErr w:type="spellEnd"/>
      <w:r w:rsidR="00A30221" w:rsidRPr="00B0149A">
        <w:rPr>
          <w:rFonts w:asciiTheme="minorHAnsi" w:hAnsiTheme="minorHAnsi" w:cstheme="minorHAnsi"/>
          <w:b w:val="0"/>
          <w:sz w:val="22"/>
          <w:szCs w:val="22"/>
        </w:rPr>
        <w:t xml:space="preserve"> zegt tevens dat overleg tussen de schuldenaar en de schuldeiser met oogmerk om zich boven andere schuldeisers te begunstigen niet is geoorloofd. Het onderzoek in bijlage 1 benadrukt in overeenstemming met de literatuur dat dit zowel het oogmerk van de </w:t>
      </w:r>
      <w:r w:rsidR="00DB7D69" w:rsidRPr="00B0149A">
        <w:rPr>
          <w:rFonts w:asciiTheme="minorHAnsi" w:hAnsiTheme="minorHAnsi" w:cstheme="minorHAnsi"/>
          <w:b w:val="0"/>
          <w:sz w:val="22"/>
          <w:szCs w:val="22"/>
        </w:rPr>
        <w:t>pandhouder</w:t>
      </w:r>
      <w:r w:rsidR="00A30221" w:rsidRPr="00B0149A">
        <w:rPr>
          <w:rFonts w:asciiTheme="minorHAnsi" w:hAnsiTheme="minorHAnsi" w:cstheme="minorHAnsi"/>
          <w:b w:val="0"/>
          <w:sz w:val="22"/>
          <w:szCs w:val="22"/>
        </w:rPr>
        <w:t xml:space="preserve"> als van de </w:t>
      </w:r>
      <w:r w:rsidR="00DB7D69" w:rsidRPr="00B0149A">
        <w:rPr>
          <w:rFonts w:asciiTheme="minorHAnsi" w:hAnsiTheme="minorHAnsi" w:cstheme="minorHAnsi"/>
          <w:b w:val="0"/>
          <w:sz w:val="22"/>
          <w:szCs w:val="22"/>
        </w:rPr>
        <w:t>pandgever</w:t>
      </w:r>
      <w:r w:rsidR="00A30221" w:rsidRPr="00B0149A">
        <w:rPr>
          <w:rFonts w:asciiTheme="minorHAnsi" w:hAnsiTheme="minorHAnsi" w:cstheme="minorHAnsi"/>
          <w:b w:val="0"/>
          <w:sz w:val="22"/>
          <w:szCs w:val="22"/>
        </w:rPr>
        <w:t xml:space="preserve"> dient te zijn.</w:t>
      </w:r>
      <w:r w:rsidR="00A37FDA" w:rsidRPr="00B0149A">
        <w:rPr>
          <w:rFonts w:asciiTheme="minorHAnsi" w:hAnsiTheme="minorHAnsi" w:cstheme="minorHAnsi"/>
          <w:b w:val="0"/>
          <w:sz w:val="22"/>
          <w:szCs w:val="22"/>
        </w:rPr>
        <w:t xml:space="preserve"> </w:t>
      </w:r>
      <w:r w:rsidR="00022697" w:rsidRPr="00B0149A">
        <w:rPr>
          <w:rFonts w:asciiTheme="minorHAnsi" w:hAnsiTheme="minorHAnsi" w:cstheme="minorHAnsi"/>
          <w:b w:val="0"/>
          <w:sz w:val="22"/>
          <w:szCs w:val="22"/>
        </w:rPr>
        <w:t xml:space="preserve">Het nadeel hiervan voor de Rabobank </w:t>
      </w:r>
      <w:r w:rsidR="00D5045A" w:rsidRPr="00B0149A">
        <w:rPr>
          <w:rFonts w:asciiTheme="minorHAnsi" w:hAnsiTheme="minorHAnsi" w:cstheme="minorHAnsi"/>
          <w:b w:val="0"/>
          <w:sz w:val="22"/>
          <w:szCs w:val="22"/>
        </w:rPr>
        <w:t xml:space="preserve">in de casus </w:t>
      </w:r>
      <w:r w:rsidR="00022697" w:rsidRPr="00B0149A">
        <w:rPr>
          <w:rFonts w:asciiTheme="minorHAnsi" w:hAnsiTheme="minorHAnsi" w:cstheme="minorHAnsi"/>
          <w:b w:val="0"/>
          <w:sz w:val="22"/>
          <w:szCs w:val="22"/>
        </w:rPr>
        <w:t>is dat zij geen nieuwe pandrechten mocht vestigen</w:t>
      </w:r>
      <w:r w:rsidR="00A37FDA" w:rsidRPr="00B0149A">
        <w:rPr>
          <w:rFonts w:asciiTheme="minorHAnsi" w:hAnsiTheme="minorHAnsi" w:cstheme="minorHAnsi"/>
          <w:b w:val="0"/>
          <w:sz w:val="22"/>
          <w:szCs w:val="22"/>
        </w:rPr>
        <w:t>, ook niet met haar verzamelpandakte,</w:t>
      </w:r>
      <w:r w:rsidR="00022697" w:rsidRPr="00B0149A">
        <w:rPr>
          <w:rFonts w:asciiTheme="minorHAnsi" w:hAnsiTheme="minorHAnsi" w:cstheme="minorHAnsi"/>
          <w:b w:val="0"/>
          <w:sz w:val="22"/>
          <w:szCs w:val="22"/>
        </w:rPr>
        <w:t xml:space="preserve"> omdat zij op de hoogte was van het naderende faillissement. </w:t>
      </w:r>
    </w:p>
    <w:p w:rsidR="002F2320" w:rsidRPr="00B0149A" w:rsidRDefault="002F2320" w:rsidP="002F2320">
      <w:pPr>
        <w:jc w:val="left"/>
        <w:rPr>
          <w:rFonts w:asciiTheme="minorHAnsi" w:hAnsiTheme="minorHAnsi" w:cstheme="minorHAnsi"/>
          <w:b w:val="0"/>
          <w:sz w:val="22"/>
          <w:szCs w:val="22"/>
        </w:rPr>
      </w:pPr>
    </w:p>
    <w:p w:rsidR="00862C7B" w:rsidRPr="00B0149A" w:rsidRDefault="00862C7B" w:rsidP="00862C7B">
      <w:pPr>
        <w:jc w:val="left"/>
        <w:rPr>
          <w:rFonts w:asciiTheme="minorHAnsi" w:hAnsiTheme="minorHAnsi" w:cstheme="minorHAnsi"/>
          <w:b w:val="0"/>
          <w:sz w:val="22"/>
          <w:szCs w:val="22"/>
        </w:rPr>
      </w:pPr>
      <w:r w:rsidRPr="00B0149A">
        <w:rPr>
          <w:rFonts w:asciiTheme="minorHAnsi" w:hAnsiTheme="minorHAnsi" w:cstheme="minorHAnsi"/>
          <w:b w:val="0"/>
          <w:sz w:val="22"/>
          <w:szCs w:val="22"/>
        </w:rPr>
        <w:t xml:space="preserve">Een beroep op het arrest Mulder q.q./CLBN </w:t>
      </w:r>
      <w:r w:rsidR="00166C7B" w:rsidRPr="00B0149A">
        <w:rPr>
          <w:rFonts w:asciiTheme="minorHAnsi" w:hAnsiTheme="minorHAnsi" w:cstheme="minorHAnsi"/>
          <w:b w:val="0"/>
          <w:sz w:val="22"/>
          <w:szCs w:val="22"/>
        </w:rPr>
        <w:t>kan</w:t>
      </w:r>
      <w:r w:rsidR="00E37D96" w:rsidRPr="00B0149A">
        <w:rPr>
          <w:rFonts w:asciiTheme="minorHAnsi" w:hAnsiTheme="minorHAnsi" w:cstheme="minorHAnsi"/>
          <w:b w:val="0"/>
          <w:sz w:val="22"/>
          <w:szCs w:val="22"/>
        </w:rPr>
        <w:t xml:space="preserve"> tevens</w:t>
      </w:r>
      <w:r w:rsidRPr="00B0149A">
        <w:rPr>
          <w:rFonts w:asciiTheme="minorHAnsi" w:hAnsiTheme="minorHAnsi" w:cstheme="minorHAnsi"/>
          <w:b w:val="0"/>
          <w:sz w:val="22"/>
          <w:szCs w:val="22"/>
        </w:rPr>
        <w:t xml:space="preserve"> in de weg gestaan </w:t>
      </w:r>
      <w:r w:rsidR="00166C7B" w:rsidRPr="00B0149A">
        <w:rPr>
          <w:rFonts w:asciiTheme="minorHAnsi" w:hAnsiTheme="minorHAnsi" w:cstheme="minorHAnsi"/>
          <w:b w:val="0"/>
          <w:sz w:val="22"/>
          <w:szCs w:val="22"/>
        </w:rPr>
        <w:t xml:space="preserve">worden </w:t>
      </w:r>
      <w:r w:rsidRPr="00B0149A">
        <w:rPr>
          <w:rFonts w:asciiTheme="minorHAnsi" w:hAnsiTheme="minorHAnsi" w:cstheme="minorHAnsi"/>
          <w:b w:val="0"/>
          <w:sz w:val="22"/>
          <w:szCs w:val="22"/>
        </w:rPr>
        <w:t xml:space="preserve">door artikel 54 </w:t>
      </w:r>
      <w:proofErr w:type="spellStart"/>
      <w:r w:rsidRPr="00B0149A">
        <w:rPr>
          <w:rFonts w:asciiTheme="minorHAnsi" w:hAnsiTheme="minorHAnsi" w:cstheme="minorHAnsi"/>
          <w:b w:val="0"/>
          <w:sz w:val="22"/>
          <w:szCs w:val="22"/>
        </w:rPr>
        <w:t>Fw</w:t>
      </w:r>
      <w:proofErr w:type="spellEnd"/>
      <w:r w:rsidRPr="00B0149A">
        <w:rPr>
          <w:rFonts w:asciiTheme="minorHAnsi" w:hAnsiTheme="minorHAnsi" w:cstheme="minorHAnsi"/>
          <w:b w:val="0"/>
          <w:sz w:val="22"/>
          <w:szCs w:val="22"/>
        </w:rPr>
        <w:t xml:space="preserve">. </w:t>
      </w:r>
      <w:r w:rsidR="00E37D96" w:rsidRPr="00B0149A">
        <w:rPr>
          <w:rFonts w:asciiTheme="minorHAnsi" w:hAnsiTheme="minorHAnsi" w:cstheme="minorHAnsi"/>
          <w:b w:val="0"/>
          <w:sz w:val="22"/>
          <w:szCs w:val="22"/>
        </w:rPr>
        <w:t>Dit artikel zegt dat men geen vorderingen mag overnemen indien men bij die</w:t>
      </w:r>
      <w:r w:rsidR="00135BE0" w:rsidRPr="00B0149A">
        <w:rPr>
          <w:rFonts w:asciiTheme="minorHAnsi" w:hAnsiTheme="minorHAnsi" w:cstheme="minorHAnsi"/>
          <w:b w:val="0"/>
          <w:sz w:val="22"/>
          <w:szCs w:val="22"/>
        </w:rPr>
        <w:t xml:space="preserve"> overname niet te goeder trouw wa</w:t>
      </w:r>
      <w:r w:rsidR="00E37D96" w:rsidRPr="00B0149A">
        <w:rPr>
          <w:rFonts w:asciiTheme="minorHAnsi" w:hAnsiTheme="minorHAnsi" w:cstheme="minorHAnsi"/>
          <w:b w:val="0"/>
          <w:sz w:val="22"/>
          <w:szCs w:val="22"/>
        </w:rPr>
        <w:t>s.</w:t>
      </w:r>
      <w:r w:rsidRPr="00B0149A">
        <w:rPr>
          <w:rFonts w:asciiTheme="minorHAnsi" w:hAnsiTheme="minorHAnsi" w:cstheme="minorHAnsi"/>
          <w:b w:val="0"/>
          <w:sz w:val="22"/>
          <w:szCs w:val="22"/>
        </w:rPr>
        <w:t xml:space="preserve"> Men is niet te goeder trouw </w:t>
      </w:r>
      <w:r w:rsidR="004D3C08" w:rsidRPr="00B0149A">
        <w:rPr>
          <w:rFonts w:asciiTheme="minorHAnsi" w:hAnsiTheme="minorHAnsi" w:cstheme="minorHAnsi"/>
          <w:b w:val="0"/>
          <w:sz w:val="22"/>
          <w:szCs w:val="22"/>
        </w:rPr>
        <w:t>als</w:t>
      </w:r>
      <w:r w:rsidRPr="00B0149A">
        <w:rPr>
          <w:rFonts w:asciiTheme="minorHAnsi" w:hAnsiTheme="minorHAnsi" w:cstheme="minorHAnsi"/>
          <w:b w:val="0"/>
          <w:sz w:val="22"/>
          <w:szCs w:val="22"/>
        </w:rPr>
        <w:t xml:space="preserve"> men bij het overnemen van een vordering van het aanstaande faillissement op de hoogte </w:t>
      </w:r>
      <w:r w:rsidR="001942E7" w:rsidRPr="00B0149A">
        <w:rPr>
          <w:rFonts w:asciiTheme="minorHAnsi" w:hAnsiTheme="minorHAnsi" w:cstheme="minorHAnsi"/>
          <w:b w:val="0"/>
          <w:sz w:val="22"/>
          <w:szCs w:val="22"/>
        </w:rPr>
        <w:t>i</w:t>
      </w:r>
      <w:r w:rsidR="00E37D96" w:rsidRPr="00B0149A">
        <w:rPr>
          <w:rFonts w:asciiTheme="minorHAnsi" w:hAnsiTheme="minorHAnsi" w:cstheme="minorHAnsi"/>
          <w:b w:val="0"/>
          <w:sz w:val="22"/>
          <w:szCs w:val="22"/>
        </w:rPr>
        <w:t>s</w:t>
      </w:r>
      <w:r w:rsidRPr="00B0149A">
        <w:rPr>
          <w:rFonts w:asciiTheme="minorHAnsi" w:hAnsiTheme="minorHAnsi" w:cstheme="minorHAnsi"/>
          <w:b w:val="0"/>
          <w:sz w:val="22"/>
          <w:szCs w:val="22"/>
        </w:rPr>
        <w:t xml:space="preserve">. </w:t>
      </w:r>
      <w:r w:rsidR="00E37D96" w:rsidRPr="00B0149A">
        <w:rPr>
          <w:rFonts w:asciiTheme="minorHAnsi" w:hAnsiTheme="minorHAnsi" w:cstheme="minorHAnsi"/>
          <w:b w:val="0"/>
          <w:sz w:val="22"/>
          <w:szCs w:val="22"/>
        </w:rPr>
        <w:t>A</w:t>
      </w:r>
      <w:r w:rsidRPr="00B0149A">
        <w:rPr>
          <w:rFonts w:asciiTheme="minorHAnsi" w:hAnsiTheme="minorHAnsi" w:cstheme="minorHAnsi"/>
          <w:b w:val="0"/>
          <w:sz w:val="22"/>
          <w:szCs w:val="22"/>
        </w:rPr>
        <w:t xml:space="preserve">rtikel 54 </w:t>
      </w:r>
      <w:proofErr w:type="spellStart"/>
      <w:r w:rsidRPr="00B0149A">
        <w:rPr>
          <w:rFonts w:asciiTheme="minorHAnsi" w:hAnsiTheme="minorHAnsi" w:cstheme="minorHAnsi"/>
          <w:b w:val="0"/>
          <w:sz w:val="22"/>
          <w:szCs w:val="22"/>
        </w:rPr>
        <w:t>Fw</w:t>
      </w:r>
      <w:proofErr w:type="spellEnd"/>
      <w:r w:rsidRPr="00B0149A">
        <w:rPr>
          <w:rFonts w:asciiTheme="minorHAnsi" w:hAnsiTheme="minorHAnsi" w:cstheme="minorHAnsi"/>
          <w:b w:val="0"/>
          <w:sz w:val="22"/>
          <w:szCs w:val="22"/>
        </w:rPr>
        <w:t xml:space="preserve"> </w:t>
      </w:r>
      <w:r w:rsidR="00E37D96" w:rsidRPr="00B0149A">
        <w:rPr>
          <w:rFonts w:asciiTheme="minorHAnsi" w:hAnsiTheme="minorHAnsi" w:cstheme="minorHAnsi"/>
          <w:b w:val="0"/>
          <w:sz w:val="22"/>
          <w:szCs w:val="22"/>
        </w:rPr>
        <w:t xml:space="preserve">heeft </w:t>
      </w:r>
      <w:r w:rsidR="00A50B6B" w:rsidRPr="00B0149A">
        <w:rPr>
          <w:rFonts w:asciiTheme="minorHAnsi" w:hAnsiTheme="minorHAnsi" w:cstheme="minorHAnsi"/>
          <w:b w:val="0"/>
          <w:sz w:val="22"/>
          <w:szCs w:val="22"/>
        </w:rPr>
        <w:t xml:space="preserve">echter </w:t>
      </w:r>
      <w:r w:rsidRPr="00B0149A">
        <w:rPr>
          <w:rFonts w:asciiTheme="minorHAnsi" w:hAnsiTheme="minorHAnsi" w:cstheme="minorHAnsi"/>
          <w:b w:val="0"/>
          <w:sz w:val="22"/>
          <w:szCs w:val="22"/>
        </w:rPr>
        <w:t xml:space="preserve">alleen betrekking op het ‘overnemen’ van vorderingen. Zo lang de vordering met het daarop rustende pandrecht al in het bezit </w:t>
      </w:r>
      <w:r w:rsidR="00C86E8B" w:rsidRPr="00B0149A">
        <w:rPr>
          <w:rFonts w:asciiTheme="minorHAnsi" w:hAnsiTheme="minorHAnsi" w:cstheme="minorHAnsi"/>
          <w:b w:val="0"/>
          <w:sz w:val="22"/>
          <w:szCs w:val="22"/>
        </w:rPr>
        <w:t>is</w:t>
      </w:r>
      <w:r w:rsidRPr="00B0149A">
        <w:rPr>
          <w:rFonts w:asciiTheme="minorHAnsi" w:hAnsiTheme="minorHAnsi" w:cstheme="minorHAnsi"/>
          <w:b w:val="0"/>
          <w:sz w:val="22"/>
          <w:szCs w:val="22"/>
        </w:rPr>
        <w:t xml:space="preserve"> van de pandhouder en er geen sprake is van overname, kan er verrekend worden met dat pandrecht.</w:t>
      </w:r>
      <w:r w:rsidR="00E37D96" w:rsidRPr="00B0149A">
        <w:rPr>
          <w:rFonts w:asciiTheme="minorHAnsi" w:hAnsiTheme="minorHAnsi" w:cstheme="minorHAnsi"/>
          <w:b w:val="0"/>
          <w:sz w:val="22"/>
          <w:szCs w:val="22"/>
        </w:rPr>
        <w:t xml:space="preserve"> De Rabobank in de casus heeft geen vorderingen overgenomen, dus artikel 54 </w:t>
      </w:r>
      <w:proofErr w:type="spellStart"/>
      <w:r w:rsidR="00E37D96" w:rsidRPr="00B0149A">
        <w:rPr>
          <w:rFonts w:asciiTheme="minorHAnsi" w:hAnsiTheme="minorHAnsi" w:cstheme="minorHAnsi"/>
          <w:b w:val="0"/>
          <w:sz w:val="22"/>
          <w:szCs w:val="22"/>
        </w:rPr>
        <w:t>Fw</w:t>
      </w:r>
      <w:proofErr w:type="spellEnd"/>
      <w:r w:rsidR="00E37D96" w:rsidRPr="00B0149A">
        <w:rPr>
          <w:rFonts w:asciiTheme="minorHAnsi" w:hAnsiTheme="minorHAnsi" w:cstheme="minorHAnsi"/>
          <w:b w:val="0"/>
          <w:sz w:val="22"/>
          <w:szCs w:val="22"/>
        </w:rPr>
        <w:t xml:space="preserve"> is op haar niet van toepassing, maar</w:t>
      </w:r>
      <w:r w:rsidR="00A8671D" w:rsidRPr="00B0149A">
        <w:rPr>
          <w:rFonts w:asciiTheme="minorHAnsi" w:hAnsiTheme="minorHAnsi" w:cstheme="minorHAnsi"/>
          <w:b w:val="0"/>
          <w:sz w:val="22"/>
          <w:szCs w:val="22"/>
        </w:rPr>
        <w:t xml:space="preserve"> het</w:t>
      </w:r>
      <w:r w:rsidR="00E37D96" w:rsidRPr="00B0149A">
        <w:rPr>
          <w:rFonts w:asciiTheme="minorHAnsi" w:hAnsiTheme="minorHAnsi" w:cstheme="minorHAnsi"/>
          <w:b w:val="0"/>
          <w:sz w:val="22"/>
          <w:szCs w:val="22"/>
        </w:rPr>
        <w:t xml:space="preserve"> is wel </w:t>
      </w:r>
      <w:r w:rsidR="00D161AF" w:rsidRPr="00B0149A">
        <w:rPr>
          <w:rFonts w:asciiTheme="minorHAnsi" w:hAnsiTheme="minorHAnsi" w:cstheme="minorHAnsi"/>
          <w:b w:val="0"/>
          <w:sz w:val="22"/>
          <w:szCs w:val="22"/>
        </w:rPr>
        <w:t xml:space="preserve">een </w:t>
      </w:r>
      <w:r w:rsidR="00E37D96" w:rsidRPr="00B0149A">
        <w:rPr>
          <w:rFonts w:asciiTheme="minorHAnsi" w:hAnsiTheme="minorHAnsi" w:cstheme="minorHAnsi"/>
          <w:b w:val="0"/>
          <w:sz w:val="22"/>
          <w:szCs w:val="22"/>
        </w:rPr>
        <w:t>belangrijk leerstuk omtrent het verrekenen in het zicht van een faillissement.</w:t>
      </w:r>
    </w:p>
    <w:p w:rsidR="00862C7B" w:rsidRPr="00B0149A" w:rsidRDefault="00862C7B" w:rsidP="00777539">
      <w:pPr>
        <w:jc w:val="left"/>
        <w:rPr>
          <w:rFonts w:asciiTheme="minorHAnsi" w:hAnsiTheme="minorHAnsi" w:cstheme="minorHAnsi"/>
          <w:b w:val="0"/>
          <w:sz w:val="22"/>
          <w:szCs w:val="22"/>
        </w:rPr>
      </w:pPr>
    </w:p>
    <w:p w:rsidR="00777539" w:rsidRPr="00B0149A" w:rsidRDefault="00777539" w:rsidP="00777539">
      <w:pPr>
        <w:jc w:val="left"/>
        <w:rPr>
          <w:rFonts w:asciiTheme="minorHAnsi" w:hAnsiTheme="minorHAnsi" w:cstheme="minorHAnsi"/>
          <w:b w:val="0"/>
          <w:sz w:val="22"/>
          <w:szCs w:val="22"/>
        </w:rPr>
      </w:pPr>
      <w:r w:rsidRPr="00B0149A">
        <w:rPr>
          <w:rFonts w:asciiTheme="minorHAnsi" w:hAnsiTheme="minorHAnsi" w:cstheme="minorHAnsi"/>
          <w:b w:val="0"/>
          <w:sz w:val="22"/>
          <w:szCs w:val="22"/>
        </w:rPr>
        <w:t xml:space="preserve">Maar welke gelden komen de </w:t>
      </w:r>
      <w:r w:rsidR="00C42CB8">
        <w:rPr>
          <w:rFonts w:asciiTheme="minorHAnsi" w:hAnsiTheme="minorHAnsi" w:cstheme="minorHAnsi"/>
          <w:b w:val="0"/>
          <w:sz w:val="22"/>
          <w:szCs w:val="22"/>
        </w:rPr>
        <w:t>Rabo</w:t>
      </w:r>
      <w:r w:rsidRPr="00B0149A">
        <w:rPr>
          <w:rFonts w:asciiTheme="minorHAnsi" w:hAnsiTheme="minorHAnsi" w:cstheme="minorHAnsi"/>
          <w:b w:val="0"/>
          <w:sz w:val="22"/>
          <w:szCs w:val="22"/>
        </w:rPr>
        <w:t>bank</w:t>
      </w:r>
      <w:r w:rsidR="00C42CB8">
        <w:rPr>
          <w:rFonts w:asciiTheme="minorHAnsi" w:hAnsiTheme="minorHAnsi" w:cstheme="minorHAnsi"/>
          <w:b w:val="0"/>
          <w:sz w:val="22"/>
          <w:szCs w:val="22"/>
        </w:rPr>
        <w:t xml:space="preserve"> in de casus</w:t>
      </w:r>
      <w:r w:rsidRPr="00B0149A">
        <w:rPr>
          <w:rFonts w:asciiTheme="minorHAnsi" w:hAnsiTheme="minorHAnsi" w:cstheme="minorHAnsi"/>
          <w:b w:val="0"/>
          <w:sz w:val="22"/>
          <w:szCs w:val="22"/>
        </w:rPr>
        <w:t xml:space="preserve"> nu toe? Als de </w:t>
      </w:r>
      <w:r w:rsidR="00421771" w:rsidRPr="00B0149A">
        <w:rPr>
          <w:rFonts w:asciiTheme="minorHAnsi" w:hAnsiTheme="minorHAnsi" w:cstheme="minorHAnsi"/>
          <w:b w:val="0"/>
          <w:sz w:val="22"/>
          <w:szCs w:val="22"/>
        </w:rPr>
        <w:t>schoenen</w:t>
      </w:r>
      <w:r w:rsidRPr="00B0149A">
        <w:rPr>
          <w:rFonts w:asciiTheme="minorHAnsi" w:hAnsiTheme="minorHAnsi" w:cstheme="minorHAnsi"/>
          <w:b w:val="0"/>
          <w:sz w:val="22"/>
          <w:szCs w:val="22"/>
        </w:rPr>
        <w:t xml:space="preserve">winkel failliet wordt verklaard voordat de pinbetaling op de rekening van de bank is gecrediteerd, dan kan de curator de betaling terugvorderen. </w:t>
      </w:r>
      <w:r w:rsidR="00376EA7" w:rsidRPr="00B0149A">
        <w:rPr>
          <w:rFonts w:asciiTheme="minorHAnsi" w:hAnsiTheme="minorHAnsi" w:cstheme="minorHAnsi"/>
          <w:b w:val="0"/>
          <w:sz w:val="22"/>
          <w:szCs w:val="22"/>
        </w:rPr>
        <w:t>Daardoor zouden</w:t>
      </w:r>
      <w:r w:rsidRPr="00B0149A">
        <w:rPr>
          <w:rFonts w:asciiTheme="minorHAnsi" w:hAnsiTheme="minorHAnsi" w:cstheme="minorHAnsi"/>
          <w:b w:val="0"/>
          <w:sz w:val="22"/>
          <w:szCs w:val="22"/>
        </w:rPr>
        <w:t xml:space="preserve"> alle girale betalingen die de bank in de casus voor het faillissement van de winkel heeft ontvangen van de bank</w:t>
      </w:r>
      <w:r w:rsidR="00421771" w:rsidRPr="00B0149A">
        <w:rPr>
          <w:rFonts w:asciiTheme="minorHAnsi" w:hAnsiTheme="minorHAnsi" w:cstheme="minorHAnsi"/>
          <w:b w:val="0"/>
          <w:sz w:val="22"/>
          <w:szCs w:val="22"/>
        </w:rPr>
        <w:t xml:space="preserve"> blijven</w:t>
      </w:r>
      <w:r w:rsidRPr="00B0149A">
        <w:rPr>
          <w:rFonts w:asciiTheme="minorHAnsi" w:hAnsiTheme="minorHAnsi" w:cstheme="minorHAnsi"/>
          <w:b w:val="0"/>
          <w:sz w:val="22"/>
          <w:szCs w:val="22"/>
        </w:rPr>
        <w:t xml:space="preserve">. Echter, aangezien de Rabobank de pandrechten niet had mogen vestigen omdat zij op de hoogte was van het </w:t>
      </w:r>
      <w:r w:rsidR="00376EA7" w:rsidRPr="00B0149A">
        <w:rPr>
          <w:rFonts w:asciiTheme="minorHAnsi" w:hAnsiTheme="minorHAnsi" w:cstheme="minorHAnsi"/>
          <w:b w:val="0"/>
          <w:sz w:val="22"/>
          <w:szCs w:val="22"/>
        </w:rPr>
        <w:t xml:space="preserve">naderende </w:t>
      </w:r>
      <w:r w:rsidRPr="00B0149A">
        <w:rPr>
          <w:rFonts w:asciiTheme="minorHAnsi" w:hAnsiTheme="minorHAnsi" w:cstheme="minorHAnsi"/>
          <w:b w:val="0"/>
          <w:sz w:val="22"/>
          <w:szCs w:val="22"/>
        </w:rPr>
        <w:t>faillissement, had zij niet mogen verrekenen en zijn de betalingen onrechtmatig verkregen.  De Rabobank heeft</w:t>
      </w:r>
      <w:r w:rsidR="00C22548" w:rsidRPr="00B0149A">
        <w:rPr>
          <w:rFonts w:asciiTheme="minorHAnsi" w:hAnsiTheme="minorHAnsi" w:cstheme="minorHAnsi"/>
          <w:b w:val="0"/>
          <w:sz w:val="22"/>
          <w:szCs w:val="22"/>
        </w:rPr>
        <w:t xml:space="preserve"> </w:t>
      </w:r>
      <w:r w:rsidRPr="00B0149A">
        <w:rPr>
          <w:rFonts w:asciiTheme="minorHAnsi" w:hAnsiTheme="minorHAnsi" w:cstheme="minorHAnsi"/>
          <w:b w:val="0"/>
          <w:sz w:val="22"/>
          <w:szCs w:val="22"/>
        </w:rPr>
        <w:t xml:space="preserve"> dus eigenlijk geen recht op de betalingen die zij in het zicht van het faillissement heeft verkregen.</w:t>
      </w:r>
      <w:r w:rsidR="00DD5DFF" w:rsidRPr="00B0149A">
        <w:rPr>
          <w:rFonts w:asciiTheme="minorHAnsi" w:hAnsiTheme="minorHAnsi" w:cstheme="minorHAnsi"/>
          <w:b w:val="0"/>
          <w:sz w:val="22"/>
          <w:szCs w:val="22"/>
        </w:rPr>
        <w:t xml:space="preserve"> </w:t>
      </w:r>
      <w:r w:rsidR="00CB63D9">
        <w:rPr>
          <w:rFonts w:asciiTheme="minorHAnsi" w:hAnsiTheme="minorHAnsi" w:cstheme="minorHAnsi"/>
          <w:b w:val="0"/>
          <w:sz w:val="22"/>
          <w:szCs w:val="22"/>
        </w:rPr>
        <w:t>Het</w:t>
      </w:r>
      <w:r w:rsidR="00DD5DFF" w:rsidRPr="00B0149A">
        <w:rPr>
          <w:rFonts w:asciiTheme="minorHAnsi" w:hAnsiTheme="minorHAnsi" w:cstheme="minorHAnsi"/>
          <w:b w:val="0"/>
          <w:sz w:val="22"/>
          <w:szCs w:val="22"/>
        </w:rPr>
        <w:t xml:space="preserve"> komt erop neer dat de Rabobank niets mocht verkrijgen </w:t>
      </w:r>
      <w:r w:rsidR="004E011A" w:rsidRPr="00B0149A">
        <w:rPr>
          <w:rFonts w:asciiTheme="minorHAnsi" w:hAnsiTheme="minorHAnsi" w:cstheme="minorHAnsi"/>
          <w:b w:val="0"/>
          <w:sz w:val="22"/>
          <w:szCs w:val="22"/>
        </w:rPr>
        <w:t>vanaf het moment dat</w:t>
      </w:r>
      <w:r w:rsidR="00DD5DFF" w:rsidRPr="00B0149A">
        <w:rPr>
          <w:rFonts w:asciiTheme="minorHAnsi" w:hAnsiTheme="minorHAnsi" w:cstheme="minorHAnsi"/>
          <w:b w:val="0"/>
          <w:sz w:val="22"/>
          <w:szCs w:val="22"/>
        </w:rPr>
        <w:t xml:space="preserve"> zij op de hoogte werd gesteld van de faillissementsaanvraag</w:t>
      </w:r>
      <w:r w:rsidR="006864EE" w:rsidRPr="00B0149A">
        <w:rPr>
          <w:rFonts w:asciiTheme="minorHAnsi" w:hAnsiTheme="minorHAnsi" w:cstheme="minorHAnsi"/>
          <w:b w:val="0"/>
          <w:sz w:val="22"/>
          <w:szCs w:val="22"/>
        </w:rPr>
        <w:t xml:space="preserve"> </w:t>
      </w:r>
      <w:r w:rsidR="004E011A" w:rsidRPr="00B0149A">
        <w:rPr>
          <w:rFonts w:asciiTheme="minorHAnsi" w:hAnsiTheme="minorHAnsi" w:cstheme="minorHAnsi"/>
          <w:b w:val="0"/>
          <w:sz w:val="22"/>
          <w:szCs w:val="22"/>
        </w:rPr>
        <w:t>van</w:t>
      </w:r>
      <w:r w:rsidR="006864EE" w:rsidRPr="00B0149A">
        <w:rPr>
          <w:rFonts w:asciiTheme="minorHAnsi" w:hAnsiTheme="minorHAnsi" w:cstheme="minorHAnsi"/>
          <w:b w:val="0"/>
          <w:sz w:val="22"/>
          <w:szCs w:val="22"/>
        </w:rPr>
        <w:t xml:space="preserve"> de </w:t>
      </w:r>
      <w:r w:rsidR="00D92AC9" w:rsidRPr="00B0149A">
        <w:rPr>
          <w:rFonts w:asciiTheme="minorHAnsi" w:hAnsiTheme="minorHAnsi" w:cstheme="minorHAnsi"/>
          <w:b w:val="0"/>
          <w:sz w:val="22"/>
          <w:szCs w:val="22"/>
        </w:rPr>
        <w:t>schoenen</w:t>
      </w:r>
      <w:r w:rsidR="006864EE" w:rsidRPr="00B0149A">
        <w:rPr>
          <w:rFonts w:asciiTheme="minorHAnsi" w:hAnsiTheme="minorHAnsi" w:cstheme="minorHAnsi"/>
          <w:b w:val="0"/>
          <w:sz w:val="22"/>
          <w:szCs w:val="22"/>
        </w:rPr>
        <w:t>winkel</w:t>
      </w:r>
      <w:r w:rsidR="00DD5DFF" w:rsidRPr="00B0149A">
        <w:rPr>
          <w:rFonts w:asciiTheme="minorHAnsi" w:hAnsiTheme="minorHAnsi" w:cstheme="minorHAnsi"/>
          <w:b w:val="0"/>
          <w:sz w:val="22"/>
          <w:szCs w:val="22"/>
        </w:rPr>
        <w:t>.</w:t>
      </w:r>
    </w:p>
    <w:p w:rsidR="00827DBD" w:rsidRPr="00B0149A" w:rsidRDefault="00827DBD" w:rsidP="00777539">
      <w:pPr>
        <w:jc w:val="left"/>
        <w:rPr>
          <w:rFonts w:asciiTheme="minorHAnsi" w:hAnsiTheme="minorHAnsi" w:cstheme="minorHAnsi"/>
          <w:b w:val="0"/>
          <w:sz w:val="22"/>
          <w:szCs w:val="22"/>
        </w:rPr>
      </w:pPr>
    </w:p>
    <w:p w:rsidR="002F33BC" w:rsidRPr="00B0149A" w:rsidRDefault="00920107" w:rsidP="00777539">
      <w:pPr>
        <w:jc w:val="left"/>
        <w:rPr>
          <w:rFonts w:asciiTheme="minorHAnsi" w:hAnsiTheme="minorHAnsi" w:cstheme="minorHAnsi"/>
          <w:b w:val="0"/>
          <w:sz w:val="22"/>
          <w:szCs w:val="22"/>
        </w:rPr>
      </w:pPr>
      <w:r w:rsidRPr="00B0149A">
        <w:rPr>
          <w:rFonts w:asciiTheme="minorHAnsi" w:hAnsiTheme="minorHAnsi" w:cstheme="minorHAnsi"/>
          <w:b w:val="0"/>
          <w:sz w:val="22"/>
          <w:szCs w:val="22"/>
        </w:rPr>
        <w:t>Door</w:t>
      </w:r>
      <w:r w:rsidR="00C22548" w:rsidRPr="00B0149A">
        <w:rPr>
          <w:rFonts w:asciiTheme="minorHAnsi" w:hAnsiTheme="minorHAnsi" w:cstheme="minorHAnsi"/>
          <w:b w:val="0"/>
          <w:sz w:val="22"/>
          <w:szCs w:val="22"/>
        </w:rPr>
        <w:t xml:space="preserve"> middel van dit onderzoek</w:t>
      </w:r>
      <w:r w:rsidR="00885760" w:rsidRPr="00B0149A">
        <w:rPr>
          <w:rFonts w:asciiTheme="minorHAnsi" w:hAnsiTheme="minorHAnsi" w:cstheme="minorHAnsi"/>
          <w:b w:val="0"/>
          <w:sz w:val="22"/>
          <w:szCs w:val="22"/>
        </w:rPr>
        <w:t xml:space="preserve"> is</w:t>
      </w:r>
      <w:r w:rsidR="00C22548" w:rsidRPr="00B0149A">
        <w:rPr>
          <w:rFonts w:asciiTheme="minorHAnsi" w:hAnsiTheme="minorHAnsi" w:cstheme="minorHAnsi"/>
          <w:b w:val="0"/>
          <w:sz w:val="22"/>
          <w:szCs w:val="22"/>
        </w:rPr>
        <w:t xml:space="preserve"> geprobeerd om</w:t>
      </w:r>
      <w:r w:rsidR="008C5D07" w:rsidRPr="00B0149A">
        <w:rPr>
          <w:rFonts w:asciiTheme="minorHAnsi" w:hAnsiTheme="minorHAnsi" w:cstheme="minorHAnsi"/>
          <w:b w:val="0"/>
          <w:sz w:val="22"/>
          <w:szCs w:val="22"/>
        </w:rPr>
        <w:t xml:space="preserve"> RCDJ advocaten </w:t>
      </w:r>
      <w:r w:rsidR="00063098" w:rsidRPr="00B0149A">
        <w:rPr>
          <w:rFonts w:asciiTheme="minorHAnsi" w:hAnsiTheme="minorHAnsi" w:cstheme="minorHAnsi"/>
          <w:b w:val="0"/>
          <w:sz w:val="22"/>
          <w:szCs w:val="22"/>
        </w:rPr>
        <w:t xml:space="preserve">van informatie te voorzien zodat zij </w:t>
      </w:r>
      <w:r w:rsidR="00675F3C">
        <w:rPr>
          <w:rFonts w:asciiTheme="minorHAnsi" w:hAnsiTheme="minorHAnsi" w:cstheme="minorHAnsi"/>
          <w:b w:val="0"/>
          <w:sz w:val="22"/>
          <w:szCs w:val="22"/>
        </w:rPr>
        <w:t xml:space="preserve">haar cliënten </w:t>
      </w:r>
      <w:r w:rsidR="00063098" w:rsidRPr="00B0149A">
        <w:rPr>
          <w:rFonts w:asciiTheme="minorHAnsi" w:hAnsiTheme="minorHAnsi" w:cstheme="minorHAnsi"/>
          <w:b w:val="0"/>
          <w:sz w:val="22"/>
          <w:szCs w:val="22"/>
        </w:rPr>
        <w:t>kan</w:t>
      </w:r>
      <w:r w:rsidR="008C5D07" w:rsidRPr="00B0149A">
        <w:rPr>
          <w:rFonts w:asciiTheme="minorHAnsi" w:hAnsiTheme="minorHAnsi" w:cstheme="minorHAnsi"/>
          <w:b w:val="0"/>
          <w:sz w:val="22"/>
          <w:szCs w:val="22"/>
        </w:rPr>
        <w:t xml:space="preserve"> adviseren </w:t>
      </w:r>
      <w:r w:rsidR="00E1688B" w:rsidRPr="00B0149A">
        <w:rPr>
          <w:rFonts w:asciiTheme="minorHAnsi" w:hAnsiTheme="minorHAnsi" w:cstheme="minorHAnsi"/>
          <w:b w:val="0"/>
          <w:sz w:val="22"/>
          <w:szCs w:val="22"/>
        </w:rPr>
        <w:t xml:space="preserve">omtrent </w:t>
      </w:r>
      <w:r w:rsidR="008C5D07" w:rsidRPr="00B0149A">
        <w:rPr>
          <w:rFonts w:asciiTheme="minorHAnsi" w:hAnsiTheme="minorHAnsi" w:cstheme="minorHAnsi"/>
          <w:b w:val="0"/>
          <w:sz w:val="22"/>
          <w:szCs w:val="22"/>
        </w:rPr>
        <w:t xml:space="preserve">verrekening van verpande vorderingen (pinbetalingen) in het zicht van een faillissement. </w:t>
      </w:r>
      <w:r w:rsidR="00063098" w:rsidRPr="00B0149A">
        <w:rPr>
          <w:rFonts w:asciiTheme="minorHAnsi" w:hAnsiTheme="minorHAnsi" w:cstheme="minorHAnsi"/>
          <w:b w:val="0"/>
          <w:sz w:val="22"/>
          <w:szCs w:val="22"/>
        </w:rPr>
        <w:t>Hieruit is naar voren gekomen dat RCDJ advocaten met een aantal elementen rekening dient te houde</w:t>
      </w:r>
      <w:r w:rsidR="00BF76E7">
        <w:rPr>
          <w:rFonts w:asciiTheme="minorHAnsi" w:hAnsiTheme="minorHAnsi" w:cstheme="minorHAnsi"/>
          <w:b w:val="0"/>
          <w:sz w:val="22"/>
          <w:szCs w:val="22"/>
        </w:rPr>
        <w:t>n</w:t>
      </w:r>
      <w:r w:rsidR="00063098" w:rsidRPr="00B0149A">
        <w:rPr>
          <w:rFonts w:asciiTheme="minorHAnsi" w:hAnsiTheme="minorHAnsi" w:cstheme="minorHAnsi"/>
          <w:b w:val="0"/>
          <w:sz w:val="22"/>
          <w:szCs w:val="22"/>
        </w:rPr>
        <w:t xml:space="preserve">. </w:t>
      </w:r>
      <w:r w:rsidR="00726913" w:rsidRPr="00B0149A">
        <w:rPr>
          <w:rFonts w:asciiTheme="minorHAnsi" w:hAnsiTheme="minorHAnsi" w:cstheme="minorHAnsi"/>
          <w:b w:val="0"/>
          <w:sz w:val="22"/>
          <w:szCs w:val="22"/>
        </w:rPr>
        <w:t xml:space="preserve">Ten eerste is het van belang dat de cliënt stil pandhouder is en op basis van de pandrechten die zij bezit verrekend. </w:t>
      </w:r>
      <w:r w:rsidR="00D4615C" w:rsidRPr="00B0149A">
        <w:rPr>
          <w:rFonts w:asciiTheme="minorHAnsi" w:hAnsiTheme="minorHAnsi" w:cstheme="minorHAnsi"/>
          <w:b w:val="0"/>
          <w:sz w:val="22"/>
          <w:szCs w:val="22"/>
        </w:rPr>
        <w:t xml:space="preserve">De pandrechten dienen zodoende te bestaan en niet teniet gegaan te zijn door voltooiing van de </w:t>
      </w:r>
      <w:r w:rsidR="002439A4" w:rsidRPr="00B0149A">
        <w:rPr>
          <w:rFonts w:asciiTheme="minorHAnsi" w:hAnsiTheme="minorHAnsi" w:cstheme="minorHAnsi"/>
          <w:b w:val="0"/>
          <w:sz w:val="22"/>
          <w:szCs w:val="22"/>
        </w:rPr>
        <w:t>pin</w:t>
      </w:r>
      <w:r w:rsidR="00D4615C" w:rsidRPr="00B0149A">
        <w:rPr>
          <w:rFonts w:asciiTheme="minorHAnsi" w:hAnsiTheme="minorHAnsi" w:cstheme="minorHAnsi"/>
          <w:b w:val="0"/>
          <w:sz w:val="22"/>
          <w:szCs w:val="22"/>
        </w:rPr>
        <w:t>vordering waar het pandrecht op gevestigd is.</w:t>
      </w:r>
      <w:r w:rsidR="002439A4" w:rsidRPr="00B0149A">
        <w:rPr>
          <w:rFonts w:asciiTheme="minorHAnsi" w:hAnsiTheme="minorHAnsi" w:cstheme="minorHAnsi"/>
          <w:b w:val="0"/>
          <w:sz w:val="22"/>
          <w:szCs w:val="22"/>
        </w:rPr>
        <w:t xml:space="preserve"> </w:t>
      </w:r>
      <w:r w:rsidR="003F2176" w:rsidRPr="00B0149A">
        <w:rPr>
          <w:rFonts w:asciiTheme="minorHAnsi" w:hAnsiTheme="minorHAnsi" w:cstheme="minorHAnsi"/>
          <w:b w:val="0"/>
          <w:sz w:val="22"/>
          <w:szCs w:val="22"/>
        </w:rPr>
        <w:t>Verder</w:t>
      </w:r>
      <w:r w:rsidR="00C847E4" w:rsidRPr="00B0149A">
        <w:rPr>
          <w:rFonts w:asciiTheme="minorHAnsi" w:hAnsiTheme="minorHAnsi" w:cstheme="minorHAnsi"/>
          <w:b w:val="0"/>
          <w:sz w:val="22"/>
          <w:szCs w:val="22"/>
        </w:rPr>
        <w:t xml:space="preserve"> mogen er geen nieuwe pandrechten in het zicht van het faillissement gevestigd wo</w:t>
      </w:r>
      <w:r w:rsidR="005A2B05" w:rsidRPr="00B0149A">
        <w:rPr>
          <w:rFonts w:asciiTheme="minorHAnsi" w:hAnsiTheme="minorHAnsi" w:cstheme="minorHAnsi"/>
          <w:b w:val="0"/>
          <w:sz w:val="22"/>
          <w:szCs w:val="22"/>
        </w:rPr>
        <w:t xml:space="preserve">rden en mag </w:t>
      </w:r>
      <w:r w:rsidR="003F2176" w:rsidRPr="00B0149A">
        <w:rPr>
          <w:rFonts w:asciiTheme="minorHAnsi" w:hAnsiTheme="minorHAnsi" w:cstheme="minorHAnsi"/>
          <w:b w:val="0"/>
          <w:sz w:val="22"/>
          <w:szCs w:val="22"/>
        </w:rPr>
        <w:t xml:space="preserve">er geen overleg tussen de schuldenaar en de schuldeiser </w:t>
      </w:r>
      <w:r w:rsidR="00804CF3" w:rsidRPr="00B0149A">
        <w:rPr>
          <w:rFonts w:asciiTheme="minorHAnsi" w:hAnsiTheme="minorHAnsi" w:cstheme="minorHAnsi"/>
          <w:b w:val="0"/>
          <w:sz w:val="22"/>
          <w:szCs w:val="22"/>
        </w:rPr>
        <w:t xml:space="preserve">plaatsvinden </w:t>
      </w:r>
      <w:r w:rsidR="003F2176" w:rsidRPr="00B0149A">
        <w:rPr>
          <w:rFonts w:asciiTheme="minorHAnsi" w:hAnsiTheme="minorHAnsi" w:cstheme="minorHAnsi"/>
          <w:b w:val="0"/>
          <w:sz w:val="22"/>
          <w:szCs w:val="22"/>
        </w:rPr>
        <w:t xml:space="preserve">met </w:t>
      </w:r>
      <w:r w:rsidR="00E168DE" w:rsidRPr="00B0149A">
        <w:rPr>
          <w:rFonts w:asciiTheme="minorHAnsi" w:hAnsiTheme="minorHAnsi" w:cstheme="minorHAnsi"/>
          <w:b w:val="0"/>
          <w:sz w:val="22"/>
          <w:szCs w:val="22"/>
        </w:rPr>
        <w:t xml:space="preserve">het </w:t>
      </w:r>
      <w:r w:rsidR="003F2176" w:rsidRPr="00B0149A">
        <w:rPr>
          <w:rFonts w:asciiTheme="minorHAnsi" w:hAnsiTheme="minorHAnsi" w:cstheme="minorHAnsi"/>
          <w:b w:val="0"/>
          <w:sz w:val="22"/>
          <w:szCs w:val="22"/>
        </w:rPr>
        <w:t>oogmerk om zich boven andere schuldeisers te begunstigen.</w:t>
      </w:r>
      <w:r w:rsidR="00F17C04" w:rsidRPr="00B0149A">
        <w:rPr>
          <w:rFonts w:asciiTheme="minorHAnsi" w:hAnsiTheme="minorHAnsi" w:cstheme="minorHAnsi"/>
          <w:b w:val="0"/>
          <w:sz w:val="22"/>
          <w:szCs w:val="22"/>
        </w:rPr>
        <w:t xml:space="preserve"> </w:t>
      </w:r>
      <w:r w:rsidR="008B73CA" w:rsidRPr="00B0149A">
        <w:rPr>
          <w:rFonts w:asciiTheme="minorHAnsi" w:hAnsiTheme="minorHAnsi" w:cstheme="minorHAnsi"/>
          <w:b w:val="0"/>
          <w:sz w:val="22"/>
          <w:szCs w:val="22"/>
        </w:rPr>
        <w:t>Tot slot mogen er geen vorde</w:t>
      </w:r>
      <w:r w:rsidR="009849A6" w:rsidRPr="00B0149A">
        <w:rPr>
          <w:rFonts w:asciiTheme="minorHAnsi" w:hAnsiTheme="minorHAnsi" w:cstheme="minorHAnsi"/>
          <w:b w:val="0"/>
          <w:sz w:val="22"/>
          <w:szCs w:val="22"/>
        </w:rPr>
        <w:t>ringen van derden worden overgenomen als men van het aanstaande faillissement op de hoogte is.</w:t>
      </w:r>
      <w:r w:rsidR="0068282F" w:rsidRPr="00B0149A">
        <w:rPr>
          <w:rFonts w:asciiTheme="minorHAnsi" w:hAnsiTheme="minorHAnsi" w:cstheme="minorHAnsi"/>
          <w:b w:val="0"/>
          <w:sz w:val="22"/>
          <w:szCs w:val="22"/>
        </w:rPr>
        <w:t xml:space="preserve"> </w:t>
      </w:r>
    </w:p>
    <w:p w:rsidR="003F6400" w:rsidRPr="00B0149A" w:rsidRDefault="003F6400" w:rsidP="00777539">
      <w:pPr>
        <w:jc w:val="left"/>
        <w:rPr>
          <w:rFonts w:asciiTheme="minorHAnsi" w:hAnsiTheme="minorHAnsi" w:cstheme="minorHAnsi"/>
          <w:b w:val="0"/>
          <w:sz w:val="22"/>
          <w:szCs w:val="22"/>
        </w:rPr>
      </w:pPr>
    </w:p>
    <w:p w:rsidR="003F6400" w:rsidRPr="00B0149A" w:rsidRDefault="00920107" w:rsidP="00777539">
      <w:pPr>
        <w:jc w:val="left"/>
        <w:rPr>
          <w:rFonts w:asciiTheme="minorHAnsi" w:hAnsiTheme="minorHAnsi" w:cstheme="minorHAnsi"/>
          <w:b w:val="0"/>
          <w:sz w:val="22"/>
          <w:szCs w:val="22"/>
        </w:rPr>
      </w:pPr>
      <w:r w:rsidRPr="00B0149A">
        <w:rPr>
          <w:rFonts w:asciiTheme="minorHAnsi" w:hAnsiTheme="minorHAnsi" w:cstheme="minorHAnsi"/>
          <w:b w:val="0"/>
          <w:sz w:val="22"/>
          <w:szCs w:val="22"/>
        </w:rPr>
        <w:t xml:space="preserve">Concluderend </w:t>
      </w:r>
      <w:r w:rsidR="003F6400" w:rsidRPr="00B0149A">
        <w:rPr>
          <w:rFonts w:asciiTheme="minorHAnsi" w:hAnsiTheme="minorHAnsi" w:cstheme="minorHAnsi"/>
          <w:b w:val="0"/>
          <w:sz w:val="22"/>
          <w:szCs w:val="22"/>
        </w:rPr>
        <w:t>is de doelstelling van dit onderzoek bereikt en bruikbaar voor RCDJ advocaten.</w:t>
      </w:r>
      <w:r w:rsidR="00FC68A5" w:rsidRPr="00B0149A">
        <w:rPr>
          <w:rFonts w:asciiTheme="minorHAnsi" w:hAnsiTheme="minorHAnsi" w:cstheme="minorHAnsi"/>
          <w:b w:val="0"/>
          <w:sz w:val="22"/>
          <w:szCs w:val="22"/>
        </w:rPr>
        <w:t xml:space="preserve"> Er is immers rekening gehouden met alle facetten omtrent verrekening in het zicht van een faillissement. </w:t>
      </w:r>
      <w:r w:rsidR="00675F3C">
        <w:rPr>
          <w:rFonts w:asciiTheme="minorHAnsi" w:hAnsiTheme="minorHAnsi" w:cstheme="minorHAnsi"/>
          <w:b w:val="0"/>
          <w:sz w:val="22"/>
          <w:szCs w:val="22"/>
        </w:rPr>
        <w:t>Middels</w:t>
      </w:r>
      <w:r w:rsidR="00FC68A5" w:rsidRPr="00B0149A">
        <w:rPr>
          <w:rFonts w:asciiTheme="minorHAnsi" w:hAnsiTheme="minorHAnsi" w:cstheme="minorHAnsi"/>
          <w:b w:val="0"/>
          <w:sz w:val="22"/>
          <w:szCs w:val="22"/>
        </w:rPr>
        <w:t xml:space="preserve"> die facetten is een concreet antwoord geformuleerd op basis waarvan de verrekening</w:t>
      </w:r>
      <w:r w:rsidR="00227A09">
        <w:rPr>
          <w:rFonts w:asciiTheme="minorHAnsi" w:hAnsiTheme="minorHAnsi" w:cstheme="minorHAnsi"/>
          <w:b w:val="0"/>
          <w:sz w:val="22"/>
          <w:szCs w:val="22"/>
        </w:rPr>
        <w:t xml:space="preserve"> wel of niet</w:t>
      </w:r>
      <w:r w:rsidR="00FC68A5" w:rsidRPr="00B0149A">
        <w:rPr>
          <w:rFonts w:asciiTheme="minorHAnsi" w:hAnsiTheme="minorHAnsi" w:cstheme="minorHAnsi"/>
          <w:b w:val="0"/>
          <w:sz w:val="22"/>
          <w:szCs w:val="22"/>
        </w:rPr>
        <w:t xml:space="preserve"> mag plaatsvinden.</w:t>
      </w:r>
      <w:r w:rsidR="00A51535" w:rsidRPr="00B0149A">
        <w:rPr>
          <w:rFonts w:asciiTheme="minorHAnsi" w:hAnsiTheme="minorHAnsi" w:cstheme="minorHAnsi"/>
          <w:b w:val="0"/>
          <w:sz w:val="22"/>
          <w:szCs w:val="22"/>
        </w:rPr>
        <w:t xml:space="preserve"> RCDJ advocaten kan haar cliënt</w:t>
      </w:r>
      <w:r w:rsidR="00D81745" w:rsidRPr="00B0149A">
        <w:rPr>
          <w:rFonts w:asciiTheme="minorHAnsi" w:hAnsiTheme="minorHAnsi" w:cstheme="minorHAnsi"/>
          <w:b w:val="0"/>
          <w:sz w:val="22"/>
          <w:szCs w:val="22"/>
        </w:rPr>
        <w:t>en</w:t>
      </w:r>
      <w:r w:rsidR="00A51535" w:rsidRPr="00B0149A">
        <w:rPr>
          <w:rFonts w:asciiTheme="minorHAnsi" w:hAnsiTheme="minorHAnsi" w:cstheme="minorHAnsi"/>
          <w:b w:val="0"/>
          <w:sz w:val="22"/>
          <w:szCs w:val="22"/>
        </w:rPr>
        <w:t xml:space="preserve"> zodoende </w:t>
      </w:r>
      <w:r w:rsidR="004079B6">
        <w:rPr>
          <w:rFonts w:asciiTheme="minorHAnsi" w:hAnsiTheme="minorHAnsi" w:cstheme="minorHAnsi"/>
          <w:b w:val="0"/>
          <w:sz w:val="22"/>
          <w:szCs w:val="22"/>
        </w:rPr>
        <w:t xml:space="preserve">in verscheidene situaties </w:t>
      </w:r>
      <w:r w:rsidR="00A51535" w:rsidRPr="00B0149A">
        <w:rPr>
          <w:rFonts w:asciiTheme="minorHAnsi" w:hAnsiTheme="minorHAnsi" w:cstheme="minorHAnsi"/>
          <w:b w:val="0"/>
          <w:sz w:val="22"/>
          <w:szCs w:val="22"/>
        </w:rPr>
        <w:t xml:space="preserve">adviseren omtrent </w:t>
      </w:r>
      <w:r w:rsidR="00D81745" w:rsidRPr="00B0149A">
        <w:rPr>
          <w:rFonts w:asciiTheme="minorHAnsi" w:hAnsiTheme="minorHAnsi" w:cstheme="minorHAnsi"/>
          <w:b w:val="0"/>
          <w:sz w:val="22"/>
          <w:szCs w:val="22"/>
        </w:rPr>
        <w:t>het verreken in het zicht van het faillissement</w:t>
      </w:r>
      <w:r w:rsidR="00A51535" w:rsidRPr="00B0149A">
        <w:rPr>
          <w:rFonts w:asciiTheme="minorHAnsi" w:hAnsiTheme="minorHAnsi" w:cstheme="minorHAnsi"/>
          <w:b w:val="0"/>
          <w:sz w:val="22"/>
          <w:szCs w:val="22"/>
        </w:rPr>
        <w:t>.</w:t>
      </w:r>
    </w:p>
    <w:p w:rsidR="00C7626E" w:rsidRPr="00914D82" w:rsidRDefault="00F3488B" w:rsidP="003C4A15">
      <w:pPr>
        <w:pStyle w:val="Kop1"/>
        <w:rPr>
          <w:sz w:val="36"/>
        </w:rPr>
      </w:pPr>
      <w:bookmarkStart w:id="41" w:name="_Toc486246635"/>
      <w:r>
        <w:rPr>
          <w:sz w:val="36"/>
        </w:rPr>
        <w:lastRenderedPageBreak/>
        <w:t>Hoofdstuk 8</w:t>
      </w:r>
      <w:bookmarkEnd w:id="41"/>
    </w:p>
    <w:p w:rsidR="003C4A15" w:rsidRDefault="00F3488B" w:rsidP="00F3488B">
      <w:pPr>
        <w:pStyle w:val="Kop4"/>
        <w:rPr>
          <w:sz w:val="26"/>
          <w:szCs w:val="26"/>
        </w:rPr>
      </w:pPr>
      <w:r>
        <w:rPr>
          <w:sz w:val="26"/>
          <w:szCs w:val="26"/>
        </w:rPr>
        <w:t>- Aanbeveling -</w:t>
      </w:r>
    </w:p>
    <w:p w:rsidR="00C7626E" w:rsidRDefault="00C7626E" w:rsidP="00164E92">
      <w:pPr>
        <w:jc w:val="left"/>
        <w:rPr>
          <w:rFonts w:asciiTheme="minorHAnsi" w:hAnsiTheme="minorHAnsi" w:cstheme="minorHAnsi"/>
          <w:b w:val="0"/>
          <w:sz w:val="22"/>
        </w:rPr>
      </w:pPr>
    </w:p>
    <w:p w:rsidR="00913723" w:rsidRDefault="0015058F" w:rsidP="00164E92">
      <w:pPr>
        <w:jc w:val="left"/>
        <w:rPr>
          <w:rFonts w:asciiTheme="minorHAnsi" w:hAnsiTheme="minorHAnsi" w:cstheme="minorHAnsi"/>
          <w:b w:val="0"/>
          <w:sz w:val="22"/>
        </w:rPr>
      </w:pPr>
      <w:r>
        <w:rPr>
          <w:rFonts w:asciiTheme="minorHAnsi" w:hAnsiTheme="minorHAnsi" w:cstheme="minorHAnsi"/>
          <w:b w:val="0"/>
          <w:sz w:val="22"/>
        </w:rPr>
        <w:t xml:space="preserve">Op grond van dit onderzoek kan ik RCDJ advocaten een aantal aanbevelingen </w:t>
      </w:r>
      <w:r w:rsidR="002052D6">
        <w:rPr>
          <w:rFonts w:asciiTheme="minorHAnsi" w:hAnsiTheme="minorHAnsi" w:cstheme="minorHAnsi"/>
          <w:b w:val="0"/>
          <w:sz w:val="22"/>
        </w:rPr>
        <w:t xml:space="preserve">doen </w:t>
      </w:r>
      <w:r>
        <w:rPr>
          <w:rFonts w:asciiTheme="minorHAnsi" w:hAnsiTheme="minorHAnsi" w:cstheme="minorHAnsi"/>
          <w:b w:val="0"/>
          <w:sz w:val="22"/>
        </w:rPr>
        <w:t xml:space="preserve">zodat zij haar cliënten beter van advies kan voorzien omtrent het verrekenen in het zicht van het faillissement. Het onderzoek is gedaan vanuit de visie van de pandhouders/banken, zodoende zal de aanbeveling zich op die cliënten richten.  </w:t>
      </w:r>
    </w:p>
    <w:p w:rsidR="0048637E" w:rsidRDefault="0048637E" w:rsidP="00164E92">
      <w:pPr>
        <w:jc w:val="left"/>
        <w:rPr>
          <w:rFonts w:asciiTheme="minorHAnsi" w:hAnsiTheme="minorHAnsi" w:cstheme="minorHAnsi"/>
          <w:b w:val="0"/>
          <w:sz w:val="22"/>
        </w:rPr>
      </w:pPr>
    </w:p>
    <w:p w:rsidR="0048637E" w:rsidRDefault="0048637E" w:rsidP="00164E92">
      <w:pPr>
        <w:jc w:val="left"/>
        <w:rPr>
          <w:rFonts w:asciiTheme="minorHAnsi" w:hAnsiTheme="minorHAnsi" w:cstheme="minorHAnsi"/>
          <w:b w:val="0"/>
          <w:sz w:val="22"/>
        </w:rPr>
      </w:pPr>
      <w:r>
        <w:rPr>
          <w:rFonts w:asciiTheme="minorHAnsi" w:hAnsiTheme="minorHAnsi" w:cstheme="minorHAnsi"/>
          <w:b w:val="0"/>
          <w:sz w:val="22"/>
        </w:rPr>
        <w:t xml:space="preserve">Aangezien er vanuit de visie van de pandhouders wordt gekeken, zal de aanbeveling zich erop richten hoe de pandhouders een zo gunstig mogelijke positie verkrijgen omtrent het verrekenen in het zicht van een faillissement. </w:t>
      </w:r>
      <w:r w:rsidR="00400726">
        <w:rPr>
          <w:rFonts w:asciiTheme="minorHAnsi" w:hAnsiTheme="minorHAnsi" w:cstheme="minorHAnsi"/>
          <w:b w:val="0"/>
          <w:sz w:val="22"/>
        </w:rPr>
        <w:t xml:space="preserve">Daarbij zal worden ingegaan op wat de pandhouders niet moeten doen </w:t>
      </w:r>
      <w:r w:rsidR="00CA7475">
        <w:rPr>
          <w:rFonts w:asciiTheme="minorHAnsi" w:hAnsiTheme="minorHAnsi" w:cstheme="minorHAnsi"/>
          <w:b w:val="0"/>
          <w:sz w:val="22"/>
        </w:rPr>
        <w:t>of hoe zij een ongunstige situatie kunnen voorkomen.</w:t>
      </w:r>
      <w:r w:rsidR="00397198">
        <w:rPr>
          <w:rFonts w:asciiTheme="minorHAnsi" w:hAnsiTheme="minorHAnsi" w:cstheme="minorHAnsi"/>
          <w:b w:val="0"/>
          <w:sz w:val="22"/>
        </w:rPr>
        <w:t xml:space="preserve"> Allereerst is het van belang dat RCDJ advocaten haar cliënten vraagt naar het bezit van stille pandrechten. Stille pandrechten zijn immers de enige manier op basis waarvan verrekend kan worden in het zicht van het faillissement. </w:t>
      </w:r>
      <w:r w:rsidR="0023265C">
        <w:rPr>
          <w:rFonts w:asciiTheme="minorHAnsi" w:hAnsiTheme="minorHAnsi" w:cstheme="minorHAnsi"/>
          <w:b w:val="0"/>
          <w:sz w:val="22"/>
        </w:rPr>
        <w:t xml:space="preserve">Dit is te herleiden tot het arrest Mulder q.q./CLBN wat nog steeds de leidende rechtspraak is omtrent dit gebied. </w:t>
      </w:r>
      <w:r w:rsidR="00C95D24">
        <w:rPr>
          <w:rFonts w:asciiTheme="minorHAnsi" w:hAnsiTheme="minorHAnsi" w:cstheme="minorHAnsi"/>
          <w:b w:val="0"/>
          <w:sz w:val="22"/>
        </w:rPr>
        <w:t>Indien een cliënt geen stille pandrechten bezit, heeft zij geen grond om te kunnen verrekenen in het zicht van een faillissement.</w:t>
      </w:r>
    </w:p>
    <w:p w:rsidR="00C76417" w:rsidRDefault="00C76417" w:rsidP="00164E92">
      <w:pPr>
        <w:jc w:val="left"/>
        <w:rPr>
          <w:rFonts w:asciiTheme="minorHAnsi" w:hAnsiTheme="minorHAnsi" w:cstheme="minorHAnsi"/>
          <w:b w:val="0"/>
          <w:sz w:val="22"/>
        </w:rPr>
      </w:pPr>
    </w:p>
    <w:p w:rsidR="00EA351C" w:rsidRDefault="00C76417" w:rsidP="00164E92">
      <w:pPr>
        <w:jc w:val="left"/>
        <w:rPr>
          <w:rFonts w:asciiTheme="minorHAnsi" w:hAnsiTheme="minorHAnsi" w:cstheme="minorHAnsi"/>
          <w:b w:val="0"/>
          <w:sz w:val="22"/>
        </w:rPr>
      </w:pPr>
      <w:r>
        <w:rPr>
          <w:rFonts w:asciiTheme="minorHAnsi" w:hAnsiTheme="minorHAnsi" w:cstheme="minorHAnsi"/>
          <w:b w:val="0"/>
          <w:sz w:val="22"/>
        </w:rPr>
        <w:t xml:space="preserve">Verder dient RCDJ advocaten er rekening mee te houden dat </w:t>
      </w:r>
      <w:r w:rsidR="00602E59">
        <w:rPr>
          <w:rFonts w:asciiTheme="minorHAnsi" w:hAnsiTheme="minorHAnsi" w:cstheme="minorHAnsi"/>
          <w:b w:val="0"/>
          <w:sz w:val="22"/>
        </w:rPr>
        <w:t>haar cliënten geen nieuwe pandrecht</w:t>
      </w:r>
      <w:r w:rsidR="00556024">
        <w:rPr>
          <w:rFonts w:asciiTheme="minorHAnsi" w:hAnsiTheme="minorHAnsi" w:cstheme="minorHAnsi"/>
          <w:b w:val="0"/>
          <w:sz w:val="22"/>
        </w:rPr>
        <w:t>en</w:t>
      </w:r>
      <w:r w:rsidR="00602E59">
        <w:rPr>
          <w:rFonts w:asciiTheme="minorHAnsi" w:hAnsiTheme="minorHAnsi" w:cstheme="minorHAnsi"/>
          <w:b w:val="0"/>
          <w:sz w:val="22"/>
        </w:rPr>
        <w:t xml:space="preserve"> mogen vestigen in het zicht van een faillissement. Indien een faillissement aanstaande is mogen er namelijk alleen maar verplichte rechtshandelingen worden gedaan. </w:t>
      </w:r>
      <w:r w:rsidR="00EE7C31">
        <w:rPr>
          <w:rFonts w:asciiTheme="minorHAnsi" w:hAnsiTheme="minorHAnsi" w:cstheme="minorHAnsi"/>
          <w:b w:val="0"/>
          <w:sz w:val="22"/>
        </w:rPr>
        <w:t xml:space="preserve">Het vestigen van een pandrecht is geen verplichte rechtshandeling. Het is echter nog onduidelijk of het vestigen van pandrechten naar aanleiding van een volmacht in een verzamelpandakte, wel een verplichte rechtshandeling is. </w:t>
      </w:r>
    </w:p>
    <w:p w:rsidR="00EA351C" w:rsidRDefault="00EA351C" w:rsidP="00164E92">
      <w:pPr>
        <w:jc w:val="left"/>
        <w:rPr>
          <w:rFonts w:asciiTheme="minorHAnsi" w:hAnsiTheme="minorHAnsi" w:cstheme="minorHAnsi"/>
          <w:b w:val="0"/>
          <w:sz w:val="22"/>
        </w:rPr>
      </w:pPr>
    </w:p>
    <w:p w:rsidR="007F1F61" w:rsidRDefault="00E90CFA" w:rsidP="00164E92">
      <w:pPr>
        <w:jc w:val="left"/>
        <w:rPr>
          <w:rFonts w:asciiTheme="minorHAnsi" w:hAnsiTheme="minorHAnsi" w:cstheme="minorHAnsi"/>
          <w:b w:val="0"/>
          <w:sz w:val="22"/>
        </w:rPr>
      </w:pPr>
      <w:r>
        <w:rPr>
          <w:rFonts w:asciiTheme="minorHAnsi" w:hAnsiTheme="minorHAnsi" w:cstheme="minorHAnsi"/>
          <w:b w:val="0"/>
          <w:sz w:val="22"/>
        </w:rPr>
        <w:t xml:space="preserve">Indien de cliënt van RCDJ advocaten geen gebruik maakt van verzamelpandakten, kan zij in geadviseerd worden om geen nieuwe pandrechten te vestigen in het zicht van het faillissement. </w:t>
      </w:r>
      <w:r w:rsidR="002062E3">
        <w:rPr>
          <w:rFonts w:asciiTheme="minorHAnsi" w:hAnsiTheme="minorHAnsi" w:cstheme="minorHAnsi"/>
          <w:b w:val="0"/>
          <w:sz w:val="22"/>
        </w:rPr>
        <w:t>Omtrent het gebruik van verzamelpandakte</w:t>
      </w:r>
      <w:r w:rsidR="008E226A">
        <w:rPr>
          <w:rFonts w:asciiTheme="minorHAnsi" w:hAnsiTheme="minorHAnsi" w:cstheme="minorHAnsi"/>
          <w:b w:val="0"/>
          <w:sz w:val="22"/>
        </w:rPr>
        <w:t>n</w:t>
      </w:r>
      <w:r w:rsidR="002062E3">
        <w:rPr>
          <w:rFonts w:asciiTheme="minorHAnsi" w:hAnsiTheme="minorHAnsi" w:cstheme="minorHAnsi"/>
          <w:b w:val="0"/>
          <w:sz w:val="22"/>
        </w:rPr>
        <w:t xml:space="preserve"> kan nog geen duidelijk advies gegeven worden, daar de rechtspraak hier nog onduidelijk over is.</w:t>
      </w:r>
      <w:r w:rsidR="00CB3C75" w:rsidRPr="00CB3C75">
        <w:rPr>
          <w:rFonts w:asciiTheme="minorHAnsi" w:hAnsiTheme="minorHAnsi" w:cstheme="minorHAnsi"/>
          <w:b w:val="0"/>
          <w:sz w:val="22"/>
        </w:rPr>
        <w:t xml:space="preserve"> </w:t>
      </w:r>
      <w:r w:rsidR="00CB3C75">
        <w:rPr>
          <w:rFonts w:asciiTheme="minorHAnsi" w:hAnsiTheme="minorHAnsi" w:cstheme="minorHAnsi"/>
          <w:b w:val="0"/>
          <w:sz w:val="22"/>
        </w:rPr>
        <w:t>Hier dient in de toekomst verder onderzoek naar gedaan te worden als er meer jurisprudentie over bekend is.</w:t>
      </w:r>
    </w:p>
    <w:p w:rsidR="007F1F61" w:rsidRDefault="007F1F61" w:rsidP="00164E92">
      <w:pPr>
        <w:jc w:val="left"/>
        <w:rPr>
          <w:rFonts w:asciiTheme="minorHAnsi" w:hAnsiTheme="minorHAnsi" w:cstheme="minorHAnsi"/>
          <w:b w:val="0"/>
          <w:sz w:val="22"/>
        </w:rPr>
      </w:pPr>
    </w:p>
    <w:p w:rsidR="00263B9D" w:rsidRPr="007F1F61" w:rsidRDefault="00263B9D" w:rsidP="00263B9D">
      <w:pPr>
        <w:jc w:val="left"/>
        <w:rPr>
          <w:rFonts w:asciiTheme="minorHAnsi" w:hAnsiTheme="minorHAnsi" w:cstheme="minorHAnsi"/>
          <w:b w:val="0"/>
          <w:sz w:val="22"/>
        </w:rPr>
      </w:pPr>
      <w:r>
        <w:rPr>
          <w:rFonts w:asciiTheme="minorHAnsi" w:hAnsiTheme="minorHAnsi" w:cstheme="minorHAnsi"/>
          <w:b w:val="0"/>
          <w:sz w:val="22"/>
        </w:rPr>
        <w:t xml:space="preserve">Wat wel vaststaat is dat indien men op de hoogte is van een aanstaand faillissement, dat er in geen enkel geval </w:t>
      </w:r>
      <w:r w:rsidR="007F1F61">
        <w:rPr>
          <w:rFonts w:asciiTheme="minorHAnsi" w:hAnsiTheme="minorHAnsi" w:cstheme="minorHAnsi"/>
          <w:b w:val="0"/>
          <w:sz w:val="22"/>
        </w:rPr>
        <w:t>verrekend kan worden in het zicht van een faillissement. D</w:t>
      </w:r>
      <w:r w:rsidRPr="00B0149A">
        <w:rPr>
          <w:rFonts w:asciiTheme="minorHAnsi" w:hAnsiTheme="minorHAnsi" w:cstheme="minorHAnsi"/>
          <w:b w:val="0"/>
          <w:sz w:val="22"/>
          <w:szCs w:val="22"/>
        </w:rPr>
        <w:t xml:space="preserve">it wordt </w:t>
      </w:r>
      <w:r w:rsidR="007F1F61">
        <w:rPr>
          <w:rFonts w:asciiTheme="minorHAnsi" w:hAnsiTheme="minorHAnsi" w:cstheme="minorHAnsi"/>
          <w:b w:val="0"/>
          <w:sz w:val="22"/>
          <w:szCs w:val="22"/>
        </w:rPr>
        <w:t xml:space="preserve">namelijk </w:t>
      </w:r>
      <w:r w:rsidRPr="00B0149A">
        <w:rPr>
          <w:rFonts w:asciiTheme="minorHAnsi" w:hAnsiTheme="minorHAnsi" w:cstheme="minorHAnsi"/>
          <w:b w:val="0"/>
          <w:sz w:val="22"/>
          <w:szCs w:val="22"/>
        </w:rPr>
        <w:t xml:space="preserve">bestempeld als </w:t>
      </w:r>
      <w:proofErr w:type="spellStart"/>
      <w:r w:rsidRPr="00B0149A">
        <w:rPr>
          <w:rFonts w:asciiTheme="minorHAnsi" w:hAnsiTheme="minorHAnsi" w:cstheme="minorHAnsi"/>
          <w:b w:val="0"/>
          <w:sz w:val="22"/>
          <w:szCs w:val="22"/>
        </w:rPr>
        <w:t>paulianeus</w:t>
      </w:r>
      <w:proofErr w:type="spellEnd"/>
      <w:r w:rsidRPr="00B0149A">
        <w:rPr>
          <w:rFonts w:asciiTheme="minorHAnsi" w:hAnsiTheme="minorHAnsi" w:cstheme="minorHAnsi"/>
          <w:b w:val="0"/>
          <w:sz w:val="22"/>
          <w:szCs w:val="22"/>
        </w:rPr>
        <w:t xml:space="preserve"> handelen. Wat zodoende vaststaat is dat er bij kennis van het naderende faillissement in ieder geval geen pandrechten gevestigd mogen worden en er daardoor </w:t>
      </w:r>
      <w:r w:rsidR="008A66E4">
        <w:rPr>
          <w:rFonts w:asciiTheme="minorHAnsi" w:hAnsiTheme="minorHAnsi" w:cstheme="minorHAnsi"/>
          <w:b w:val="0"/>
          <w:sz w:val="22"/>
          <w:szCs w:val="22"/>
        </w:rPr>
        <w:t>niet verrekend kan worden</w:t>
      </w:r>
      <w:r w:rsidRPr="00B0149A">
        <w:rPr>
          <w:rFonts w:asciiTheme="minorHAnsi" w:hAnsiTheme="minorHAnsi" w:cstheme="minorHAnsi"/>
          <w:b w:val="0"/>
          <w:sz w:val="22"/>
          <w:szCs w:val="22"/>
        </w:rPr>
        <w:t xml:space="preserve">. Het maakt hierbij dus niet uit of </w:t>
      </w:r>
      <w:r w:rsidR="00F07756">
        <w:rPr>
          <w:rFonts w:asciiTheme="minorHAnsi" w:hAnsiTheme="minorHAnsi" w:cstheme="minorHAnsi"/>
          <w:b w:val="0"/>
          <w:sz w:val="22"/>
          <w:szCs w:val="22"/>
        </w:rPr>
        <w:t>de</w:t>
      </w:r>
      <w:r w:rsidRPr="00B0149A">
        <w:rPr>
          <w:rFonts w:asciiTheme="minorHAnsi" w:hAnsiTheme="minorHAnsi" w:cstheme="minorHAnsi"/>
          <w:b w:val="0"/>
          <w:sz w:val="22"/>
          <w:szCs w:val="22"/>
        </w:rPr>
        <w:t xml:space="preserve"> </w:t>
      </w:r>
      <w:r w:rsidR="00F07756">
        <w:rPr>
          <w:rFonts w:asciiTheme="minorHAnsi" w:hAnsiTheme="minorHAnsi" w:cstheme="minorHAnsi"/>
          <w:b w:val="0"/>
          <w:sz w:val="22"/>
          <w:szCs w:val="22"/>
        </w:rPr>
        <w:t>cliënt/</w:t>
      </w:r>
      <w:r w:rsidRPr="00B0149A">
        <w:rPr>
          <w:rFonts w:asciiTheme="minorHAnsi" w:hAnsiTheme="minorHAnsi" w:cstheme="minorHAnsi"/>
          <w:b w:val="0"/>
          <w:sz w:val="22"/>
          <w:szCs w:val="22"/>
        </w:rPr>
        <w:t xml:space="preserve">pandhouder </w:t>
      </w:r>
      <w:r w:rsidR="00BD2D90">
        <w:rPr>
          <w:rFonts w:asciiTheme="minorHAnsi" w:hAnsiTheme="minorHAnsi" w:cstheme="minorHAnsi"/>
          <w:b w:val="0"/>
          <w:sz w:val="22"/>
          <w:szCs w:val="22"/>
        </w:rPr>
        <w:t>gebruik heeft gemaakt van verzamelpandakten</w:t>
      </w:r>
      <w:r w:rsidRPr="00B0149A">
        <w:rPr>
          <w:rFonts w:asciiTheme="minorHAnsi" w:hAnsiTheme="minorHAnsi" w:cstheme="minorHAnsi"/>
          <w:b w:val="0"/>
          <w:sz w:val="22"/>
          <w:szCs w:val="22"/>
        </w:rPr>
        <w:t xml:space="preserve">. </w:t>
      </w:r>
      <w:r w:rsidR="000144C5">
        <w:rPr>
          <w:rFonts w:asciiTheme="minorHAnsi" w:hAnsiTheme="minorHAnsi" w:cstheme="minorHAnsi"/>
          <w:b w:val="0"/>
          <w:sz w:val="22"/>
          <w:szCs w:val="22"/>
        </w:rPr>
        <w:t>Er mag</w:t>
      </w:r>
      <w:r w:rsidRPr="00B0149A">
        <w:rPr>
          <w:rFonts w:asciiTheme="minorHAnsi" w:hAnsiTheme="minorHAnsi" w:cstheme="minorHAnsi"/>
          <w:b w:val="0"/>
          <w:sz w:val="22"/>
          <w:szCs w:val="22"/>
        </w:rPr>
        <w:t xml:space="preserve"> tevens </w:t>
      </w:r>
      <w:r w:rsidR="000144C5">
        <w:rPr>
          <w:rFonts w:asciiTheme="minorHAnsi" w:hAnsiTheme="minorHAnsi" w:cstheme="minorHAnsi"/>
          <w:b w:val="0"/>
          <w:sz w:val="22"/>
          <w:szCs w:val="22"/>
        </w:rPr>
        <w:t>geen</w:t>
      </w:r>
      <w:r w:rsidRPr="00B0149A">
        <w:rPr>
          <w:rFonts w:asciiTheme="minorHAnsi" w:hAnsiTheme="minorHAnsi" w:cstheme="minorHAnsi"/>
          <w:b w:val="0"/>
          <w:sz w:val="22"/>
          <w:szCs w:val="22"/>
        </w:rPr>
        <w:t xml:space="preserve"> overleg tussen de schuldenaar en de schuldeiser </w:t>
      </w:r>
      <w:r w:rsidR="000144C5">
        <w:rPr>
          <w:rFonts w:asciiTheme="minorHAnsi" w:hAnsiTheme="minorHAnsi" w:cstheme="minorHAnsi"/>
          <w:b w:val="0"/>
          <w:sz w:val="22"/>
          <w:szCs w:val="22"/>
        </w:rPr>
        <w:t xml:space="preserve">plaatsvinden </w:t>
      </w:r>
      <w:r w:rsidRPr="00B0149A">
        <w:rPr>
          <w:rFonts w:asciiTheme="minorHAnsi" w:hAnsiTheme="minorHAnsi" w:cstheme="minorHAnsi"/>
          <w:b w:val="0"/>
          <w:sz w:val="22"/>
          <w:szCs w:val="22"/>
        </w:rPr>
        <w:t xml:space="preserve">met </w:t>
      </w:r>
      <w:r w:rsidR="000144C5">
        <w:rPr>
          <w:rFonts w:asciiTheme="minorHAnsi" w:hAnsiTheme="minorHAnsi" w:cstheme="minorHAnsi"/>
          <w:b w:val="0"/>
          <w:sz w:val="22"/>
          <w:szCs w:val="22"/>
        </w:rPr>
        <w:t xml:space="preserve">het </w:t>
      </w:r>
      <w:r w:rsidRPr="00B0149A">
        <w:rPr>
          <w:rFonts w:asciiTheme="minorHAnsi" w:hAnsiTheme="minorHAnsi" w:cstheme="minorHAnsi"/>
          <w:b w:val="0"/>
          <w:sz w:val="22"/>
          <w:szCs w:val="22"/>
        </w:rPr>
        <w:t xml:space="preserve">oogmerk om zich boven andere schuldeisers te begunstigen. </w:t>
      </w:r>
      <w:r w:rsidR="00EA0E43">
        <w:rPr>
          <w:rFonts w:asciiTheme="minorHAnsi" w:hAnsiTheme="minorHAnsi" w:cstheme="minorHAnsi"/>
          <w:b w:val="0"/>
          <w:sz w:val="22"/>
          <w:szCs w:val="22"/>
        </w:rPr>
        <w:t>RCDJ advocaten zal haar cliënt</w:t>
      </w:r>
      <w:r w:rsidR="00F060C0">
        <w:rPr>
          <w:rFonts w:asciiTheme="minorHAnsi" w:hAnsiTheme="minorHAnsi" w:cstheme="minorHAnsi"/>
          <w:b w:val="0"/>
          <w:sz w:val="22"/>
          <w:szCs w:val="22"/>
        </w:rPr>
        <w:t>en</w:t>
      </w:r>
      <w:r w:rsidR="00EA0E43">
        <w:rPr>
          <w:rFonts w:asciiTheme="minorHAnsi" w:hAnsiTheme="minorHAnsi" w:cstheme="minorHAnsi"/>
          <w:b w:val="0"/>
          <w:sz w:val="22"/>
          <w:szCs w:val="22"/>
        </w:rPr>
        <w:t xml:space="preserve"> zodoende kunnen adviseren om geen overleg te voeren met </w:t>
      </w:r>
      <w:r w:rsidR="008A34B1">
        <w:rPr>
          <w:rFonts w:asciiTheme="minorHAnsi" w:hAnsiTheme="minorHAnsi" w:cstheme="minorHAnsi"/>
          <w:b w:val="0"/>
          <w:sz w:val="22"/>
          <w:szCs w:val="22"/>
        </w:rPr>
        <w:t xml:space="preserve">de schuldenaar met </w:t>
      </w:r>
      <w:r w:rsidR="00EA0E43">
        <w:rPr>
          <w:rFonts w:asciiTheme="minorHAnsi" w:hAnsiTheme="minorHAnsi" w:cstheme="minorHAnsi"/>
          <w:b w:val="0"/>
          <w:sz w:val="22"/>
          <w:szCs w:val="22"/>
        </w:rPr>
        <w:t xml:space="preserve">het betreffende oogmerk. </w:t>
      </w:r>
    </w:p>
    <w:p w:rsidR="00263B9D" w:rsidRDefault="00263B9D" w:rsidP="00164E92">
      <w:pPr>
        <w:jc w:val="left"/>
        <w:rPr>
          <w:rFonts w:asciiTheme="minorHAnsi" w:hAnsiTheme="minorHAnsi" w:cstheme="minorHAnsi"/>
          <w:b w:val="0"/>
          <w:sz w:val="22"/>
        </w:rPr>
      </w:pPr>
    </w:p>
    <w:p w:rsidR="00CC3A10" w:rsidRDefault="00C069A7" w:rsidP="00CC3A10">
      <w:pPr>
        <w:jc w:val="left"/>
        <w:rPr>
          <w:rFonts w:asciiTheme="minorHAnsi" w:hAnsiTheme="minorHAnsi" w:cstheme="minorHAnsi"/>
          <w:b w:val="0"/>
          <w:sz w:val="22"/>
          <w:szCs w:val="22"/>
        </w:rPr>
      </w:pPr>
      <w:r>
        <w:rPr>
          <w:rFonts w:asciiTheme="minorHAnsi" w:hAnsiTheme="minorHAnsi" w:cstheme="minorHAnsi"/>
          <w:b w:val="0"/>
          <w:sz w:val="22"/>
          <w:szCs w:val="22"/>
        </w:rPr>
        <w:t>Verder dient er rekening mee gehouden te worden dat de cliënt geen vorderingen van derden overneemt als zij van het aanstaande faillissement op de hoogte is</w:t>
      </w:r>
      <w:r w:rsidR="00CC3A10" w:rsidRPr="00B0149A">
        <w:rPr>
          <w:rFonts w:asciiTheme="minorHAnsi" w:hAnsiTheme="minorHAnsi" w:cstheme="minorHAnsi"/>
          <w:b w:val="0"/>
          <w:sz w:val="22"/>
          <w:szCs w:val="22"/>
        </w:rPr>
        <w:t>.</w:t>
      </w:r>
      <w:r w:rsidR="002C072A">
        <w:rPr>
          <w:rFonts w:asciiTheme="minorHAnsi" w:hAnsiTheme="minorHAnsi" w:cstheme="minorHAnsi"/>
          <w:b w:val="0"/>
          <w:sz w:val="22"/>
          <w:szCs w:val="22"/>
        </w:rPr>
        <w:t xml:space="preserve"> Zij dient namelijk te goeder trouw te zijn bij het overnemen van vorderingen. Deze goede trouw wordt geschaad als men bij het overnemen van de vordering op de hoogte was van het aanstaande faillissement.</w:t>
      </w:r>
      <w:r w:rsidR="00CC3A10" w:rsidRPr="00B0149A">
        <w:rPr>
          <w:rFonts w:asciiTheme="minorHAnsi" w:hAnsiTheme="minorHAnsi" w:cstheme="minorHAnsi"/>
          <w:b w:val="0"/>
          <w:sz w:val="22"/>
          <w:szCs w:val="22"/>
        </w:rPr>
        <w:t xml:space="preserve"> Zo lang de vordering met het daarop rustende pandrecht al in het bezit is van de pandhouder en er geen sprake is van overname, kan er verrekend worden met dat pandrecht.</w:t>
      </w:r>
      <w:r w:rsidR="00931D90">
        <w:rPr>
          <w:rFonts w:asciiTheme="minorHAnsi" w:hAnsiTheme="minorHAnsi" w:cstheme="minorHAnsi"/>
          <w:b w:val="0"/>
          <w:sz w:val="22"/>
          <w:szCs w:val="22"/>
        </w:rPr>
        <w:t xml:space="preserve"> </w:t>
      </w:r>
      <w:r w:rsidR="00F241BC">
        <w:rPr>
          <w:rFonts w:asciiTheme="minorHAnsi" w:hAnsiTheme="minorHAnsi" w:cstheme="minorHAnsi"/>
          <w:b w:val="0"/>
          <w:sz w:val="22"/>
          <w:szCs w:val="22"/>
        </w:rPr>
        <w:t>RCDJ advocaten zal haar cliënten die van plan zijn om vorderingen over te nemen in het zicht van een faillissement, dit zodoende kunnen afraden.</w:t>
      </w:r>
    </w:p>
    <w:p w:rsidR="003865B3" w:rsidRDefault="003865B3" w:rsidP="00CC3A10">
      <w:pPr>
        <w:jc w:val="left"/>
        <w:rPr>
          <w:rFonts w:asciiTheme="minorHAnsi" w:hAnsiTheme="minorHAnsi" w:cstheme="minorHAnsi"/>
          <w:b w:val="0"/>
          <w:sz w:val="22"/>
          <w:szCs w:val="22"/>
        </w:rPr>
      </w:pPr>
    </w:p>
    <w:p w:rsidR="00C7626E" w:rsidRDefault="003865B3" w:rsidP="00164E92">
      <w:pPr>
        <w:jc w:val="left"/>
        <w:rPr>
          <w:rFonts w:asciiTheme="minorHAnsi" w:hAnsiTheme="minorHAnsi" w:cstheme="minorHAnsi"/>
          <w:b w:val="0"/>
          <w:sz w:val="22"/>
          <w:szCs w:val="22"/>
        </w:rPr>
      </w:pPr>
      <w:r>
        <w:rPr>
          <w:rFonts w:asciiTheme="minorHAnsi" w:hAnsiTheme="minorHAnsi" w:cstheme="minorHAnsi"/>
          <w:b w:val="0"/>
          <w:sz w:val="22"/>
          <w:szCs w:val="22"/>
        </w:rPr>
        <w:lastRenderedPageBreak/>
        <w:t xml:space="preserve">Tot slot kan RCDJ advocaten haar cliënten adviseren om het stil pandrecht uit te oefenen. De regel volgens het arrest Mulder q.q./CLBN is dat men op basis van stille pandrechten mag verrekenen in het zicht van het faillissement. Echter, er kan voor gekozen worden op de stille pandrechten openbaar te maken door het doen van mededeling van de pandrechten aan de debiteuren van de pandgever. </w:t>
      </w:r>
      <w:r w:rsidR="00F17F34" w:rsidRPr="004675E3">
        <w:rPr>
          <w:rFonts w:asciiTheme="minorHAnsi" w:hAnsiTheme="minorHAnsi" w:cstheme="minorHAnsi"/>
          <w:b w:val="0"/>
          <w:sz w:val="22"/>
          <w:szCs w:val="22"/>
        </w:rPr>
        <w:t>Om het stil pandrecht op vorderingen openbaar te maken moet vrees</w:t>
      </w:r>
      <w:r w:rsidR="004675E3">
        <w:rPr>
          <w:rFonts w:asciiTheme="minorHAnsi" w:hAnsiTheme="minorHAnsi" w:cstheme="minorHAnsi"/>
          <w:b w:val="0"/>
          <w:sz w:val="22"/>
          <w:szCs w:val="22"/>
        </w:rPr>
        <w:t xml:space="preserve"> zijn</w:t>
      </w:r>
      <w:r w:rsidR="00F17F34" w:rsidRPr="004675E3">
        <w:rPr>
          <w:rFonts w:asciiTheme="minorHAnsi" w:hAnsiTheme="minorHAnsi" w:cstheme="minorHAnsi"/>
          <w:b w:val="0"/>
          <w:sz w:val="22"/>
          <w:szCs w:val="22"/>
        </w:rPr>
        <w:t xml:space="preserve"> voor het niet nakomen </w:t>
      </w:r>
      <w:r w:rsidR="004675E3">
        <w:rPr>
          <w:rFonts w:asciiTheme="minorHAnsi" w:hAnsiTheme="minorHAnsi" w:cstheme="minorHAnsi"/>
          <w:b w:val="0"/>
          <w:sz w:val="22"/>
          <w:szCs w:val="22"/>
        </w:rPr>
        <w:t>door</w:t>
      </w:r>
      <w:r w:rsidR="00F17F34" w:rsidRPr="004675E3">
        <w:rPr>
          <w:rFonts w:asciiTheme="minorHAnsi" w:hAnsiTheme="minorHAnsi" w:cstheme="minorHAnsi"/>
          <w:b w:val="0"/>
          <w:sz w:val="22"/>
          <w:szCs w:val="22"/>
        </w:rPr>
        <w:t xml:space="preserve"> de pandgever</w:t>
      </w:r>
      <w:r w:rsidR="00581454">
        <w:rPr>
          <w:rFonts w:asciiTheme="minorHAnsi" w:hAnsiTheme="minorHAnsi" w:cstheme="minorHAnsi"/>
          <w:b w:val="0"/>
          <w:sz w:val="22"/>
          <w:szCs w:val="22"/>
        </w:rPr>
        <w:t xml:space="preserve"> van zijn verplichtingen</w:t>
      </w:r>
      <w:r w:rsidR="00F17F34" w:rsidRPr="004675E3">
        <w:rPr>
          <w:rFonts w:asciiTheme="minorHAnsi" w:hAnsiTheme="minorHAnsi" w:cstheme="minorHAnsi"/>
          <w:b w:val="0"/>
          <w:sz w:val="22"/>
          <w:szCs w:val="22"/>
        </w:rPr>
        <w:t xml:space="preserve">. Het openbaar maken van een stil pandrecht heeft als gevolg dat de bank een inningsbevoegdheid creëert. De inningsbevoegdheid zorgt ervoor dat de bank de vordering rechtstreeks van de </w:t>
      </w:r>
      <w:r w:rsidR="00A669C9">
        <w:rPr>
          <w:rFonts w:asciiTheme="minorHAnsi" w:hAnsiTheme="minorHAnsi" w:cstheme="minorHAnsi"/>
          <w:b w:val="0"/>
          <w:sz w:val="22"/>
          <w:szCs w:val="22"/>
        </w:rPr>
        <w:t>debiteuren</w:t>
      </w:r>
      <w:r w:rsidR="00F17F34" w:rsidRPr="004675E3">
        <w:rPr>
          <w:rFonts w:asciiTheme="minorHAnsi" w:hAnsiTheme="minorHAnsi" w:cstheme="minorHAnsi"/>
          <w:b w:val="0"/>
          <w:sz w:val="22"/>
          <w:szCs w:val="22"/>
        </w:rPr>
        <w:t xml:space="preserve"> kan innen</w:t>
      </w:r>
      <w:r w:rsidR="00A55240">
        <w:rPr>
          <w:rFonts w:asciiTheme="minorHAnsi" w:hAnsiTheme="minorHAnsi" w:cstheme="minorHAnsi"/>
          <w:b w:val="0"/>
          <w:sz w:val="22"/>
          <w:szCs w:val="22"/>
        </w:rPr>
        <w:t>. Indien de cliënt dit niet wenst te doen is het belangrijk dat RCDJ advocaten haar mededeelt dat zij haar recht op voorrang overeenkomend met haar pandrechten behoudt in het faillissement</w:t>
      </w:r>
      <w:r w:rsidR="00F16CE5">
        <w:rPr>
          <w:rFonts w:asciiTheme="minorHAnsi" w:hAnsiTheme="minorHAnsi" w:cstheme="minorHAnsi"/>
          <w:b w:val="0"/>
          <w:sz w:val="22"/>
          <w:szCs w:val="22"/>
        </w:rPr>
        <w:t xml:space="preserve"> van de pandgever</w:t>
      </w:r>
      <w:r w:rsidR="00A55240">
        <w:rPr>
          <w:rFonts w:asciiTheme="minorHAnsi" w:hAnsiTheme="minorHAnsi" w:cstheme="minorHAnsi"/>
          <w:b w:val="0"/>
          <w:sz w:val="22"/>
          <w:szCs w:val="22"/>
        </w:rPr>
        <w:t>.</w:t>
      </w:r>
    </w:p>
    <w:p w:rsidR="00282B16" w:rsidRDefault="00282B16" w:rsidP="00164E92">
      <w:pPr>
        <w:jc w:val="left"/>
        <w:rPr>
          <w:rFonts w:asciiTheme="minorHAnsi" w:hAnsiTheme="minorHAnsi" w:cstheme="minorHAnsi"/>
          <w:b w:val="0"/>
          <w:sz w:val="22"/>
          <w:szCs w:val="22"/>
        </w:rPr>
      </w:pPr>
    </w:p>
    <w:p w:rsidR="00282B16" w:rsidRPr="00282B16" w:rsidRDefault="00282B16" w:rsidP="00164E92">
      <w:pPr>
        <w:jc w:val="left"/>
        <w:rPr>
          <w:rFonts w:asciiTheme="minorHAnsi" w:hAnsiTheme="minorHAnsi" w:cstheme="minorHAnsi"/>
          <w:b w:val="0"/>
          <w:sz w:val="22"/>
          <w:szCs w:val="22"/>
        </w:rPr>
      </w:pPr>
      <w:r>
        <w:rPr>
          <w:rFonts w:asciiTheme="minorHAnsi" w:hAnsiTheme="minorHAnsi" w:cstheme="minorHAnsi"/>
          <w:b w:val="0"/>
          <w:sz w:val="22"/>
          <w:szCs w:val="22"/>
        </w:rPr>
        <w:t xml:space="preserve">Kortom, </w:t>
      </w:r>
      <w:r w:rsidR="006C0464">
        <w:rPr>
          <w:rFonts w:asciiTheme="minorHAnsi" w:hAnsiTheme="minorHAnsi" w:cstheme="minorHAnsi"/>
          <w:b w:val="0"/>
          <w:sz w:val="22"/>
          <w:szCs w:val="22"/>
        </w:rPr>
        <w:t xml:space="preserve">door middel van dit onderzoek is geprobeerd </w:t>
      </w:r>
      <w:r>
        <w:rPr>
          <w:rFonts w:asciiTheme="minorHAnsi" w:hAnsiTheme="minorHAnsi" w:cstheme="minorHAnsi"/>
          <w:b w:val="0"/>
          <w:sz w:val="22"/>
          <w:szCs w:val="22"/>
        </w:rPr>
        <w:t xml:space="preserve">RCDJ advocaten </w:t>
      </w:r>
      <w:r w:rsidR="006C0464">
        <w:rPr>
          <w:rFonts w:asciiTheme="minorHAnsi" w:hAnsiTheme="minorHAnsi" w:cstheme="minorHAnsi"/>
          <w:b w:val="0"/>
          <w:sz w:val="22"/>
          <w:szCs w:val="22"/>
        </w:rPr>
        <w:t>meer middelen te verschaffen om haar cliënten</w:t>
      </w:r>
      <w:r w:rsidR="007C428E">
        <w:rPr>
          <w:rFonts w:asciiTheme="minorHAnsi" w:hAnsiTheme="minorHAnsi" w:cstheme="minorHAnsi"/>
          <w:b w:val="0"/>
          <w:sz w:val="22"/>
          <w:szCs w:val="22"/>
        </w:rPr>
        <w:t xml:space="preserve"> van beter advies</w:t>
      </w:r>
      <w:r w:rsidR="006C0464">
        <w:rPr>
          <w:rFonts w:asciiTheme="minorHAnsi" w:hAnsiTheme="minorHAnsi" w:cstheme="minorHAnsi"/>
          <w:b w:val="0"/>
          <w:sz w:val="22"/>
          <w:szCs w:val="22"/>
        </w:rPr>
        <w:t xml:space="preserve"> te kunnen</w:t>
      </w:r>
      <w:r w:rsidR="007C428E">
        <w:rPr>
          <w:rFonts w:asciiTheme="minorHAnsi" w:hAnsiTheme="minorHAnsi" w:cstheme="minorHAnsi"/>
          <w:b w:val="0"/>
          <w:sz w:val="22"/>
          <w:szCs w:val="22"/>
        </w:rPr>
        <w:t xml:space="preserve"> voorzien omtrent het verrekenen in het zicht van het faillissement. </w:t>
      </w:r>
      <w:r w:rsidR="00EA18AB">
        <w:rPr>
          <w:rFonts w:asciiTheme="minorHAnsi" w:hAnsiTheme="minorHAnsi" w:cstheme="minorHAnsi"/>
          <w:b w:val="0"/>
          <w:sz w:val="22"/>
          <w:szCs w:val="22"/>
        </w:rPr>
        <w:t>Het belangrijkste leerstuk is dat het arrest Mulder q.q./CLBN toonaangevend</w:t>
      </w:r>
      <w:r w:rsidR="003649C6">
        <w:rPr>
          <w:rFonts w:asciiTheme="minorHAnsi" w:hAnsiTheme="minorHAnsi" w:cstheme="minorHAnsi"/>
          <w:b w:val="0"/>
          <w:sz w:val="22"/>
          <w:szCs w:val="22"/>
        </w:rPr>
        <w:t xml:space="preserve"> is</w:t>
      </w:r>
      <w:r w:rsidR="00EA18AB">
        <w:rPr>
          <w:rFonts w:asciiTheme="minorHAnsi" w:hAnsiTheme="minorHAnsi" w:cstheme="minorHAnsi"/>
          <w:b w:val="0"/>
          <w:sz w:val="22"/>
          <w:szCs w:val="22"/>
        </w:rPr>
        <w:t xml:space="preserve">. Zodoende </w:t>
      </w:r>
      <w:r w:rsidR="00EE1B51">
        <w:rPr>
          <w:rFonts w:asciiTheme="minorHAnsi" w:hAnsiTheme="minorHAnsi" w:cstheme="minorHAnsi"/>
          <w:b w:val="0"/>
          <w:sz w:val="22"/>
          <w:szCs w:val="22"/>
        </w:rPr>
        <w:t>dient men</w:t>
      </w:r>
      <w:r w:rsidR="00EA18AB">
        <w:rPr>
          <w:rFonts w:asciiTheme="minorHAnsi" w:hAnsiTheme="minorHAnsi" w:cstheme="minorHAnsi"/>
          <w:b w:val="0"/>
          <w:sz w:val="22"/>
          <w:szCs w:val="22"/>
        </w:rPr>
        <w:t xml:space="preserve"> stille pandrechten te bezitten om te kunnen verrekenen in het zicht van het faillissement. Indien een cliënt van RCDJ advocaten geen stille pandrechten bezit, dan kan RCDJ advocaten haar afraden om te verrekenen in het zicht van het faillissement. Er is dan immers geen </w:t>
      </w:r>
      <w:proofErr w:type="spellStart"/>
      <w:r w:rsidR="00EA18AB">
        <w:rPr>
          <w:rFonts w:asciiTheme="minorHAnsi" w:hAnsiTheme="minorHAnsi" w:cstheme="minorHAnsi"/>
          <w:b w:val="0"/>
          <w:sz w:val="22"/>
          <w:szCs w:val="22"/>
        </w:rPr>
        <w:t>verrekeningsgrond</w:t>
      </w:r>
      <w:proofErr w:type="spellEnd"/>
      <w:r w:rsidR="00EA18AB">
        <w:rPr>
          <w:rFonts w:asciiTheme="minorHAnsi" w:hAnsiTheme="minorHAnsi" w:cstheme="minorHAnsi"/>
          <w:b w:val="0"/>
          <w:sz w:val="22"/>
          <w:szCs w:val="22"/>
        </w:rPr>
        <w:t xml:space="preserve"> en er mogen tevens geen nieuwe </w:t>
      </w:r>
      <w:proofErr w:type="spellStart"/>
      <w:r w:rsidR="00EA18AB">
        <w:rPr>
          <w:rFonts w:asciiTheme="minorHAnsi" w:hAnsiTheme="minorHAnsi" w:cstheme="minorHAnsi"/>
          <w:b w:val="0"/>
          <w:sz w:val="22"/>
          <w:szCs w:val="22"/>
        </w:rPr>
        <w:t>verrekeningsgronden</w:t>
      </w:r>
      <w:proofErr w:type="spellEnd"/>
      <w:r w:rsidR="00EA18AB">
        <w:rPr>
          <w:rFonts w:asciiTheme="minorHAnsi" w:hAnsiTheme="minorHAnsi" w:cstheme="minorHAnsi"/>
          <w:b w:val="0"/>
          <w:sz w:val="22"/>
          <w:szCs w:val="22"/>
        </w:rPr>
        <w:t xml:space="preserve"> worden gecreëerd of </w:t>
      </w:r>
      <w:r w:rsidR="00D47091">
        <w:rPr>
          <w:rFonts w:asciiTheme="minorHAnsi" w:hAnsiTheme="minorHAnsi" w:cstheme="minorHAnsi"/>
          <w:b w:val="0"/>
          <w:sz w:val="22"/>
          <w:szCs w:val="22"/>
        </w:rPr>
        <w:t xml:space="preserve">worden </w:t>
      </w:r>
      <w:r w:rsidR="00EA18AB">
        <w:rPr>
          <w:rFonts w:asciiTheme="minorHAnsi" w:hAnsiTheme="minorHAnsi" w:cstheme="minorHAnsi"/>
          <w:b w:val="0"/>
          <w:sz w:val="22"/>
          <w:szCs w:val="22"/>
        </w:rPr>
        <w:t>overgenomen in het zicht van een faillissement.</w:t>
      </w:r>
      <w:r w:rsidR="00AC3F31">
        <w:rPr>
          <w:rFonts w:asciiTheme="minorHAnsi" w:hAnsiTheme="minorHAnsi" w:cstheme="minorHAnsi"/>
          <w:b w:val="0"/>
          <w:sz w:val="22"/>
          <w:szCs w:val="22"/>
        </w:rPr>
        <w:t xml:space="preserve"> </w:t>
      </w:r>
      <w:r w:rsidR="002820B7">
        <w:rPr>
          <w:rFonts w:asciiTheme="minorHAnsi" w:hAnsiTheme="minorHAnsi" w:cstheme="minorHAnsi"/>
          <w:b w:val="0"/>
          <w:sz w:val="22"/>
          <w:szCs w:val="22"/>
        </w:rPr>
        <w:t>Indien de cliënt niet op de hoogte is van een aanstaand faillissement, dan kan het mogelijk zijn om op basis van verzamelpandakten nieuwe stille pandrechten te vestigen. Hier dient in de toekomst echter nog meer onderzoek naar gedaan te worden.</w:t>
      </w:r>
    </w:p>
    <w:p w:rsidR="00C7626E" w:rsidRDefault="00C7626E" w:rsidP="00164E92">
      <w:pPr>
        <w:jc w:val="left"/>
        <w:rPr>
          <w:rFonts w:asciiTheme="minorHAnsi" w:hAnsiTheme="minorHAnsi" w:cstheme="minorHAnsi"/>
          <w:b w:val="0"/>
          <w:sz w:val="20"/>
        </w:rPr>
      </w:pPr>
    </w:p>
    <w:p w:rsidR="00C7626E" w:rsidRDefault="00C7626E" w:rsidP="00164E92">
      <w:pPr>
        <w:jc w:val="left"/>
        <w:rPr>
          <w:rFonts w:asciiTheme="minorHAnsi" w:hAnsiTheme="minorHAnsi" w:cstheme="minorHAnsi"/>
          <w:b w:val="0"/>
          <w:sz w:val="20"/>
        </w:rPr>
      </w:pPr>
    </w:p>
    <w:p w:rsidR="00C7626E" w:rsidRDefault="00C7626E" w:rsidP="00164E92">
      <w:pPr>
        <w:jc w:val="left"/>
        <w:rPr>
          <w:rFonts w:asciiTheme="minorHAnsi" w:hAnsiTheme="minorHAnsi" w:cstheme="minorHAnsi"/>
          <w:b w:val="0"/>
          <w:sz w:val="20"/>
        </w:rPr>
      </w:pPr>
    </w:p>
    <w:p w:rsidR="00C7626E" w:rsidRDefault="00C7626E" w:rsidP="00164E92">
      <w:pPr>
        <w:jc w:val="left"/>
        <w:rPr>
          <w:rFonts w:asciiTheme="minorHAnsi" w:hAnsiTheme="minorHAnsi" w:cstheme="minorHAnsi"/>
          <w:b w:val="0"/>
          <w:sz w:val="20"/>
        </w:rPr>
      </w:pPr>
    </w:p>
    <w:p w:rsidR="00C7626E" w:rsidRDefault="00C7626E" w:rsidP="00164E92">
      <w:pPr>
        <w:jc w:val="left"/>
        <w:rPr>
          <w:rFonts w:asciiTheme="minorHAnsi" w:hAnsiTheme="minorHAnsi" w:cstheme="minorHAnsi"/>
          <w:b w:val="0"/>
          <w:sz w:val="20"/>
        </w:rPr>
      </w:pPr>
    </w:p>
    <w:p w:rsidR="00C7626E" w:rsidRDefault="00C7626E" w:rsidP="00164E92">
      <w:pPr>
        <w:jc w:val="left"/>
        <w:rPr>
          <w:rFonts w:asciiTheme="minorHAnsi" w:hAnsiTheme="minorHAnsi" w:cstheme="minorHAnsi"/>
          <w:b w:val="0"/>
          <w:sz w:val="20"/>
        </w:rPr>
      </w:pPr>
    </w:p>
    <w:p w:rsidR="0025313E" w:rsidRDefault="0025313E">
      <w:pPr>
        <w:rPr>
          <w:rFonts w:asciiTheme="minorHAnsi" w:hAnsiTheme="minorHAnsi" w:cstheme="minorHAnsi"/>
          <w:b w:val="0"/>
          <w:sz w:val="20"/>
        </w:rPr>
      </w:pPr>
      <w:r>
        <w:rPr>
          <w:rFonts w:asciiTheme="minorHAnsi" w:hAnsiTheme="minorHAnsi" w:cstheme="minorHAnsi"/>
          <w:b w:val="0"/>
          <w:sz w:val="20"/>
        </w:rPr>
        <w:br w:type="page"/>
      </w:r>
    </w:p>
    <w:p w:rsidR="0025313E" w:rsidRPr="00914D82" w:rsidRDefault="0025313E" w:rsidP="0025313E">
      <w:pPr>
        <w:pStyle w:val="Kop1"/>
        <w:rPr>
          <w:sz w:val="36"/>
        </w:rPr>
      </w:pPr>
      <w:bookmarkStart w:id="42" w:name="_Toc486246636"/>
      <w:r w:rsidRPr="00914D82">
        <w:rPr>
          <w:sz w:val="36"/>
        </w:rPr>
        <w:lastRenderedPageBreak/>
        <w:t>Literatuurlijst</w:t>
      </w:r>
      <w:bookmarkEnd w:id="42"/>
    </w:p>
    <w:p w:rsidR="0025313E" w:rsidRDefault="0025313E" w:rsidP="0025313E">
      <w:pPr>
        <w:jc w:val="left"/>
        <w:rPr>
          <w:rFonts w:asciiTheme="minorHAnsi" w:hAnsiTheme="minorHAnsi" w:cstheme="minorHAnsi"/>
          <w:b w:val="0"/>
          <w:sz w:val="20"/>
        </w:rPr>
      </w:pPr>
    </w:p>
    <w:p w:rsidR="0025313E" w:rsidRPr="00C743FB" w:rsidRDefault="0025313E" w:rsidP="0025313E">
      <w:pPr>
        <w:jc w:val="left"/>
        <w:rPr>
          <w:rFonts w:asciiTheme="minorHAnsi" w:hAnsiTheme="minorHAnsi" w:cstheme="minorHAnsi"/>
          <w:b w:val="0"/>
          <w:sz w:val="22"/>
          <w:szCs w:val="22"/>
        </w:rPr>
      </w:pPr>
      <w:r w:rsidRPr="00C743FB">
        <w:rPr>
          <w:rFonts w:asciiTheme="minorHAnsi" w:hAnsiTheme="minorHAnsi" w:cstheme="minorHAnsi"/>
          <w:b w:val="0"/>
          <w:sz w:val="22"/>
          <w:szCs w:val="22"/>
          <w:u w:val="single"/>
        </w:rPr>
        <w:t>Artikelsgewijs commentaar</w:t>
      </w:r>
    </w:p>
    <w:p w:rsidR="0025313E" w:rsidRPr="00C743FB" w:rsidRDefault="0025313E" w:rsidP="0025313E">
      <w:pPr>
        <w:pStyle w:val="Voetnoottekst"/>
        <w:numPr>
          <w:ilvl w:val="0"/>
          <w:numId w:val="20"/>
        </w:numPr>
        <w:jc w:val="left"/>
        <w:rPr>
          <w:rFonts w:asciiTheme="minorHAnsi" w:hAnsiTheme="minorHAnsi" w:cstheme="minorHAnsi"/>
          <w:sz w:val="22"/>
          <w:szCs w:val="22"/>
          <w:lang w:val="en-US"/>
        </w:rPr>
      </w:pPr>
      <w:proofErr w:type="spellStart"/>
      <w:r w:rsidRPr="00C743FB">
        <w:rPr>
          <w:rFonts w:asciiTheme="minorHAnsi" w:hAnsiTheme="minorHAnsi" w:cstheme="minorHAnsi"/>
          <w:sz w:val="22"/>
          <w:szCs w:val="22"/>
          <w:lang w:val="en-US"/>
        </w:rPr>
        <w:t>Beenders</w:t>
      </w:r>
      <w:proofErr w:type="spellEnd"/>
      <w:r w:rsidRPr="00C743FB">
        <w:rPr>
          <w:rFonts w:asciiTheme="minorHAnsi" w:hAnsiTheme="minorHAnsi" w:cstheme="minorHAnsi"/>
          <w:sz w:val="22"/>
          <w:szCs w:val="22"/>
          <w:lang w:val="en-US"/>
        </w:rPr>
        <w:t xml:space="preserve"> 2015</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D.J. </w:t>
      </w:r>
      <w:proofErr w:type="spellStart"/>
      <w:r w:rsidRPr="00C743FB">
        <w:rPr>
          <w:rFonts w:asciiTheme="minorHAnsi" w:hAnsiTheme="minorHAnsi" w:cstheme="minorHAnsi"/>
          <w:b w:val="0"/>
          <w:sz w:val="22"/>
          <w:szCs w:val="22"/>
        </w:rPr>
        <w:t>Beenders</w:t>
      </w:r>
      <w:proofErr w:type="spellEnd"/>
      <w:r w:rsidRPr="00C743FB">
        <w:rPr>
          <w:rFonts w:asciiTheme="minorHAnsi" w:hAnsiTheme="minorHAnsi" w:cstheme="minorHAnsi"/>
          <w:b w:val="0"/>
          <w:sz w:val="22"/>
          <w:szCs w:val="22"/>
        </w:rPr>
        <w:t xml:space="preserve">, in: </w:t>
      </w:r>
      <w:r w:rsidRPr="00C743FB">
        <w:rPr>
          <w:rFonts w:asciiTheme="minorHAnsi" w:hAnsiTheme="minorHAnsi" w:cstheme="minorHAnsi"/>
          <w:b w:val="0"/>
          <w:i/>
          <w:sz w:val="22"/>
          <w:szCs w:val="22"/>
        </w:rPr>
        <w:t>Tekst &amp; Commentaar Burgerlijk procesrecht</w:t>
      </w:r>
      <w:r w:rsidRPr="00C743FB">
        <w:rPr>
          <w:rFonts w:asciiTheme="minorHAnsi" w:hAnsiTheme="minorHAnsi" w:cstheme="minorHAnsi"/>
          <w:b w:val="0"/>
          <w:sz w:val="22"/>
          <w:szCs w:val="22"/>
        </w:rPr>
        <w:t>, art. 156 Rv, (online, laatst bijgewerkt op 7 december 2015).</w:t>
      </w:r>
    </w:p>
    <w:p w:rsidR="0025313E" w:rsidRPr="00C743FB" w:rsidRDefault="0025313E" w:rsidP="0025313E">
      <w:pPr>
        <w:pStyle w:val="Voetnoottekst"/>
        <w:numPr>
          <w:ilvl w:val="0"/>
          <w:numId w:val="20"/>
        </w:numPr>
        <w:jc w:val="left"/>
        <w:rPr>
          <w:rFonts w:asciiTheme="minorHAnsi" w:hAnsiTheme="minorHAnsi" w:cstheme="minorHAnsi"/>
          <w:sz w:val="22"/>
          <w:szCs w:val="22"/>
        </w:rPr>
      </w:pPr>
      <w:r w:rsidRPr="00C743FB">
        <w:rPr>
          <w:rFonts w:asciiTheme="minorHAnsi" w:hAnsiTheme="minorHAnsi" w:cstheme="minorHAnsi"/>
          <w:sz w:val="22"/>
          <w:szCs w:val="22"/>
        </w:rPr>
        <w:t>Huijgen</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W.G. Huijgen, in: </w:t>
      </w:r>
      <w:r w:rsidRPr="00C743FB">
        <w:rPr>
          <w:rFonts w:asciiTheme="minorHAnsi" w:hAnsiTheme="minorHAnsi" w:cstheme="minorHAnsi"/>
          <w:b w:val="0"/>
          <w:i/>
          <w:sz w:val="22"/>
          <w:szCs w:val="22"/>
        </w:rPr>
        <w:t>Tekst &amp; Commentaar Goederenrecht</w:t>
      </w:r>
      <w:r w:rsidRPr="00C743FB">
        <w:rPr>
          <w:rFonts w:asciiTheme="minorHAnsi" w:hAnsiTheme="minorHAnsi" w:cstheme="minorHAnsi"/>
          <w:b w:val="0"/>
          <w:sz w:val="22"/>
          <w:szCs w:val="22"/>
        </w:rPr>
        <w:t>, art. 3:239 BW, (online, bijgewerkt tot heden).</w:t>
      </w:r>
    </w:p>
    <w:p w:rsidR="0025313E" w:rsidRPr="00C743FB" w:rsidRDefault="0025313E" w:rsidP="0025313E">
      <w:pPr>
        <w:pStyle w:val="Voetnoottekst"/>
        <w:numPr>
          <w:ilvl w:val="0"/>
          <w:numId w:val="20"/>
        </w:numPr>
        <w:jc w:val="left"/>
        <w:rPr>
          <w:rFonts w:asciiTheme="minorHAnsi" w:hAnsiTheme="minorHAnsi" w:cstheme="minorHAnsi"/>
          <w:sz w:val="22"/>
          <w:szCs w:val="22"/>
          <w:lang w:val="en-US"/>
        </w:rPr>
      </w:pPr>
      <w:r w:rsidRPr="00C743FB">
        <w:rPr>
          <w:rFonts w:asciiTheme="minorHAnsi" w:hAnsiTheme="minorHAnsi" w:cstheme="minorHAnsi"/>
          <w:sz w:val="22"/>
          <w:szCs w:val="22"/>
          <w:lang w:val="en-US"/>
        </w:rPr>
        <w:t xml:space="preserve">Rank in: </w:t>
      </w:r>
      <w:r w:rsidRPr="00C743FB">
        <w:rPr>
          <w:rFonts w:asciiTheme="minorHAnsi" w:hAnsiTheme="minorHAnsi" w:cstheme="minorHAnsi"/>
          <w:i/>
          <w:sz w:val="22"/>
          <w:szCs w:val="22"/>
          <w:lang w:val="en-US"/>
        </w:rPr>
        <w:t>T&amp;C art. 6:114 BW</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W.A.K. Rank in: </w:t>
      </w:r>
      <w:r w:rsidRPr="00C743FB">
        <w:rPr>
          <w:rFonts w:asciiTheme="minorHAnsi" w:hAnsiTheme="minorHAnsi" w:cstheme="minorHAnsi"/>
          <w:b w:val="0"/>
          <w:i/>
          <w:sz w:val="22"/>
          <w:szCs w:val="22"/>
        </w:rPr>
        <w:t>Tekst &amp; Commentaar Verbintenissenrecht</w:t>
      </w:r>
      <w:r w:rsidRPr="00C743FB">
        <w:rPr>
          <w:rFonts w:asciiTheme="minorHAnsi" w:hAnsiTheme="minorHAnsi" w:cstheme="minorHAnsi"/>
          <w:b w:val="0"/>
          <w:sz w:val="22"/>
          <w:szCs w:val="22"/>
        </w:rPr>
        <w:t>, art. 6:114 BW, (online, bijgewerkt tot heden).</w:t>
      </w:r>
    </w:p>
    <w:p w:rsidR="0025313E" w:rsidRPr="00C743FB" w:rsidRDefault="0025313E" w:rsidP="0025313E">
      <w:pPr>
        <w:pStyle w:val="Voetnoottekst"/>
        <w:numPr>
          <w:ilvl w:val="0"/>
          <w:numId w:val="20"/>
        </w:numPr>
        <w:jc w:val="left"/>
        <w:rPr>
          <w:rFonts w:asciiTheme="minorHAnsi" w:hAnsiTheme="minorHAnsi" w:cstheme="minorHAnsi"/>
          <w:sz w:val="22"/>
          <w:szCs w:val="22"/>
          <w:lang w:val="en-US"/>
        </w:rPr>
      </w:pPr>
      <w:r w:rsidRPr="00C743FB">
        <w:rPr>
          <w:rFonts w:asciiTheme="minorHAnsi" w:hAnsiTheme="minorHAnsi" w:cstheme="minorHAnsi"/>
          <w:sz w:val="22"/>
          <w:szCs w:val="22"/>
          <w:lang w:val="en-US"/>
        </w:rPr>
        <w:t xml:space="preserve">Rank in: </w:t>
      </w:r>
      <w:r w:rsidRPr="00C743FB">
        <w:rPr>
          <w:rFonts w:asciiTheme="minorHAnsi" w:hAnsiTheme="minorHAnsi" w:cstheme="minorHAnsi"/>
          <w:i/>
          <w:sz w:val="22"/>
          <w:szCs w:val="22"/>
          <w:lang w:val="en-US"/>
        </w:rPr>
        <w:t>T&amp;C art. 6:127 BW</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W.A.K. Rank in: </w:t>
      </w:r>
      <w:r w:rsidRPr="00C743FB">
        <w:rPr>
          <w:rFonts w:asciiTheme="minorHAnsi" w:hAnsiTheme="minorHAnsi" w:cstheme="minorHAnsi"/>
          <w:b w:val="0"/>
          <w:i/>
          <w:sz w:val="22"/>
          <w:szCs w:val="22"/>
        </w:rPr>
        <w:t>Tekst &amp; Commentaar Verbintenissenrecht</w:t>
      </w:r>
      <w:r w:rsidRPr="00C743FB">
        <w:rPr>
          <w:rFonts w:asciiTheme="minorHAnsi" w:hAnsiTheme="minorHAnsi" w:cstheme="minorHAnsi"/>
          <w:b w:val="0"/>
          <w:sz w:val="22"/>
          <w:szCs w:val="22"/>
        </w:rPr>
        <w:t>, art. 6:127 BW, (online, bijgewerkt tot heden).</w:t>
      </w:r>
    </w:p>
    <w:p w:rsidR="0025313E" w:rsidRPr="00C743FB" w:rsidRDefault="0025313E" w:rsidP="0025313E">
      <w:pPr>
        <w:pStyle w:val="Lijstalinea"/>
        <w:numPr>
          <w:ilvl w:val="0"/>
          <w:numId w:val="20"/>
        </w:numPr>
        <w:jc w:val="left"/>
        <w:rPr>
          <w:rFonts w:asciiTheme="minorHAnsi" w:hAnsiTheme="minorHAnsi" w:cstheme="minorHAnsi"/>
          <w:sz w:val="22"/>
          <w:szCs w:val="22"/>
        </w:rPr>
      </w:pPr>
      <w:r w:rsidRPr="00C743FB">
        <w:rPr>
          <w:rFonts w:asciiTheme="minorHAnsi" w:hAnsiTheme="minorHAnsi" w:cstheme="minorHAnsi"/>
          <w:sz w:val="22"/>
          <w:szCs w:val="22"/>
        </w:rPr>
        <w:t>Van Sint Truiden 2016</w:t>
      </w:r>
    </w:p>
    <w:p w:rsidR="0025313E" w:rsidRPr="00C743FB" w:rsidRDefault="0025313E" w:rsidP="0025313E">
      <w:pPr>
        <w:pStyle w:val="Lijstalinea"/>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m. Ph. Van Sint Truiden, in : </w:t>
      </w:r>
      <w:r w:rsidRPr="00C743FB">
        <w:rPr>
          <w:rFonts w:asciiTheme="minorHAnsi" w:hAnsiTheme="minorHAnsi" w:cstheme="minorHAnsi"/>
          <w:b w:val="0"/>
          <w:i/>
          <w:sz w:val="22"/>
          <w:szCs w:val="22"/>
        </w:rPr>
        <w:t>Tekst &amp; Commentaar Insolventierecht</w:t>
      </w:r>
      <w:r w:rsidRPr="00C743FB">
        <w:rPr>
          <w:rFonts w:asciiTheme="minorHAnsi" w:hAnsiTheme="minorHAnsi" w:cstheme="minorHAnsi"/>
          <w:b w:val="0"/>
          <w:sz w:val="22"/>
          <w:szCs w:val="22"/>
        </w:rPr>
        <w:t xml:space="preserve">, art. 63e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(online, laatst bijgewerkt op 1 september 2016).</w:t>
      </w:r>
    </w:p>
    <w:p w:rsidR="0025313E" w:rsidRPr="00C743FB" w:rsidRDefault="0025313E" w:rsidP="0025313E">
      <w:pPr>
        <w:pStyle w:val="Voetnoottekst"/>
        <w:numPr>
          <w:ilvl w:val="0"/>
          <w:numId w:val="20"/>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Verstijlen</w:t>
      </w:r>
      <w:proofErr w:type="spellEnd"/>
      <w:r w:rsidRPr="00C743FB">
        <w:rPr>
          <w:rFonts w:asciiTheme="minorHAnsi" w:hAnsiTheme="minorHAnsi" w:cstheme="minorHAnsi"/>
          <w:sz w:val="22"/>
          <w:szCs w:val="22"/>
        </w:rPr>
        <w:t xml:space="preserve">, in: </w:t>
      </w:r>
      <w:r w:rsidRPr="00C743FB">
        <w:rPr>
          <w:rFonts w:asciiTheme="minorHAnsi" w:hAnsiTheme="minorHAnsi" w:cstheme="minorHAnsi"/>
          <w:i/>
          <w:sz w:val="22"/>
          <w:szCs w:val="22"/>
        </w:rPr>
        <w:t xml:space="preserve">T&amp;C art. 42 </w:t>
      </w:r>
      <w:proofErr w:type="spellStart"/>
      <w:r w:rsidRPr="00C743FB">
        <w:rPr>
          <w:rFonts w:asciiTheme="minorHAnsi" w:hAnsiTheme="minorHAnsi" w:cstheme="minorHAnsi"/>
          <w:i/>
          <w:sz w:val="22"/>
          <w:szCs w:val="22"/>
        </w:rPr>
        <w:t>Fw</w:t>
      </w:r>
      <w:proofErr w:type="spellEnd"/>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F.M.J. </w:t>
      </w:r>
      <w:proofErr w:type="spellStart"/>
      <w:r w:rsidRPr="00C743FB">
        <w:rPr>
          <w:rFonts w:asciiTheme="minorHAnsi" w:hAnsiTheme="minorHAnsi" w:cstheme="minorHAnsi"/>
          <w:b w:val="0"/>
          <w:sz w:val="22"/>
          <w:szCs w:val="22"/>
        </w:rPr>
        <w:t>Verstijlen</w:t>
      </w:r>
      <w:proofErr w:type="spellEnd"/>
      <w:r w:rsidRPr="00C743FB">
        <w:rPr>
          <w:rFonts w:asciiTheme="minorHAnsi" w:hAnsiTheme="minorHAnsi" w:cstheme="minorHAnsi"/>
          <w:b w:val="0"/>
          <w:sz w:val="22"/>
          <w:szCs w:val="22"/>
        </w:rPr>
        <w:t xml:space="preserve">, in: </w:t>
      </w:r>
      <w:r w:rsidRPr="00C743FB">
        <w:rPr>
          <w:rFonts w:asciiTheme="minorHAnsi" w:hAnsiTheme="minorHAnsi" w:cstheme="minorHAnsi"/>
          <w:b w:val="0"/>
          <w:i/>
          <w:sz w:val="22"/>
          <w:szCs w:val="22"/>
        </w:rPr>
        <w:t>Tekst &amp; Commentaar Insolventierecht</w:t>
      </w:r>
      <w:r w:rsidRPr="00C743FB">
        <w:rPr>
          <w:rFonts w:asciiTheme="minorHAnsi" w:hAnsiTheme="minorHAnsi" w:cstheme="minorHAnsi"/>
          <w:b w:val="0"/>
          <w:sz w:val="22"/>
          <w:szCs w:val="22"/>
        </w:rPr>
        <w:t xml:space="preserve">, art. 42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(online, bijgewerkt tot heden).</w:t>
      </w:r>
    </w:p>
    <w:p w:rsidR="0025313E" w:rsidRPr="00C743FB" w:rsidRDefault="0025313E" w:rsidP="0025313E">
      <w:pPr>
        <w:pStyle w:val="Voetnoottekst"/>
        <w:numPr>
          <w:ilvl w:val="0"/>
          <w:numId w:val="20"/>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Verstijlen</w:t>
      </w:r>
      <w:proofErr w:type="spellEnd"/>
      <w:r w:rsidRPr="00C743FB">
        <w:rPr>
          <w:rFonts w:asciiTheme="minorHAnsi" w:hAnsiTheme="minorHAnsi" w:cstheme="minorHAnsi"/>
          <w:sz w:val="22"/>
          <w:szCs w:val="22"/>
        </w:rPr>
        <w:t xml:space="preserve">, in: </w:t>
      </w:r>
      <w:r w:rsidRPr="00C743FB">
        <w:rPr>
          <w:rFonts w:asciiTheme="minorHAnsi" w:hAnsiTheme="minorHAnsi" w:cstheme="minorHAnsi"/>
          <w:i/>
          <w:sz w:val="22"/>
          <w:szCs w:val="22"/>
        </w:rPr>
        <w:t xml:space="preserve">T&amp;C art. 47 </w:t>
      </w:r>
      <w:proofErr w:type="spellStart"/>
      <w:r w:rsidRPr="00C743FB">
        <w:rPr>
          <w:rFonts w:asciiTheme="minorHAnsi" w:hAnsiTheme="minorHAnsi" w:cstheme="minorHAnsi"/>
          <w:i/>
          <w:sz w:val="22"/>
          <w:szCs w:val="22"/>
        </w:rPr>
        <w:t>Fw</w:t>
      </w:r>
      <w:proofErr w:type="spellEnd"/>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F.M.J. </w:t>
      </w:r>
      <w:proofErr w:type="spellStart"/>
      <w:r w:rsidRPr="00C743FB">
        <w:rPr>
          <w:rFonts w:asciiTheme="minorHAnsi" w:hAnsiTheme="minorHAnsi" w:cstheme="minorHAnsi"/>
          <w:b w:val="0"/>
          <w:sz w:val="22"/>
          <w:szCs w:val="22"/>
        </w:rPr>
        <w:t>Verstijlen</w:t>
      </w:r>
      <w:proofErr w:type="spellEnd"/>
      <w:r w:rsidRPr="00C743FB">
        <w:rPr>
          <w:rFonts w:asciiTheme="minorHAnsi" w:hAnsiTheme="minorHAnsi" w:cstheme="minorHAnsi"/>
          <w:b w:val="0"/>
          <w:sz w:val="22"/>
          <w:szCs w:val="22"/>
        </w:rPr>
        <w:t xml:space="preserve">, in: </w:t>
      </w:r>
      <w:r w:rsidRPr="00C743FB">
        <w:rPr>
          <w:rFonts w:asciiTheme="minorHAnsi" w:hAnsiTheme="minorHAnsi" w:cstheme="minorHAnsi"/>
          <w:b w:val="0"/>
          <w:i/>
          <w:sz w:val="22"/>
          <w:szCs w:val="22"/>
        </w:rPr>
        <w:t>Tekst &amp; Commentaar Insolventierecht</w:t>
      </w:r>
      <w:r w:rsidRPr="00C743FB">
        <w:rPr>
          <w:rFonts w:asciiTheme="minorHAnsi" w:hAnsiTheme="minorHAnsi" w:cstheme="minorHAnsi"/>
          <w:b w:val="0"/>
          <w:sz w:val="22"/>
          <w:szCs w:val="22"/>
        </w:rPr>
        <w:t xml:space="preserve">, art. 47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(online, bijgewerkt tot heden).</w:t>
      </w:r>
    </w:p>
    <w:p w:rsidR="0025313E" w:rsidRPr="00C743FB" w:rsidRDefault="0025313E" w:rsidP="005C7654">
      <w:pPr>
        <w:pStyle w:val="Voetnoottekst"/>
        <w:numPr>
          <w:ilvl w:val="0"/>
          <w:numId w:val="20"/>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Verstijlen</w:t>
      </w:r>
      <w:proofErr w:type="spellEnd"/>
      <w:r w:rsidRPr="00C743FB">
        <w:rPr>
          <w:rFonts w:asciiTheme="minorHAnsi" w:hAnsiTheme="minorHAnsi" w:cstheme="minorHAnsi"/>
          <w:sz w:val="22"/>
          <w:szCs w:val="22"/>
        </w:rPr>
        <w:t xml:space="preserve">, in: </w:t>
      </w:r>
      <w:r w:rsidRPr="00C743FB">
        <w:rPr>
          <w:rFonts w:asciiTheme="minorHAnsi" w:hAnsiTheme="minorHAnsi" w:cstheme="minorHAnsi"/>
          <w:i/>
          <w:sz w:val="22"/>
          <w:szCs w:val="22"/>
        </w:rPr>
        <w:t xml:space="preserve">T&amp;C art. 53 </w:t>
      </w:r>
      <w:proofErr w:type="spellStart"/>
      <w:r w:rsidRPr="00C743FB">
        <w:rPr>
          <w:rFonts w:asciiTheme="minorHAnsi" w:hAnsiTheme="minorHAnsi" w:cstheme="minorHAnsi"/>
          <w:i/>
          <w:sz w:val="22"/>
          <w:szCs w:val="22"/>
        </w:rPr>
        <w:t>Fw</w:t>
      </w:r>
      <w:proofErr w:type="spellEnd"/>
    </w:p>
    <w:p w:rsidR="0025313E" w:rsidRPr="00C743FB" w:rsidRDefault="0025313E" w:rsidP="005C7654">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F.M.J. </w:t>
      </w:r>
      <w:proofErr w:type="spellStart"/>
      <w:r w:rsidRPr="00C743FB">
        <w:rPr>
          <w:rFonts w:asciiTheme="minorHAnsi" w:hAnsiTheme="minorHAnsi" w:cstheme="minorHAnsi"/>
          <w:b w:val="0"/>
          <w:sz w:val="22"/>
          <w:szCs w:val="22"/>
        </w:rPr>
        <w:t>Verstijlen</w:t>
      </w:r>
      <w:proofErr w:type="spellEnd"/>
      <w:r w:rsidRPr="00C743FB">
        <w:rPr>
          <w:rFonts w:asciiTheme="minorHAnsi" w:hAnsiTheme="minorHAnsi" w:cstheme="minorHAnsi"/>
          <w:b w:val="0"/>
          <w:sz w:val="22"/>
          <w:szCs w:val="22"/>
        </w:rPr>
        <w:t xml:space="preserve">, in: </w:t>
      </w:r>
      <w:r w:rsidRPr="00C743FB">
        <w:rPr>
          <w:rFonts w:asciiTheme="minorHAnsi" w:hAnsiTheme="minorHAnsi" w:cstheme="minorHAnsi"/>
          <w:b w:val="0"/>
          <w:i/>
          <w:sz w:val="22"/>
          <w:szCs w:val="22"/>
        </w:rPr>
        <w:t>Tekst &amp; Commentaar Insolventierecht</w:t>
      </w:r>
      <w:r w:rsidRPr="00C743FB">
        <w:rPr>
          <w:rFonts w:asciiTheme="minorHAnsi" w:hAnsiTheme="minorHAnsi" w:cstheme="minorHAnsi"/>
          <w:b w:val="0"/>
          <w:sz w:val="22"/>
          <w:szCs w:val="22"/>
        </w:rPr>
        <w:t xml:space="preserve">, art. 53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(online, bijgewerkt tot heden).</w:t>
      </w:r>
    </w:p>
    <w:p w:rsidR="0025313E" w:rsidRPr="00C743FB" w:rsidRDefault="0025313E" w:rsidP="005C7654">
      <w:pPr>
        <w:jc w:val="left"/>
        <w:rPr>
          <w:rFonts w:asciiTheme="minorHAnsi" w:hAnsiTheme="minorHAnsi" w:cstheme="minorHAnsi"/>
          <w:b w:val="0"/>
          <w:sz w:val="22"/>
          <w:szCs w:val="22"/>
        </w:rPr>
      </w:pPr>
    </w:p>
    <w:p w:rsidR="0025313E" w:rsidRPr="00C743FB" w:rsidRDefault="0025313E" w:rsidP="005C7654">
      <w:pPr>
        <w:jc w:val="left"/>
        <w:rPr>
          <w:rFonts w:asciiTheme="minorHAnsi" w:hAnsiTheme="minorHAnsi" w:cstheme="minorHAnsi"/>
          <w:b w:val="0"/>
          <w:sz w:val="22"/>
          <w:szCs w:val="22"/>
          <w:u w:val="single"/>
        </w:rPr>
      </w:pPr>
      <w:r w:rsidRPr="00C743FB">
        <w:rPr>
          <w:rFonts w:asciiTheme="minorHAnsi" w:hAnsiTheme="minorHAnsi" w:cstheme="minorHAnsi"/>
          <w:b w:val="0"/>
          <w:sz w:val="22"/>
          <w:szCs w:val="22"/>
          <w:u w:val="single"/>
        </w:rPr>
        <w:t>Boeken</w:t>
      </w:r>
    </w:p>
    <w:p w:rsidR="00D23D2E" w:rsidRPr="00C743FB" w:rsidRDefault="00D23D2E" w:rsidP="005C7654">
      <w:pPr>
        <w:pStyle w:val="m7263927220724922756default"/>
        <w:numPr>
          <w:ilvl w:val="0"/>
          <w:numId w:val="19"/>
        </w:numPr>
        <w:shd w:val="clear" w:color="auto" w:fill="FFFFFF"/>
        <w:spacing w:before="0" w:beforeAutospacing="0" w:after="0" w:afterAutospacing="0"/>
        <w:rPr>
          <w:rFonts w:asciiTheme="minorHAnsi" w:hAnsiTheme="minorHAnsi" w:cstheme="minorHAnsi"/>
          <w:color w:val="000000"/>
          <w:sz w:val="22"/>
          <w:szCs w:val="22"/>
        </w:rPr>
      </w:pPr>
      <w:r w:rsidRPr="00C743FB">
        <w:rPr>
          <w:rFonts w:asciiTheme="minorHAnsi" w:hAnsiTheme="minorHAnsi" w:cstheme="minorHAnsi"/>
          <w:b/>
          <w:bCs/>
          <w:color w:val="000000"/>
          <w:sz w:val="22"/>
          <w:szCs w:val="22"/>
        </w:rPr>
        <w:t>Bastiaans e.a. 2016</w:t>
      </w:r>
    </w:p>
    <w:p w:rsidR="00D23D2E" w:rsidRPr="00C743FB" w:rsidRDefault="00D23D2E" w:rsidP="005C7654">
      <w:pPr>
        <w:pStyle w:val="m7263927220724922756msolistparagraph"/>
        <w:shd w:val="clear" w:color="auto" w:fill="FFFFFF"/>
        <w:spacing w:before="0" w:beforeAutospacing="0" w:after="0" w:afterAutospacing="0"/>
        <w:ind w:left="720"/>
        <w:rPr>
          <w:rFonts w:asciiTheme="minorHAnsi" w:hAnsiTheme="minorHAnsi" w:cstheme="minorHAnsi"/>
          <w:color w:val="222222"/>
          <w:sz w:val="22"/>
          <w:szCs w:val="22"/>
        </w:rPr>
      </w:pPr>
      <w:r w:rsidRPr="00C743FB">
        <w:rPr>
          <w:rFonts w:asciiTheme="minorHAnsi" w:hAnsiTheme="minorHAnsi" w:cstheme="minorHAnsi"/>
          <w:color w:val="222222"/>
          <w:sz w:val="22"/>
          <w:szCs w:val="22"/>
        </w:rPr>
        <w:t>M.H. Bastiaans e.a.,</w:t>
      </w:r>
      <w:r w:rsidRPr="00C743FB">
        <w:rPr>
          <w:rStyle w:val="apple-converted-space"/>
          <w:rFonts w:asciiTheme="minorHAnsi" w:hAnsiTheme="minorHAnsi" w:cstheme="minorHAnsi"/>
          <w:color w:val="222222"/>
          <w:sz w:val="22"/>
          <w:szCs w:val="22"/>
        </w:rPr>
        <w:t> </w:t>
      </w:r>
      <w:r w:rsidRPr="00C743FB">
        <w:rPr>
          <w:rFonts w:asciiTheme="minorHAnsi" w:hAnsiTheme="minorHAnsi" w:cstheme="minorHAnsi"/>
          <w:i/>
          <w:iCs/>
          <w:color w:val="222222"/>
          <w:sz w:val="22"/>
          <w:szCs w:val="22"/>
        </w:rPr>
        <w:t>Leidraad voor juridische auteurs 2016.</w:t>
      </w:r>
      <w:r w:rsidRPr="00C743FB">
        <w:rPr>
          <w:rStyle w:val="apple-converted-space"/>
          <w:rFonts w:asciiTheme="minorHAnsi" w:hAnsiTheme="minorHAnsi" w:cstheme="minorHAnsi"/>
          <w:i/>
          <w:iCs/>
          <w:color w:val="222222"/>
          <w:sz w:val="22"/>
          <w:szCs w:val="22"/>
        </w:rPr>
        <w:t> </w:t>
      </w:r>
      <w:r w:rsidRPr="00C743FB">
        <w:rPr>
          <w:rFonts w:asciiTheme="minorHAnsi" w:hAnsiTheme="minorHAnsi" w:cstheme="minorHAnsi"/>
          <w:color w:val="222222"/>
          <w:sz w:val="22"/>
          <w:szCs w:val="22"/>
        </w:rPr>
        <w:t>Deventer: Kluwer 2016.</w:t>
      </w:r>
    </w:p>
    <w:p w:rsidR="0025313E" w:rsidRPr="00C743FB" w:rsidRDefault="0025313E" w:rsidP="005C7654">
      <w:pPr>
        <w:pStyle w:val="Voetnoottekst"/>
        <w:numPr>
          <w:ilvl w:val="0"/>
          <w:numId w:val="19"/>
        </w:numPr>
        <w:jc w:val="left"/>
        <w:rPr>
          <w:rFonts w:asciiTheme="minorHAnsi" w:hAnsiTheme="minorHAnsi" w:cstheme="minorHAnsi"/>
          <w:sz w:val="22"/>
          <w:szCs w:val="22"/>
        </w:rPr>
      </w:pPr>
      <w:r w:rsidRPr="00C743FB">
        <w:rPr>
          <w:rFonts w:asciiTheme="minorHAnsi" w:hAnsiTheme="minorHAnsi" w:cstheme="minorHAnsi"/>
          <w:sz w:val="22"/>
          <w:szCs w:val="22"/>
        </w:rPr>
        <w:t>Faber 2005</w:t>
      </w:r>
    </w:p>
    <w:p w:rsidR="0025313E" w:rsidRPr="00C743FB" w:rsidRDefault="0025313E" w:rsidP="005C7654">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N.E.D. Faber, </w:t>
      </w:r>
      <w:r w:rsidRPr="00C743FB">
        <w:rPr>
          <w:rFonts w:asciiTheme="minorHAnsi" w:hAnsiTheme="minorHAnsi" w:cstheme="minorHAnsi"/>
          <w:b w:val="0"/>
          <w:i/>
          <w:sz w:val="22"/>
          <w:szCs w:val="22"/>
        </w:rPr>
        <w:t>Verrekening</w:t>
      </w:r>
      <w:r w:rsidRPr="00C743FB">
        <w:rPr>
          <w:rFonts w:asciiTheme="minorHAnsi" w:hAnsiTheme="minorHAnsi" w:cstheme="minorHAnsi"/>
          <w:b w:val="0"/>
          <w:sz w:val="22"/>
          <w:szCs w:val="22"/>
        </w:rPr>
        <w:t>,</w:t>
      </w:r>
      <w:r w:rsidRPr="00C743FB">
        <w:rPr>
          <w:rFonts w:asciiTheme="minorHAnsi" w:hAnsiTheme="minorHAnsi" w:cstheme="minorHAnsi"/>
          <w:b w:val="0"/>
          <w:i/>
          <w:sz w:val="22"/>
          <w:szCs w:val="22"/>
        </w:rPr>
        <w:t xml:space="preserve"> eerste druk,</w:t>
      </w:r>
      <w:r w:rsidRPr="00C743FB">
        <w:rPr>
          <w:rFonts w:asciiTheme="minorHAnsi" w:hAnsiTheme="minorHAnsi" w:cstheme="minorHAnsi"/>
          <w:b w:val="0"/>
          <w:sz w:val="22"/>
          <w:szCs w:val="22"/>
        </w:rPr>
        <w:t xml:space="preserve"> Wolters Kluwer: 2005</w:t>
      </w:r>
      <w:r w:rsidRPr="00C743FB">
        <w:rPr>
          <w:rFonts w:asciiTheme="minorHAnsi" w:hAnsiTheme="minorHAnsi" w:cstheme="minorHAnsi"/>
          <w:b w:val="0"/>
          <w:bCs w:val="0"/>
          <w:sz w:val="22"/>
          <w:szCs w:val="22"/>
        </w:rPr>
        <w:t>, p. 307.</w:t>
      </w:r>
    </w:p>
    <w:p w:rsidR="0025313E" w:rsidRPr="00C743FB" w:rsidRDefault="0025313E" w:rsidP="005C7654">
      <w:pPr>
        <w:pStyle w:val="Voetnoottekst"/>
        <w:numPr>
          <w:ilvl w:val="0"/>
          <w:numId w:val="19"/>
        </w:numPr>
        <w:jc w:val="left"/>
        <w:rPr>
          <w:rFonts w:asciiTheme="minorHAnsi" w:hAnsiTheme="minorHAnsi" w:cstheme="minorHAnsi"/>
          <w:sz w:val="22"/>
          <w:szCs w:val="22"/>
        </w:rPr>
      </w:pPr>
      <w:proofErr w:type="spellStart"/>
      <w:r w:rsidRPr="00C743FB">
        <w:rPr>
          <w:rFonts w:asciiTheme="minorHAnsi" w:hAnsiTheme="minorHAnsi" w:cstheme="minorHAnsi"/>
          <w:sz w:val="22"/>
          <w:szCs w:val="22"/>
        </w:rPr>
        <w:t>Hijma</w:t>
      </w:r>
      <w:proofErr w:type="spellEnd"/>
      <w:r w:rsidRPr="00C743FB">
        <w:rPr>
          <w:rFonts w:asciiTheme="minorHAnsi" w:hAnsiTheme="minorHAnsi" w:cstheme="minorHAnsi"/>
          <w:sz w:val="22"/>
          <w:szCs w:val="22"/>
        </w:rPr>
        <w:t xml:space="preserve"> en </w:t>
      </w:r>
      <w:proofErr w:type="spellStart"/>
      <w:r w:rsidRPr="00C743FB">
        <w:rPr>
          <w:rFonts w:asciiTheme="minorHAnsi" w:hAnsiTheme="minorHAnsi" w:cstheme="minorHAnsi"/>
          <w:sz w:val="22"/>
          <w:szCs w:val="22"/>
        </w:rPr>
        <w:t>Olthof</w:t>
      </w:r>
      <w:proofErr w:type="spellEnd"/>
      <w:r w:rsidRPr="00C743FB">
        <w:rPr>
          <w:rFonts w:asciiTheme="minorHAnsi" w:hAnsiTheme="minorHAnsi" w:cstheme="minorHAnsi"/>
          <w:sz w:val="22"/>
          <w:szCs w:val="22"/>
        </w:rPr>
        <w:t xml:space="preserve"> 2014</w:t>
      </w:r>
    </w:p>
    <w:p w:rsidR="0025313E" w:rsidRPr="00C743FB" w:rsidRDefault="0025313E" w:rsidP="005C7654">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J. </w:t>
      </w:r>
      <w:proofErr w:type="spellStart"/>
      <w:r w:rsidRPr="00C743FB">
        <w:rPr>
          <w:rFonts w:asciiTheme="minorHAnsi" w:hAnsiTheme="minorHAnsi" w:cstheme="minorHAnsi"/>
          <w:b w:val="0"/>
          <w:sz w:val="22"/>
          <w:szCs w:val="22"/>
        </w:rPr>
        <w:t>Hijma</w:t>
      </w:r>
      <w:proofErr w:type="spellEnd"/>
      <w:r w:rsidRPr="00C743FB">
        <w:rPr>
          <w:rFonts w:asciiTheme="minorHAnsi" w:hAnsiTheme="minorHAnsi" w:cstheme="minorHAnsi"/>
          <w:b w:val="0"/>
          <w:sz w:val="22"/>
          <w:szCs w:val="22"/>
        </w:rPr>
        <w:t xml:space="preserve"> en M.M. </w:t>
      </w:r>
      <w:proofErr w:type="spellStart"/>
      <w:r w:rsidRPr="00C743FB">
        <w:rPr>
          <w:rFonts w:asciiTheme="minorHAnsi" w:hAnsiTheme="minorHAnsi" w:cstheme="minorHAnsi"/>
          <w:b w:val="0"/>
          <w:sz w:val="22"/>
          <w:szCs w:val="22"/>
        </w:rPr>
        <w:t>Olthof</w:t>
      </w:r>
      <w:proofErr w:type="spellEnd"/>
      <w:r w:rsidRPr="00C743FB">
        <w:rPr>
          <w:rFonts w:asciiTheme="minorHAnsi" w:hAnsiTheme="minorHAnsi" w:cstheme="minorHAnsi"/>
          <w:b w:val="0"/>
          <w:sz w:val="22"/>
          <w:szCs w:val="22"/>
        </w:rPr>
        <w:t xml:space="preserve">, </w:t>
      </w:r>
      <w:r w:rsidRPr="00C743FB">
        <w:rPr>
          <w:rFonts w:asciiTheme="minorHAnsi" w:hAnsiTheme="minorHAnsi" w:cstheme="minorHAnsi"/>
          <w:b w:val="0"/>
          <w:i/>
          <w:sz w:val="22"/>
          <w:szCs w:val="22"/>
        </w:rPr>
        <w:t>Compendium van het Nederlands vermogensrecht</w:t>
      </w:r>
      <w:r w:rsidRPr="00C743FB">
        <w:rPr>
          <w:rFonts w:asciiTheme="minorHAnsi" w:hAnsiTheme="minorHAnsi" w:cstheme="minorHAnsi"/>
          <w:b w:val="0"/>
          <w:sz w:val="22"/>
          <w:szCs w:val="22"/>
        </w:rPr>
        <w:t>,</w:t>
      </w:r>
      <w:r w:rsidRPr="00C743FB">
        <w:rPr>
          <w:rFonts w:asciiTheme="minorHAnsi" w:hAnsiTheme="minorHAnsi" w:cstheme="minorHAnsi"/>
          <w:b w:val="0"/>
          <w:i/>
          <w:sz w:val="22"/>
          <w:szCs w:val="22"/>
        </w:rPr>
        <w:t xml:space="preserve"> twaalfde druk,</w:t>
      </w:r>
      <w:r w:rsidRPr="00C743FB">
        <w:rPr>
          <w:rFonts w:asciiTheme="minorHAnsi" w:hAnsiTheme="minorHAnsi" w:cstheme="minorHAnsi"/>
          <w:b w:val="0"/>
          <w:sz w:val="22"/>
          <w:szCs w:val="22"/>
        </w:rPr>
        <w:t xml:space="preserve"> Wolters Kluwer: 2014, p. 231 en 337.</w:t>
      </w:r>
    </w:p>
    <w:p w:rsidR="0025313E" w:rsidRPr="00C743FB" w:rsidRDefault="0025313E" w:rsidP="005C7654">
      <w:pPr>
        <w:pStyle w:val="Voetnoottekst"/>
        <w:numPr>
          <w:ilvl w:val="0"/>
          <w:numId w:val="19"/>
        </w:numPr>
        <w:jc w:val="left"/>
        <w:rPr>
          <w:rFonts w:asciiTheme="minorHAnsi" w:hAnsiTheme="minorHAnsi" w:cstheme="minorHAnsi"/>
          <w:sz w:val="22"/>
          <w:szCs w:val="22"/>
        </w:rPr>
      </w:pPr>
      <w:proofErr w:type="spellStart"/>
      <w:r w:rsidRPr="00C743FB">
        <w:rPr>
          <w:rFonts w:asciiTheme="minorHAnsi" w:hAnsiTheme="minorHAnsi" w:cstheme="minorHAnsi"/>
          <w:sz w:val="22"/>
          <w:szCs w:val="22"/>
        </w:rPr>
        <w:t>Reehuis</w:t>
      </w:r>
      <w:proofErr w:type="spellEnd"/>
      <w:r w:rsidRPr="00C743FB">
        <w:rPr>
          <w:rFonts w:asciiTheme="minorHAnsi" w:hAnsiTheme="minorHAnsi" w:cstheme="minorHAnsi"/>
          <w:sz w:val="22"/>
          <w:szCs w:val="22"/>
        </w:rPr>
        <w:t xml:space="preserve"> en Slob 1991</w:t>
      </w:r>
    </w:p>
    <w:p w:rsidR="0025313E" w:rsidRPr="00C743FB" w:rsidRDefault="0025313E" w:rsidP="005C7654">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W.H.M.</w:t>
      </w:r>
      <w:r w:rsidRPr="00C743FB">
        <w:rPr>
          <w:rFonts w:asciiTheme="minorHAnsi" w:hAnsiTheme="minorHAnsi" w:cstheme="minorHAnsi"/>
          <w:b w:val="0"/>
          <w:sz w:val="22"/>
          <w:szCs w:val="22"/>
        </w:rPr>
        <w:tab/>
      </w:r>
      <w:proofErr w:type="spellStart"/>
      <w:r w:rsidRPr="00C743FB">
        <w:rPr>
          <w:rFonts w:asciiTheme="minorHAnsi" w:hAnsiTheme="minorHAnsi" w:cstheme="minorHAnsi"/>
          <w:b w:val="0"/>
          <w:sz w:val="22"/>
          <w:szCs w:val="22"/>
        </w:rPr>
        <w:t>Reehuis</w:t>
      </w:r>
      <w:proofErr w:type="spellEnd"/>
      <w:r w:rsidRPr="00C743FB">
        <w:rPr>
          <w:rFonts w:asciiTheme="minorHAnsi" w:hAnsiTheme="minorHAnsi" w:cstheme="minorHAnsi"/>
          <w:b w:val="0"/>
          <w:sz w:val="22"/>
          <w:szCs w:val="22"/>
        </w:rPr>
        <w:t xml:space="preserve"> en E.E. Slob e.a., </w:t>
      </w:r>
      <w:r w:rsidRPr="00C743FB">
        <w:rPr>
          <w:rFonts w:asciiTheme="minorHAnsi" w:hAnsiTheme="minorHAnsi" w:cstheme="minorHAnsi"/>
          <w:b w:val="0"/>
          <w:i/>
          <w:sz w:val="22"/>
          <w:szCs w:val="22"/>
        </w:rPr>
        <w:t xml:space="preserve">Parlementaire geschiedenis van het Nieuwe Burgerlijk Wetboek, eerste druk, </w:t>
      </w:r>
      <w:r w:rsidRPr="00C743FB">
        <w:rPr>
          <w:rFonts w:asciiTheme="minorHAnsi" w:hAnsiTheme="minorHAnsi" w:cstheme="minorHAnsi"/>
          <w:b w:val="0"/>
          <w:sz w:val="22"/>
          <w:szCs w:val="22"/>
        </w:rPr>
        <w:t>Wolters Kluwer: 1991, p. 1197.</w:t>
      </w:r>
    </w:p>
    <w:p w:rsidR="0025313E" w:rsidRPr="00C743FB" w:rsidRDefault="0025313E" w:rsidP="005C7654">
      <w:pPr>
        <w:pStyle w:val="Lijstalinea"/>
        <w:numPr>
          <w:ilvl w:val="0"/>
          <w:numId w:val="19"/>
        </w:numPr>
        <w:jc w:val="left"/>
        <w:rPr>
          <w:rFonts w:asciiTheme="minorHAnsi" w:hAnsiTheme="minorHAnsi" w:cstheme="minorHAnsi"/>
          <w:sz w:val="22"/>
          <w:szCs w:val="22"/>
        </w:rPr>
      </w:pPr>
      <w:r w:rsidRPr="00C743FB">
        <w:rPr>
          <w:rFonts w:asciiTheme="minorHAnsi" w:hAnsiTheme="minorHAnsi" w:cstheme="minorHAnsi"/>
          <w:sz w:val="22"/>
          <w:szCs w:val="22"/>
        </w:rPr>
        <w:t>Snijders en Rank-Berenschot 2011</w:t>
      </w:r>
    </w:p>
    <w:p w:rsidR="0025313E" w:rsidRPr="00C743FB" w:rsidRDefault="0025313E" w:rsidP="005C7654">
      <w:pPr>
        <w:pStyle w:val="Lijstalinea"/>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H. Snijders en E.B. Rank-Berenschot, </w:t>
      </w:r>
      <w:r w:rsidRPr="00C743FB">
        <w:rPr>
          <w:rFonts w:asciiTheme="minorHAnsi" w:hAnsiTheme="minorHAnsi" w:cstheme="minorHAnsi"/>
          <w:b w:val="0"/>
          <w:i/>
          <w:sz w:val="22"/>
          <w:szCs w:val="22"/>
        </w:rPr>
        <w:t>Goederenrecht, vijfde druk,</w:t>
      </w:r>
      <w:r w:rsidRPr="00C743FB">
        <w:rPr>
          <w:rFonts w:asciiTheme="minorHAnsi" w:hAnsiTheme="minorHAnsi" w:cstheme="minorHAnsi"/>
          <w:b w:val="0"/>
          <w:sz w:val="22"/>
          <w:szCs w:val="22"/>
        </w:rPr>
        <w:t xml:space="preserve">  Wolters Kluwer: 2011, p. 448 – 474.</w:t>
      </w:r>
    </w:p>
    <w:p w:rsidR="005C7654" w:rsidRPr="00C743FB" w:rsidRDefault="005C7654" w:rsidP="007D6EB1">
      <w:pPr>
        <w:pStyle w:val="m7263927220724922756default"/>
        <w:numPr>
          <w:ilvl w:val="0"/>
          <w:numId w:val="19"/>
        </w:numPr>
        <w:shd w:val="clear" w:color="auto" w:fill="FFFFFF"/>
        <w:spacing w:before="0" w:beforeAutospacing="0" w:after="0" w:afterAutospacing="0"/>
        <w:rPr>
          <w:rFonts w:asciiTheme="minorHAnsi" w:hAnsiTheme="minorHAnsi" w:cstheme="minorHAnsi"/>
          <w:color w:val="000000"/>
          <w:sz w:val="22"/>
          <w:szCs w:val="22"/>
        </w:rPr>
      </w:pPr>
      <w:r w:rsidRPr="00C743FB">
        <w:rPr>
          <w:rFonts w:asciiTheme="minorHAnsi" w:hAnsiTheme="minorHAnsi" w:cstheme="minorHAnsi"/>
          <w:b/>
          <w:bCs/>
          <w:color w:val="000000"/>
          <w:sz w:val="22"/>
          <w:szCs w:val="22"/>
        </w:rPr>
        <w:t xml:space="preserve">Van </w:t>
      </w:r>
      <w:proofErr w:type="spellStart"/>
      <w:r w:rsidRPr="00C743FB">
        <w:rPr>
          <w:rFonts w:asciiTheme="minorHAnsi" w:hAnsiTheme="minorHAnsi" w:cstheme="minorHAnsi"/>
          <w:b/>
          <w:bCs/>
          <w:color w:val="000000"/>
          <w:sz w:val="22"/>
          <w:szCs w:val="22"/>
        </w:rPr>
        <w:t>Schaaijk</w:t>
      </w:r>
      <w:proofErr w:type="spellEnd"/>
      <w:r w:rsidRPr="00C743FB">
        <w:rPr>
          <w:rFonts w:asciiTheme="minorHAnsi" w:hAnsiTheme="minorHAnsi" w:cstheme="minorHAnsi"/>
          <w:b/>
          <w:bCs/>
          <w:color w:val="000000"/>
          <w:sz w:val="22"/>
          <w:szCs w:val="22"/>
        </w:rPr>
        <w:t xml:space="preserve"> 2015</w:t>
      </w:r>
    </w:p>
    <w:p w:rsidR="005C7654" w:rsidRPr="00C743FB" w:rsidRDefault="005C7654" w:rsidP="005C7654">
      <w:pPr>
        <w:pStyle w:val="m7263927220724922756msolistparagraph"/>
        <w:shd w:val="clear" w:color="auto" w:fill="FFFFFF"/>
        <w:spacing w:before="0" w:beforeAutospacing="0" w:after="0" w:afterAutospacing="0"/>
        <w:ind w:left="720"/>
        <w:rPr>
          <w:rFonts w:asciiTheme="minorHAnsi" w:hAnsiTheme="minorHAnsi" w:cstheme="minorHAnsi"/>
          <w:color w:val="222222"/>
          <w:sz w:val="22"/>
          <w:szCs w:val="22"/>
        </w:rPr>
      </w:pPr>
      <w:r w:rsidRPr="00C743FB">
        <w:rPr>
          <w:rFonts w:asciiTheme="minorHAnsi" w:hAnsiTheme="minorHAnsi" w:cstheme="minorHAnsi"/>
          <w:color w:val="222222"/>
          <w:sz w:val="22"/>
          <w:szCs w:val="22"/>
        </w:rPr>
        <w:t xml:space="preserve">G. van </w:t>
      </w:r>
      <w:proofErr w:type="spellStart"/>
      <w:r w:rsidRPr="00C743FB">
        <w:rPr>
          <w:rFonts w:asciiTheme="minorHAnsi" w:hAnsiTheme="minorHAnsi" w:cstheme="minorHAnsi"/>
          <w:color w:val="222222"/>
          <w:sz w:val="22"/>
          <w:szCs w:val="22"/>
        </w:rPr>
        <w:t>Schaaijk</w:t>
      </w:r>
      <w:proofErr w:type="spellEnd"/>
      <w:r w:rsidRPr="00C743FB">
        <w:rPr>
          <w:rFonts w:asciiTheme="minorHAnsi" w:hAnsiTheme="minorHAnsi" w:cstheme="minorHAnsi"/>
          <w:color w:val="222222"/>
          <w:sz w:val="22"/>
          <w:szCs w:val="22"/>
        </w:rPr>
        <w:t>,</w:t>
      </w:r>
      <w:r w:rsidRPr="00C743FB">
        <w:rPr>
          <w:rStyle w:val="apple-converted-space"/>
          <w:rFonts w:asciiTheme="minorHAnsi" w:hAnsiTheme="minorHAnsi" w:cstheme="minorHAnsi"/>
          <w:color w:val="222222"/>
          <w:sz w:val="22"/>
          <w:szCs w:val="22"/>
        </w:rPr>
        <w:t> </w:t>
      </w:r>
      <w:r w:rsidRPr="00C743FB">
        <w:rPr>
          <w:rFonts w:asciiTheme="minorHAnsi" w:hAnsiTheme="minorHAnsi" w:cstheme="minorHAnsi"/>
          <w:i/>
          <w:iCs/>
          <w:color w:val="222222"/>
          <w:sz w:val="22"/>
          <w:szCs w:val="22"/>
        </w:rPr>
        <w:t>Praktijkgericht juridisch onderzoek</w:t>
      </w:r>
      <w:r w:rsidRPr="00C743FB">
        <w:rPr>
          <w:rFonts w:asciiTheme="minorHAnsi" w:hAnsiTheme="minorHAnsi" w:cstheme="minorHAnsi"/>
          <w:color w:val="222222"/>
          <w:sz w:val="22"/>
          <w:szCs w:val="22"/>
        </w:rPr>
        <w:t>. Den Haag: Boom juridische uitgevers 2015.</w:t>
      </w:r>
    </w:p>
    <w:p w:rsidR="0025313E" w:rsidRPr="00C743FB" w:rsidRDefault="0025313E" w:rsidP="005C7654">
      <w:pPr>
        <w:jc w:val="left"/>
        <w:rPr>
          <w:rFonts w:asciiTheme="minorHAnsi" w:hAnsiTheme="minorHAnsi" w:cstheme="minorHAnsi"/>
          <w:b w:val="0"/>
          <w:sz w:val="22"/>
          <w:szCs w:val="22"/>
        </w:rPr>
      </w:pPr>
    </w:p>
    <w:p w:rsidR="0025313E" w:rsidRPr="00C743FB" w:rsidRDefault="0025313E" w:rsidP="0025313E">
      <w:pPr>
        <w:jc w:val="left"/>
        <w:rPr>
          <w:rFonts w:asciiTheme="minorHAnsi" w:hAnsiTheme="minorHAnsi" w:cstheme="minorHAnsi"/>
          <w:b w:val="0"/>
          <w:sz w:val="22"/>
          <w:szCs w:val="22"/>
          <w:u w:val="single"/>
        </w:rPr>
      </w:pPr>
      <w:r w:rsidRPr="00C743FB">
        <w:rPr>
          <w:rFonts w:asciiTheme="minorHAnsi" w:hAnsiTheme="minorHAnsi" w:cstheme="minorHAnsi"/>
          <w:b w:val="0"/>
          <w:sz w:val="22"/>
          <w:szCs w:val="22"/>
          <w:u w:val="single"/>
        </w:rPr>
        <w:t>Internetbronnen</w:t>
      </w:r>
    </w:p>
    <w:p w:rsidR="0025313E" w:rsidRPr="00C743FB" w:rsidRDefault="0025313E" w:rsidP="0025313E">
      <w:pPr>
        <w:pStyle w:val="Voetnoottekst"/>
        <w:numPr>
          <w:ilvl w:val="0"/>
          <w:numId w:val="17"/>
        </w:numPr>
        <w:jc w:val="left"/>
        <w:rPr>
          <w:rFonts w:asciiTheme="minorHAnsi" w:hAnsiTheme="minorHAnsi" w:cstheme="minorHAnsi"/>
          <w:b w:val="0"/>
          <w:sz w:val="22"/>
          <w:szCs w:val="22"/>
        </w:rPr>
      </w:pPr>
      <w:r w:rsidRPr="00C743FB">
        <w:rPr>
          <w:rFonts w:asciiTheme="minorHAnsi" w:hAnsiTheme="minorHAnsi" w:cstheme="minorHAnsi"/>
          <w:sz w:val="22"/>
          <w:szCs w:val="22"/>
        </w:rPr>
        <w:t>ABN AMRO 2017</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ABN AMRO, </w:t>
      </w:r>
      <w:r w:rsidRPr="00C743FB">
        <w:rPr>
          <w:rFonts w:asciiTheme="minorHAnsi" w:hAnsiTheme="minorHAnsi" w:cstheme="minorHAnsi"/>
          <w:b w:val="0"/>
          <w:i/>
          <w:sz w:val="22"/>
          <w:szCs w:val="22"/>
        </w:rPr>
        <w:t>Doorlooptijden van betalingen</w:t>
      </w:r>
      <w:r w:rsidRPr="00C743FB">
        <w:rPr>
          <w:rFonts w:asciiTheme="minorHAnsi" w:hAnsiTheme="minorHAnsi" w:cstheme="minorHAnsi"/>
          <w:b w:val="0"/>
          <w:sz w:val="22"/>
          <w:szCs w:val="22"/>
        </w:rPr>
        <w:t>, geraadpleegd op 20 maart 2017,  https://www.abnamro.nl/nl/prive/betalen/geld-overmaken/verwerkingstijden.html</w:t>
      </w:r>
      <w:r w:rsidRPr="00C743FB">
        <w:rPr>
          <w:rStyle w:val="Hyperlink"/>
          <w:rFonts w:asciiTheme="minorHAnsi" w:hAnsiTheme="minorHAnsi" w:cstheme="minorHAnsi"/>
          <w:b w:val="0"/>
          <w:sz w:val="22"/>
          <w:szCs w:val="22"/>
          <w:u w:val="none"/>
        </w:rPr>
        <w:t>.</w:t>
      </w:r>
      <w:r w:rsidRPr="00C743FB">
        <w:rPr>
          <w:rFonts w:asciiTheme="minorHAnsi" w:hAnsiTheme="minorHAnsi" w:cstheme="minorHAnsi"/>
          <w:b w:val="0"/>
          <w:sz w:val="22"/>
          <w:szCs w:val="22"/>
        </w:rPr>
        <w:t xml:space="preserve"> </w:t>
      </w:r>
    </w:p>
    <w:p w:rsidR="009310C9" w:rsidRPr="00C743FB" w:rsidRDefault="009310C9" w:rsidP="0025313E">
      <w:pPr>
        <w:pStyle w:val="Voetnoottekst"/>
        <w:ind w:left="720"/>
        <w:jc w:val="left"/>
        <w:rPr>
          <w:rFonts w:asciiTheme="minorHAnsi" w:hAnsiTheme="minorHAnsi" w:cstheme="minorHAnsi"/>
          <w:b w:val="0"/>
          <w:sz w:val="22"/>
          <w:szCs w:val="22"/>
        </w:rPr>
      </w:pPr>
    </w:p>
    <w:p w:rsidR="0025313E" w:rsidRPr="00C743FB" w:rsidRDefault="0025313E" w:rsidP="0025313E">
      <w:pPr>
        <w:pStyle w:val="Voetnoottekst"/>
        <w:numPr>
          <w:ilvl w:val="0"/>
          <w:numId w:val="17"/>
        </w:numPr>
        <w:jc w:val="left"/>
        <w:rPr>
          <w:rFonts w:asciiTheme="minorHAnsi" w:hAnsiTheme="minorHAnsi" w:cstheme="minorHAnsi"/>
          <w:b w:val="0"/>
          <w:sz w:val="22"/>
          <w:szCs w:val="22"/>
        </w:rPr>
      </w:pPr>
      <w:r w:rsidRPr="00C743FB">
        <w:rPr>
          <w:rFonts w:asciiTheme="minorHAnsi" w:hAnsiTheme="minorHAnsi" w:cstheme="minorHAnsi"/>
          <w:sz w:val="22"/>
          <w:szCs w:val="22"/>
        </w:rPr>
        <w:lastRenderedPageBreak/>
        <w:t>Belastingdienst 21 maart 2017</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Belastingdienst, </w:t>
      </w:r>
      <w:r w:rsidRPr="00C743FB">
        <w:rPr>
          <w:rFonts w:asciiTheme="minorHAnsi" w:hAnsiTheme="minorHAnsi" w:cstheme="minorHAnsi"/>
          <w:b w:val="0"/>
          <w:i/>
          <w:sz w:val="22"/>
          <w:szCs w:val="22"/>
        </w:rPr>
        <w:t>Hoe biedt u een akte aan voor registratie?</w:t>
      </w:r>
      <w:r w:rsidRPr="00C743FB">
        <w:rPr>
          <w:rFonts w:asciiTheme="minorHAnsi" w:hAnsiTheme="minorHAnsi" w:cstheme="minorHAnsi"/>
          <w:b w:val="0"/>
          <w:sz w:val="22"/>
          <w:szCs w:val="22"/>
        </w:rPr>
        <w:t>, geraadpleegd op 21 maart 2017,  https://www.belastingdienst.nl/wps/wcm/connect/bldcontentnl/standaard_functies/prive/contact/andere_onderwerpen/registratie_van_onderhandse_akten/hoe_biedt_u_een_akte_aan.</w:t>
      </w:r>
    </w:p>
    <w:p w:rsidR="0025313E" w:rsidRPr="00C743FB" w:rsidRDefault="0025313E" w:rsidP="0025313E">
      <w:pPr>
        <w:pStyle w:val="Voetnoottekst"/>
        <w:numPr>
          <w:ilvl w:val="0"/>
          <w:numId w:val="17"/>
        </w:numPr>
        <w:jc w:val="left"/>
        <w:rPr>
          <w:rFonts w:asciiTheme="minorHAnsi" w:hAnsiTheme="minorHAnsi" w:cstheme="minorHAnsi"/>
          <w:b w:val="0"/>
          <w:sz w:val="22"/>
          <w:szCs w:val="22"/>
        </w:rPr>
      </w:pPr>
      <w:r w:rsidRPr="00C743FB">
        <w:rPr>
          <w:rFonts w:asciiTheme="minorHAnsi" w:hAnsiTheme="minorHAnsi" w:cstheme="minorHAnsi"/>
          <w:sz w:val="22"/>
          <w:szCs w:val="22"/>
        </w:rPr>
        <w:t>Belastingdienst 23 maart 2017</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Belastingdienst, </w:t>
      </w:r>
      <w:r w:rsidRPr="00C743FB">
        <w:rPr>
          <w:rFonts w:asciiTheme="minorHAnsi" w:hAnsiTheme="minorHAnsi" w:cstheme="minorHAnsi"/>
          <w:b w:val="0"/>
          <w:i/>
          <w:sz w:val="22"/>
          <w:szCs w:val="22"/>
        </w:rPr>
        <w:t>Wat gebeurt er na registratie</w:t>
      </w:r>
      <w:r w:rsidRPr="00C743FB">
        <w:rPr>
          <w:rFonts w:asciiTheme="minorHAnsi" w:hAnsiTheme="minorHAnsi" w:cstheme="minorHAnsi"/>
          <w:b w:val="0"/>
          <w:sz w:val="22"/>
          <w:szCs w:val="22"/>
        </w:rPr>
        <w:t xml:space="preserve">, geraadpleegd op 23 maart 2017, https://www.belastingdienst.nl/wps/wcm/connect/bldcontentnl/standaard_functies/prive/contact/andere_onderwerpen/registratie_van_onderhandse_akten/wat_gebeurt_er_na_registratie. </w:t>
      </w:r>
    </w:p>
    <w:p w:rsidR="0025313E" w:rsidRPr="00C743FB" w:rsidRDefault="0025313E" w:rsidP="0025313E">
      <w:pPr>
        <w:pStyle w:val="Voetnoottekst"/>
        <w:numPr>
          <w:ilvl w:val="0"/>
          <w:numId w:val="17"/>
        </w:numPr>
        <w:jc w:val="left"/>
        <w:rPr>
          <w:rFonts w:asciiTheme="minorHAnsi" w:hAnsiTheme="minorHAnsi" w:cstheme="minorHAnsi"/>
          <w:b w:val="0"/>
          <w:sz w:val="22"/>
          <w:szCs w:val="22"/>
        </w:rPr>
      </w:pPr>
      <w:r w:rsidRPr="00C743FB">
        <w:rPr>
          <w:rFonts w:asciiTheme="minorHAnsi" w:hAnsiTheme="minorHAnsi" w:cstheme="minorHAnsi"/>
          <w:sz w:val="22"/>
          <w:szCs w:val="22"/>
        </w:rPr>
        <w:t>Creditcard 2017</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Creditcard, </w:t>
      </w:r>
      <w:r w:rsidRPr="00C743FB">
        <w:rPr>
          <w:rFonts w:asciiTheme="minorHAnsi" w:hAnsiTheme="minorHAnsi" w:cstheme="minorHAnsi"/>
          <w:b w:val="0"/>
          <w:i/>
          <w:sz w:val="22"/>
          <w:szCs w:val="22"/>
        </w:rPr>
        <w:t>Begrippen - Giraal geld</w:t>
      </w:r>
      <w:r w:rsidRPr="00C743FB">
        <w:rPr>
          <w:rFonts w:asciiTheme="minorHAnsi" w:hAnsiTheme="minorHAnsi" w:cstheme="minorHAnsi"/>
          <w:b w:val="0"/>
          <w:sz w:val="22"/>
          <w:szCs w:val="22"/>
        </w:rPr>
        <w:t>, geraadpleegd op 19 maart 2017, http://www.creditcard-informatie.nl/creditcard-begrippen/giraal-geld.php.</w:t>
      </w:r>
    </w:p>
    <w:p w:rsidR="0025313E" w:rsidRPr="00C743FB" w:rsidRDefault="0025313E" w:rsidP="0025313E">
      <w:pPr>
        <w:pStyle w:val="Voetnoottekst"/>
        <w:numPr>
          <w:ilvl w:val="0"/>
          <w:numId w:val="17"/>
        </w:numPr>
        <w:jc w:val="left"/>
        <w:rPr>
          <w:rFonts w:asciiTheme="minorHAnsi" w:hAnsiTheme="minorHAnsi" w:cstheme="minorHAnsi"/>
          <w:b w:val="0"/>
          <w:sz w:val="22"/>
          <w:szCs w:val="22"/>
        </w:rPr>
      </w:pPr>
      <w:r w:rsidRPr="00C743FB">
        <w:rPr>
          <w:rFonts w:asciiTheme="minorHAnsi" w:hAnsiTheme="minorHAnsi" w:cstheme="minorHAnsi"/>
          <w:sz w:val="22"/>
          <w:szCs w:val="22"/>
        </w:rPr>
        <w:t>Dank 2015</w:t>
      </w:r>
    </w:p>
    <w:p w:rsidR="0025313E" w:rsidRPr="00C743FB" w:rsidRDefault="0025313E" w:rsidP="0025313E">
      <w:pPr>
        <w:pStyle w:val="Voetnoottekst"/>
        <w:ind w:left="720"/>
        <w:jc w:val="left"/>
        <w:rPr>
          <w:rStyle w:val="Hyperlink"/>
          <w:rFonts w:asciiTheme="minorHAnsi" w:hAnsiTheme="minorHAnsi" w:cstheme="minorHAnsi"/>
          <w:b w:val="0"/>
          <w:color w:val="auto"/>
          <w:sz w:val="22"/>
          <w:szCs w:val="22"/>
          <w:u w:val="none"/>
        </w:rPr>
      </w:pPr>
      <w:r w:rsidRPr="00C743FB">
        <w:rPr>
          <w:rFonts w:asciiTheme="minorHAnsi" w:hAnsiTheme="minorHAnsi" w:cstheme="minorHAnsi"/>
          <w:b w:val="0"/>
          <w:sz w:val="22"/>
          <w:szCs w:val="22"/>
        </w:rPr>
        <w:t xml:space="preserve">V. Dank, </w:t>
      </w:r>
      <w:r w:rsidRPr="00C743FB">
        <w:rPr>
          <w:rFonts w:asciiTheme="minorHAnsi" w:hAnsiTheme="minorHAnsi" w:cstheme="minorHAnsi"/>
          <w:b w:val="0"/>
          <w:i/>
          <w:sz w:val="22"/>
          <w:szCs w:val="22"/>
        </w:rPr>
        <w:t>Girale betaling op dag van faillietverklaring - de Hoge Raad gaat gedeeltelijk om</w:t>
      </w:r>
      <w:r w:rsidRPr="00C743FB">
        <w:rPr>
          <w:rFonts w:asciiTheme="minorHAnsi" w:hAnsiTheme="minorHAnsi" w:cstheme="minorHAnsi"/>
          <w:b w:val="0"/>
          <w:sz w:val="22"/>
          <w:szCs w:val="22"/>
        </w:rPr>
        <w:t>, 24 maart 2015, http://www.wieringa-advocaten.nl/nl/weblog/2015/03/24/girale-betaling-op-dag-van-faillietverklaring-de-hoge-raad-gaat-gedeeltelijk-om.</w:t>
      </w:r>
    </w:p>
    <w:p w:rsidR="0025313E" w:rsidRPr="00C743FB" w:rsidRDefault="0025313E" w:rsidP="0025313E">
      <w:pPr>
        <w:pStyle w:val="Voetnoottekst"/>
        <w:numPr>
          <w:ilvl w:val="0"/>
          <w:numId w:val="17"/>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Gubbels</w:t>
      </w:r>
      <w:proofErr w:type="spellEnd"/>
      <w:r w:rsidRPr="00C743FB">
        <w:rPr>
          <w:rFonts w:asciiTheme="minorHAnsi" w:hAnsiTheme="minorHAnsi" w:cstheme="minorHAnsi"/>
          <w:sz w:val="22"/>
          <w:szCs w:val="22"/>
        </w:rPr>
        <w:t xml:space="preserve"> 2017, Faillissement</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B.G.N. </w:t>
      </w:r>
      <w:proofErr w:type="spellStart"/>
      <w:r w:rsidRPr="00C743FB">
        <w:rPr>
          <w:rFonts w:asciiTheme="minorHAnsi" w:hAnsiTheme="minorHAnsi" w:cstheme="minorHAnsi"/>
          <w:b w:val="0"/>
          <w:sz w:val="22"/>
          <w:szCs w:val="22"/>
        </w:rPr>
        <w:t>Gubbels</w:t>
      </w:r>
      <w:proofErr w:type="spellEnd"/>
      <w:r w:rsidRPr="00C743FB">
        <w:rPr>
          <w:rFonts w:asciiTheme="minorHAnsi" w:hAnsiTheme="minorHAnsi" w:cstheme="minorHAnsi"/>
          <w:b w:val="0"/>
          <w:sz w:val="22"/>
          <w:szCs w:val="22"/>
        </w:rPr>
        <w:t xml:space="preserve">, </w:t>
      </w:r>
      <w:r w:rsidRPr="00C743FB">
        <w:rPr>
          <w:rFonts w:asciiTheme="minorHAnsi" w:hAnsiTheme="minorHAnsi" w:cstheme="minorHAnsi"/>
          <w:b w:val="0"/>
          <w:i/>
          <w:sz w:val="22"/>
          <w:szCs w:val="22"/>
        </w:rPr>
        <w:t>Faillissement</w:t>
      </w:r>
      <w:r w:rsidRPr="00C743FB">
        <w:rPr>
          <w:rFonts w:asciiTheme="minorHAnsi" w:hAnsiTheme="minorHAnsi" w:cstheme="minorHAnsi"/>
          <w:b w:val="0"/>
          <w:sz w:val="22"/>
          <w:szCs w:val="22"/>
        </w:rPr>
        <w:t>, geraadpleegd op 23 maart 2017, http://www.wetrecht.nl/faillissement/.</w:t>
      </w:r>
    </w:p>
    <w:p w:rsidR="0025313E" w:rsidRPr="00C743FB" w:rsidRDefault="0025313E" w:rsidP="0025313E">
      <w:pPr>
        <w:pStyle w:val="Voetnoottekst"/>
        <w:numPr>
          <w:ilvl w:val="0"/>
          <w:numId w:val="17"/>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Gubbels</w:t>
      </w:r>
      <w:proofErr w:type="spellEnd"/>
      <w:r w:rsidRPr="00C743FB">
        <w:rPr>
          <w:rFonts w:asciiTheme="minorHAnsi" w:hAnsiTheme="minorHAnsi" w:cstheme="minorHAnsi"/>
          <w:sz w:val="22"/>
          <w:szCs w:val="22"/>
        </w:rPr>
        <w:t xml:space="preserve"> 2017, Pandrecht</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B.G.N. </w:t>
      </w:r>
      <w:proofErr w:type="spellStart"/>
      <w:r w:rsidRPr="00C743FB">
        <w:rPr>
          <w:rFonts w:asciiTheme="minorHAnsi" w:hAnsiTheme="minorHAnsi" w:cstheme="minorHAnsi"/>
          <w:b w:val="0"/>
          <w:sz w:val="22"/>
          <w:szCs w:val="22"/>
        </w:rPr>
        <w:t>Gubbels</w:t>
      </w:r>
      <w:proofErr w:type="spellEnd"/>
      <w:r w:rsidRPr="00C743FB">
        <w:rPr>
          <w:rFonts w:asciiTheme="minorHAnsi" w:hAnsiTheme="minorHAnsi" w:cstheme="minorHAnsi"/>
          <w:b w:val="0"/>
          <w:sz w:val="22"/>
          <w:szCs w:val="22"/>
        </w:rPr>
        <w:t xml:space="preserve">, </w:t>
      </w:r>
      <w:r w:rsidRPr="00C743FB">
        <w:rPr>
          <w:rFonts w:asciiTheme="minorHAnsi" w:hAnsiTheme="minorHAnsi" w:cstheme="minorHAnsi"/>
          <w:b w:val="0"/>
          <w:i/>
          <w:sz w:val="22"/>
          <w:szCs w:val="22"/>
        </w:rPr>
        <w:t>Pandrecht</w:t>
      </w:r>
      <w:r w:rsidRPr="00C743FB">
        <w:rPr>
          <w:rFonts w:asciiTheme="minorHAnsi" w:hAnsiTheme="minorHAnsi" w:cstheme="minorHAnsi"/>
          <w:b w:val="0"/>
          <w:sz w:val="22"/>
          <w:szCs w:val="22"/>
        </w:rPr>
        <w:t>, geraadpleegd op 25 februari 2017, http://www.wetrecht.nl/pandrecht/.</w:t>
      </w:r>
    </w:p>
    <w:p w:rsidR="0025313E" w:rsidRPr="00C743FB" w:rsidRDefault="0025313E" w:rsidP="0025313E">
      <w:pPr>
        <w:pStyle w:val="Voetnoottekst"/>
        <w:numPr>
          <w:ilvl w:val="0"/>
          <w:numId w:val="17"/>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Gubbels</w:t>
      </w:r>
      <w:proofErr w:type="spellEnd"/>
      <w:r w:rsidRPr="00C743FB">
        <w:rPr>
          <w:rFonts w:asciiTheme="minorHAnsi" w:hAnsiTheme="minorHAnsi" w:cstheme="minorHAnsi"/>
          <w:sz w:val="22"/>
          <w:szCs w:val="22"/>
        </w:rPr>
        <w:t xml:space="preserve"> 2017, </w:t>
      </w:r>
      <w:proofErr w:type="spellStart"/>
      <w:r w:rsidRPr="00C743FB">
        <w:rPr>
          <w:rFonts w:asciiTheme="minorHAnsi" w:hAnsiTheme="minorHAnsi" w:cstheme="minorHAnsi"/>
          <w:sz w:val="22"/>
          <w:szCs w:val="22"/>
        </w:rPr>
        <w:t>Pauliana</w:t>
      </w:r>
      <w:proofErr w:type="spellEnd"/>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B.G.N. </w:t>
      </w:r>
      <w:proofErr w:type="spellStart"/>
      <w:r w:rsidRPr="00C743FB">
        <w:rPr>
          <w:rFonts w:asciiTheme="minorHAnsi" w:hAnsiTheme="minorHAnsi" w:cstheme="minorHAnsi"/>
          <w:b w:val="0"/>
          <w:sz w:val="22"/>
          <w:szCs w:val="22"/>
        </w:rPr>
        <w:t>Gubbels</w:t>
      </w:r>
      <w:proofErr w:type="spellEnd"/>
      <w:r w:rsidRPr="00C743FB">
        <w:rPr>
          <w:rFonts w:asciiTheme="minorHAnsi" w:hAnsiTheme="minorHAnsi" w:cstheme="minorHAnsi"/>
          <w:b w:val="0"/>
          <w:sz w:val="22"/>
          <w:szCs w:val="22"/>
        </w:rPr>
        <w:t xml:space="preserve">, </w:t>
      </w:r>
      <w:r w:rsidRPr="00C743FB">
        <w:rPr>
          <w:rFonts w:asciiTheme="minorHAnsi" w:hAnsiTheme="minorHAnsi" w:cstheme="minorHAnsi"/>
          <w:b w:val="0"/>
          <w:i/>
          <w:sz w:val="22"/>
          <w:szCs w:val="22"/>
        </w:rPr>
        <w:t>Faillissement</w:t>
      </w:r>
      <w:r w:rsidRPr="00C743FB">
        <w:rPr>
          <w:rFonts w:asciiTheme="minorHAnsi" w:hAnsiTheme="minorHAnsi" w:cstheme="minorHAnsi"/>
          <w:b w:val="0"/>
          <w:sz w:val="22"/>
          <w:szCs w:val="22"/>
        </w:rPr>
        <w:t>, geraadpleegd op 24 maart 2017, http://www.wetrecht.nl/pauliana/.</w:t>
      </w:r>
    </w:p>
    <w:p w:rsidR="0025313E" w:rsidRPr="00C743FB" w:rsidRDefault="0025313E" w:rsidP="0025313E">
      <w:pPr>
        <w:pStyle w:val="Voetnoottekst"/>
        <w:numPr>
          <w:ilvl w:val="0"/>
          <w:numId w:val="17"/>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Gubbels</w:t>
      </w:r>
      <w:proofErr w:type="spellEnd"/>
      <w:r w:rsidRPr="00C743FB">
        <w:rPr>
          <w:rFonts w:asciiTheme="minorHAnsi" w:hAnsiTheme="minorHAnsi" w:cstheme="minorHAnsi"/>
          <w:sz w:val="22"/>
          <w:szCs w:val="22"/>
        </w:rPr>
        <w:t xml:space="preserve"> 2017, Verrekening</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B.G.N. </w:t>
      </w:r>
      <w:proofErr w:type="spellStart"/>
      <w:r w:rsidRPr="00C743FB">
        <w:rPr>
          <w:rFonts w:asciiTheme="minorHAnsi" w:hAnsiTheme="minorHAnsi" w:cstheme="minorHAnsi"/>
          <w:b w:val="0"/>
          <w:sz w:val="22"/>
          <w:szCs w:val="22"/>
        </w:rPr>
        <w:t>Gubbels</w:t>
      </w:r>
      <w:proofErr w:type="spellEnd"/>
      <w:r w:rsidRPr="00C743FB">
        <w:rPr>
          <w:rFonts w:asciiTheme="minorHAnsi" w:hAnsiTheme="minorHAnsi" w:cstheme="minorHAnsi"/>
          <w:b w:val="0"/>
          <w:sz w:val="22"/>
          <w:szCs w:val="22"/>
        </w:rPr>
        <w:t xml:space="preserve">, </w:t>
      </w:r>
      <w:r w:rsidRPr="00C743FB">
        <w:rPr>
          <w:rFonts w:asciiTheme="minorHAnsi" w:hAnsiTheme="minorHAnsi" w:cstheme="minorHAnsi"/>
          <w:b w:val="0"/>
          <w:i/>
          <w:sz w:val="22"/>
          <w:szCs w:val="22"/>
        </w:rPr>
        <w:t>Verrekening</w:t>
      </w:r>
      <w:r w:rsidRPr="00C743FB">
        <w:rPr>
          <w:rFonts w:asciiTheme="minorHAnsi" w:hAnsiTheme="minorHAnsi" w:cstheme="minorHAnsi"/>
          <w:b w:val="0"/>
          <w:sz w:val="22"/>
          <w:szCs w:val="22"/>
        </w:rPr>
        <w:t>, geraadpleegd op 23 maart 2017, http://www.wetrecht.nl/verrekening/.</w:t>
      </w:r>
    </w:p>
    <w:p w:rsidR="0025313E" w:rsidRPr="00C743FB" w:rsidRDefault="0025313E" w:rsidP="0025313E">
      <w:pPr>
        <w:pStyle w:val="Voetnoottekst"/>
        <w:numPr>
          <w:ilvl w:val="0"/>
          <w:numId w:val="17"/>
        </w:numPr>
        <w:jc w:val="left"/>
        <w:rPr>
          <w:rFonts w:asciiTheme="minorHAnsi" w:hAnsiTheme="minorHAnsi" w:cstheme="minorHAnsi"/>
          <w:b w:val="0"/>
          <w:sz w:val="22"/>
          <w:szCs w:val="22"/>
        </w:rPr>
      </w:pPr>
      <w:r w:rsidRPr="00C743FB">
        <w:rPr>
          <w:rFonts w:asciiTheme="minorHAnsi" w:hAnsiTheme="minorHAnsi" w:cstheme="minorHAnsi"/>
          <w:sz w:val="22"/>
          <w:szCs w:val="22"/>
        </w:rPr>
        <w:t>ING 2017</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ING, </w:t>
      </w:r>
      <w:r w:rsidRPr="00C743FB">
        <w:rPr>
          <w:rFonts w:asciiTheme="minorHAnsi" w:hAnsiTheme="minorHAnsi" w:cstheme="minorHAnsi"/>
          <w:b w:val="0"/>
          <w:i/>
          <w:sz w:val="22"/>
          <w:szCs w:val="22"/>
        </w:rPr>
        <w:t>Snelheid betalingen</w:t>
      </w:r>
      <w:r w:rsidRPr="00C743FB">
        <w:rPr>
          <w:rFonts w:asciiTheme="minorHAnsi" w:hAnsiTheme="minorHAnsi" w:cstheme="minorHAnsi"/>
          <w:b w:val="0"/>
          <w:sz w:val="22"/>
          <w:szCs w:val="22"/>
        </w:rPr>
        <w:t>, geraadpleegd op 20 maart 2017, https://www.ing.nl/zakelijk/betalen/betalingen-doen/snelheid-betalingsverkeer/index.html.</w:t>
      </w:r>
    </w:p>
    <w:p w:rsidR="0025313E" w:rsidRPr="00C743FB" w:rsidRDefault="0025313E" w:rsidP="0025313E">
      <w:pPr>
        <w:pStyle w:val="Voetnoottekst"/>
        <w:numPr>
          <w:ilvl w:val="0"/>
          <w:numId w:val="17"/>
        </w:numPr>
        <w:jc w:val="left"/>
        <w:rPr>
          <w:rFonts w:asciiTheme="minorHAnsi" w:hAnsiTheme="minorHAnsi" w:cstheme="minorHAnsi"/>
          <w:b w:val="0"/>
          <w:sz w:val="22"/>
          <w:szCs w:val="22"/>
        </w:rPr>
      </w:pPr>
      <w:r w:rsidRPr="00C743FB">
        <w:rPr>
          <w:rFonts w:asciiTheme="minorHAnsi" w:hAnsiTheme="minorHAnsi" w:cstheme="minorHAnsi"/>
          <w:sz w:val="22"/>
          <w:szCs w:val="22"/>
        </w:rPr>
        <w:t>Rabobank 2017</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Rabobank, </w:t>
      </w:r>
      <w:r w:rsidRPr="00C743FB">
        <w:rPr>
          <w:rFonts w:asciiTheme="minorHAnsi" w:hAnsiTheme="minorHAnsi" w:cstheme="minorHAnsi"/>
          <w:b w:val="0"/>
          <w:i/>
          <w:sz w:val="22"/>
          <w:szCs w:val="22"/>
        </w:rPr>
        <w:t>Verwerkingstijd betaling</w:t>
      </w:r>
      <w:r w:rsidRPr="00C743FB">
        <w:rPr>
          <w:rFonts w:asciiTheme="minorHAnsi" w:hAnsiTheme="minorHAnsi" w:cstheme="minorHAnsi"/>
          <w:b w:val="0"/>
          <w:sz w:val="22"/>
          <w:szCs w:val="22"/>
        </w:rPr>
        <w:t>, geraadpleegd op 20 maart 2017,  https://www.rabobank.nl/particulieren/service/betalen-en-opnemen/verwerkingstijd-betaling/.</w:t>
      </w:r>
    </w:p>
    <w:p w:rsidR="0025313E" w:rsidRPr="00C743FB" w:rsidRDefault="0025313E" w:rsidP="0025313E">
      <w:pPr>
        <w:pStyle w:val="Voetnoottekst"/>
        <w:numPr>
          <w:ilvl w:val="0"/>
          <w:numId w:val="17"/>
        </w:numPr>
        <w:jc w:val="left"/>
        <w:rPr>
          <w:rFonts w:asciiTheme="minorHAnsi" w:hAnsiTheme="minorHAnsi" w:cstheme="minorHAnsi"/>
          <w:b w:val="0"/>
          <w:sz w:val="22"/>
          <w:szCs w:val="22"/>
        </w:rPr>
      </w:pPr>
      <w:r w:rsidRPr="00C743FB">
        <w:rPr>
          <w:rFonts w:asciiTheme="minorHAnsi" w:hAnsiTheme="minorHAnsi" w:cstheme="minorHAnsi"/>
          <w:sz w:val="22"/>
          <w:szCs w:val="22"/>
        </w:rPr>
        <w:t>Rijksoverheid 2013</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Rijksoverheid,</w:t>
      </w:r>
      <w:r w:rsidRPr="00C743FB">
        <w:rPr>
          <w:rFonts w:asciiTheme="minorHAnsi" w:hAnsiTheme="minorHAnsi" w:cstheme="minorHAnsi"/>
          <w:b w:val="0"/>
          <w:i/>
          <w:sz w:val="22"/>
          <w:szCs w:val="22"/>
        </w:rPr>
        <w:t xml:space="preserve"> Eerste verkenning mogelijkheden bijboeken betaaltransacties op weekend- en feestdagen</w:t>
      </w:r>
      <w:r w:rsidRPr="00C743FB">
        <w:rPr>
          <w:rFonts w:asciiTheme="minorHAnsi" w:hAnsiTheme="minorHAnsi" w:cstheme="minorHAnsi"/>
          <w:b w:val="0"/>
          <w:sz w:val="22"/>
          <w:szCs w:val="22"/>
        </w:rPr>
        <w:t>, 7 november 2013, https://www.rijksoverheid.nl/documenten/brieven/2013/11/07/eerste-verkenning-mogelijkheden-bijboeken-betaaltransacties-op-weekend-en-feestdagen.</w:t>
      </w:r>
    </w:p>
    <w:p w:rsidR="0025313E" w:rsidRPr="00C743FB" w:rsidRDefault="0025313E" w:rsidP="0025313E">
      <w:pPr>
        <w:jc w:val="left"/>
        <w:rPr>
          <w:rFonts w:asciiTheme="minorHAnsi" w:hAnsiTheme="minorHAnsi" w:cstheme="minorHAnsi"/>
          <w:b w:val="0"/>
          <w:sz w:val="22"/>
          <w:szCs w:val="22"/>
        </w:rPr>
      </w:pPr>
    </w:p>
    <w:p w:rsidR="0025313E" w:rsidRPr="00C743FB" w:rsidRDefault="0025313E" w:rsidP="0025313E">
      <w:pPr>
        <w:jc w:val="left"/>
        <w:rPr>
          <w:rFonts w:asciiTheme="minorHAnsi" w:hAnsiTheme="minorHAnsi" w:cstheme="minorHAnsi"/>
          <w:b w:val="0"/>
          <w:sz w:val="22"/>
          <w:szCs w:val="22"/>
        </w:rPr>
      </w:pPr>
      <w:r w:rsidRPr="00C743FB">
        <w:rPr>
          <w:rFonts w:asciiTheme="minorHAnsi" w:hAnsiTheme="minorHAnsi" w:cstheme="minorHAnsi"/>
          <w:b w:val="0"/>
          <w:sz w:val="22"/>
          <w:szCs w:val="22"/>
          <w:u w:val="single"/>
        </w:rPr>
        <w:t>Tijdschriften</w:t>
      </w:r>
    </w:p>
    <w:p w:rsidR="0025313E" w:rsidRPr="00C743FB" w:rsidRDefault="0025313E" w:rsidP="0025313E">
      <w:pPr>
        <w:pStyle w:val="Voetnoottekst"/>
        <w:numPr>
          <w:ilvl w:val="0"/>
          <w:numId w:val="16"/>
        </w:numPr>
        <w:jc w:val="left"/>
        <w:rPr>
          <w:rFonts w:asciiTheme="minorHAnsi" w:hAnsiTheme="minorHAnsi" w:cstheme="minorHAnsi"/>
          <w:sz w:val="22"/>
          <w:szCs w:val="22"/>
        </w:rPr>
      </w:pPr>
      <w:proofErr w:type="spellStart"/>
      <w:r w:rsidRPr="00C743FB">
        <w:rPr>
          <w:rFonts w:asciiTheme="minorHAnsi" w:hAnsiTheme="minorHAnsi" w:cstheme="minorHAnsi"/>
          <w:sz w:val="22"/>
          <w:szCs w:val="22"/>
        </w:rPr>
        <w:t>Bakels</w:t>
      </w:r>
      <w:proofErr w:type="spellEnd"/>
      <w:r w:rsidRPr="00C743FB">
        <w:rPr>
          <w:rFonts w:asciiTheme="minorHAnsi" w:hAnsiTheme="minorHAnsi" w:cstheme="minorHAnsi"/>
          <w:sz w:val="22"/>
          <w:szCs w:val="22"/>
        </w:rPr>
        <w:t xml:space="preserve"> en Van </w:t>
      </w:r>
      <w:proofErr w:type="spellStart"/>
      <w:r w:rsidRPr="00C743FB">
        <w:rPr>
          <w:rFonts w:asciiTheme="minorHAnsi" w:hAnsiTheme="minorHAnsi" w:cstheme="minorHAnsi"/>
          <w:sz w:val="22"/>
          <w:szCs w:val="22"/>
        </w:rPr>
        <w:t>Buchem-Spapens</w:t>
      </w:r>
      <w:proofErr w:type="spellEnd"/>
      <w:r w:rsidRPr="00C743FB">
        <w:rPr>
          <w:rFonts w:asciiTheme="minorHAnsi" w:hAnsiTheme="minorHAnsi" w:cstheme="minorHAnsi"/>
          <w:sz w:val="22"/>
          <w:szCs w:val="22"/>
        </w:rPr>
        <w:t xml:space="preserve">, </w:t>
      </w:r>
      <w:r w:rsidRPr="00C743FB">
        <w:rPr>
          <w:rFonts w:asciiTheme="minorHAnsi" w:hAnsiTheme="minorHAnsi" w:cstheme="minorHAnsi"/>
          <w:i/>
          <w:sz w:val="22"/>
          <w:szCs w:val="22"/>
        </w:rPr>
        <w:t xml:space="preserve">NJB </w:t>
      </w:r>
      <w:r w:rsidRPr="00C743FB">
        <w:rPr>
          <w:rFonts w:asciiTheme="minorHAnsi" w:hAnsiTheme="minorHAnsi" w:cstheme="minorHAnsi"/>
          <w:sz w:val="22"/>
          <w:szCs w:val="22"/>
        </w:rPr>
        <w:t>2013/1551</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F.B. Bakel en, A.M.J. van </w:t>
      </w:r>
      <w:proofErr w:type="spellStart"/>
      <w:r w:rsidRPr="00C743FB">
        <w:rPr>
          <w:rFonts w:asciiTheme="minorHAnsi" w:hAnsiTheme="minorHAnsi" w:cstheme="minorHAnsi"/>
          <w:b w:val="0"/>
          <w:sz w:val="22"/>
          <w:szCs w:val="22"/>
        </w:rPr>
        <w:t>Buchem-Spapens</w:t>
      </w:r>
      <w:proofErr w:type="spellEnd"/>
      <w:r w:rsidRPr="00C743FB">
        <w:rPr>
          <w:rFonts w:asciiTheme="minorHAnsi" w:hAnsiTheme="minorHAnsi" w:cstheme="minorHAnsi"/>
          <w:b w:val="0"/>
          <w:sz w:val="22"/>
          <w:szCs w:val="22"/>
        </w:rPr>
        <w:t xml:space="preserve"> e.a., ‘Faillissement. Verrekening. Stil pandrecht. Factoring.’, </w:t>
      </w:r>
      <w:r w:rsidRPr="00C743FB">
        <w:rPr>
          <w:rFonts w:asciiTheme="minorHAnsi" w:hAnsiTheme="minorHAnsi" w:cstheme="minorHAnsi"/>
          <w:b w:val="0"/>
          <w:i/>
          <w:sz w:val="22"/>
          <w:szCs w:val="22"/>
        </w:rPr>
        <w:t xml:space="preserve">NJB </w:t>
      </w:r>
      <w:r w:rsidRPr="00C743FB">
        <w:rPr>
          <w:rFonts w:asciiTheme="minorHAnsi" w:hAnsiTheme="minorHAnsi" w:cstheme="minorHAnsi"/>
          <w:b w:val="0"/>
          <w:sz w:val="22"/>
          <w:szCs w:val="22"/>
        </w:rPr>
        <w:t>2013/1551, afl. 26.</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r w:rsidRPr="00C743FB">
        <w:rPr>
          <w:rFonts w:asciiTheme="minorHAnsi" w:hAnsiTheme="minorHAnsi" w:cstheme="minorHAnsi"/>
          <w:sz w:val="22"/>
          <w:szCs w:val="22"/>
        </w:rPr>
        <w:t xml:space="preserve">Brinkman, </w:t>
      </w:r>
      <w:r w:rsidRPr="00C743FB">
        <w:rPr>
          <w:rFonts w:asciiTheme="minorHAnsi" w:hAnsiTheme="minorHAnsi" w:cstheme="minorHAnsi"/>
          <w:i/>
          <w:sz w:val="22"/>
          <w:szCs w:val="22"/>
        </w:rPr>
        <w:t>V&amp;O</w:t>
      </w:r>
      <w:r w:rsidRPr="00C743FB">
        <w:rPr>
          <w:rFonts w:asciiTheme="minorHAnsi" w:hAnsiTheme="minorHAnsi" w:cstheme="minorHAnsi"/>
          <w:sz w:val="22"/>
          <w:szCs w:val="22"/>
        </w:rPr>
        <w:t xml:space="preserve"> 2007, p. 95 en 96</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D. Brinkman, ‘Pandrecht op aandelen ondanks statutair verbod’, </w:t>
      </w:r>
      <w:r w:rsidRPr="00C743FB">
        <w:rPr>
          <w:rFonts w:asciiTheme="minorHAnsi" w:hAnsiTheme="minorHAnsi" w:cstheme="minorHAnsi"/>
          <w:b w:val="0"/>
          <w:i/>
          <w:sz w:val="22"/>
          <w:szCs w:val="22"/>
        </w:rPr>
        <w:t>Vennootschap &amp; Onderneming</w:t>
      </w:r>
      <w:r w:rsidRPr="00C743FB">
        <w:rPr>
          <w:rFonts w:asciiTheme="minorHAnsi" w:hAnsiTheme="minorHAnsi" w:cstheme="minorHAnsi"/>
          <w:b w:val="0"/>
          <w:sz w:val="22"/>
          <w:szCs w:val="22"/>
        </w:rPr>
        <w:t xml:space="preserve"> 2007, nr. 5, p. 95 en 96.</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Buchem</w:t>
      </w:r>
      <w:proofErr w:type="spellEnd"/>
      <w:r w:rsidRPr="00C743FB">
        <w:rPr>
          <w:rFonts w:asciiTheme="minorHAnsi" w:hAnsiTheme="minorHAnsi" w:cstheme="minorHAnsi"/>
          <w:sz w:val="22"/>
          <w:szCs w:val="22"/>
        </w:rPr>
        <w:t xml:space="preserve"> en De Man, </w:t>
      </w:r>
      <w:r w:rsidRPr="00C743FB">
        <w:rPr>
          <w:rFonts w:asciiTheme="minorHAnsi" w:hAnsiTheme="minorHAnsi" w:cstheme="minorHAnsi"/>
          <w:i/>
          <w:sz w:val="22"/>
          <w:szCs w:val="22"/>
        </w:rPr>
        <w:t>O en F</w:t>
      </w:r>
      <w:r w:rsidRPr="00C743FB">
        <w:rPr>
          <w:rFonts w:asciiTheme="minorHAnsi" w:hAnsiTheme="minorHAnsi" w:cstheme="minorHAnsi"/>
          <w:sz w:val="22"/>
          <w:szCs w:val="22"/>
        </w:rPr>
        <w:t xml:space="preserve"> 2012, p. 5-11</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lastRenderedPageBreak/>
        <w:t xml:space="preserve">F. van </w:t>
      </w:r>
      <w:proofErr w:type="spellStart"/>
      <w:r w:rsidRPr="00C743FB">
        <w:rPr>
          <w:rFonts w:asciiTheme="minorHAnsi" w:hAnsiTheme="minorHAnsi" w:cstheme="minorHAnsi"/>
          <w:b w:val="0"/>
          <w:sz w:val="22"/>
          <w:szCs w:val="22"/>
        </w:rPr>
        <w:t>Buchem</w:t>
      </w:r>
      <w:proofErr w:type="spellEnd"/>
      <w:r w:rsidRPr="00C743FB">
        <w:rPr>
          <w:rFonts w:asciiTheme="minorHAnsi" w:hAnsiTheme="minorHAnsi" w:cstheme="minorHAnsi"/>
          <w:b w:val="0"/>
          <w:sz w:val="22"/>
          <w:szCs w:val="22"/>
        </w:rPr>
        <w:t xml:space="preserve"> en B. de Man, ‘De verpanding van absoluut toekomstige vorderingen’, </w:t>
      </w:r>
      <w:r w:rsidRPr="00C743FB">
        <w:rPr>
          <w:rFonts w:asciiTheme="minorHAnsi" w:hAnsiTheme="minorHAnsi" w:cstheme="minorHAnsi"/>
          <w:b w:val="0"/>
          <w:i/>
          <w:sz w:val="22"/>
          <w:szCs w:val="22"/>
        </w:rPr>
        <w:t xml:space="preserve">Onderneming en Financiering </w:t>
      </w:r>
      <w:r w:rsidRPr="00C743FB">
        <w:rPr>
          <w:rFonts w:asciiTheme="minorHAnsi" w:hAnsiTheme="minorHAnsi" w:cstheme="minorHAnsi"/>
          <w:b w:val="0"/>
          <w:sz w:val="22"/>
          <w:szCs w:val="22"/>
        </w:rPr>
        <w:t>2012, p. 5-11.</w:t>
      </w:r>
    </w:p>
    <w:p w:rsidR="003F750A" w:rsidRPr="00C743FB" w:rsidRDefault="003F750A" w:rsidP="003F750A">
      <w:pPr>
        <w:pStyle w:val="Voetnoottekst"/>
        <w:numPr>
          <w:ilvl w:val="0"/>
          <w:numId w:val="16"/>
        </w:numPr>
        <w:jc w:val="left"/>
        <w:rPr>
          <w:rFonts w:asciiTheme="minorHAnsi" w:hAnsiTheme="minorHAnsi" w:cstheme="minorHAnsi"/>
          <w:b w:val="0"/>
          <w:sz w:val="22"/>
          <w:szCs w:val="22"/>
        </w:rPr>
      </w:pPr>
      <w:r w:rsidRPr="00C743FB">
        <w:rPr>
          <w:rFonts w:asciiTheme="minorHAnsi" w:hAnsiTheme="minorHAnsi" w:cstheme="minorHAnsi"/>
          <w:sz w:val="22"/>
          <w:szCs w:val="22"/>
        </w:rPr>
        <w:t xml:space="preserve">De Boon, </w:t>
      </w:r>
      <w:r w:rsidRPr="00C743FB">
        <w:rPr>
          <w:rFonts w:asciiTheme="minorHAnsi" w:hAnsiTheme="minorHAnsi" w:cstheme="minorHAnsi"/>
          <w:i/>
          <w:sz w:val="22"/>
          <w:szCs w:val="22"/>
        </w:rPr>
        <w:t>Trouw</w:t>
      </w:r>
      <w:r w:rsidRPr="00C743FB">
        <w:rPr>
          <w:rFonts w:asciiTheme="minorHAnsi" w:hAnsiTheme="minorHAnsi" w:cstheme="minorHAnsi"/>
          <w:sz w:val="22"/>
          <w:szCs w:val="22"/>
        </w:rPr>
        <w:t xml:space="preserve"> 2015</w:t>
      </w:r>
    </w:p>
    <w:p w:rsidR="003F750A" w:rsidRPr="00C743FB" w:rsidRDefault="003F750A" w:rsidP="003F750A">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T</w:t>
      </w:r>
      <w:r w:rsidR="00A329E8" w:rsidRPr="00C743FB">
        <w:rPr>
          <w:rFonts w:asciiTheme="minorHAnsi" w:hAnsiTheme="minorHAnsi" w:cstheme="minorHAnsi"/>
          <w:b w:val="0"/>
          <w:sz w:val="22"/>
          <w:szCs w:val="22"/>
        </w:rPr>
        <w:t xml:space="preserve">. De Boon, ‘Wie faalt of vervalst kan failliet gaan’, </w:t>
      </w:r>
      <w:r w:rsidR="00A329E8" w:rsidRPr="00C743FB">
        <w:rPr>
          <w:rFonts w:asciiTheme="minorHAnsi" w:hAnsiTheme="minorHAnsi" w:cstheme="minorHAnsi"/>
          <w:b w:val="0"/>
          <w:i/>
          <w:sz w:val="22"/>
          <w:szCs w:val="22"/>
        </w:rPr>
        <w:t>Trouw</w:t>
      </w:r>
      <w:r w:rsidR="00A329E8" w:rsidRPr="00C743FB">
        <w:rPr>
          <w:rFonts w:asciiTheme="minorHAnsi" w:hAnsiTheme="minorHAnsi" w:cstheme="minorHAnsi"/>
          <w:b w:val="0"/>
          <w:sz w:val="22"/>
          <w:szCs w:val="22"/>
        </w:rPr>
        <w:t xml:space="preserve"> 2 juli 2015.</w:t>
      </w:r>
    </w:p>
    <w:p w:rsidR="001F662F" w:rsidRPr="00C743FB" w:rsidRDefault="001F662F" w:rsidP="001F662F">
      <w:pPr>
        <w:pStyle w:val="Lijstalinea"/>
        <w:numPr>
          <w:ilvl w:val="0"/>
          <w:numId w:val="19"/>
        </w:numPr>
        <w:jc w:val="left"/>
        <w:rPr>
          <w:rFonts w:asciiTheme="minorHAnsi" w:hAnsiTheme="minorHAnsi" w:cstheme="minorHAnsi"/>
          <w:sz w:val="22"/>
          <w:szCs w:val="22"/>
        </w:rPr>
      </w:pPr>
      <w:r w:rsidRPr="00C743FB">
        <w:rPr>
          <w:rFonts w:asciiTheme="minorHAnsi" w:hAnsiTheme="minorHAnsi" w:cstheme="minorHAnsi"/>
          <w:sz w:val="22"/>
          <w:szCs w:val="22"/>
        </w:rPr>
        <w:t>Franken e.a.</w:t>
      </w:r>
      <w:r w:rsidR="00AD5231" w:rsidRPr="00C743FB">
        <w:rPr>
          <w:rFonts w:asciiTheme="minorHAnsi" w:hAnsiTheme="minorHAnsi" w:cstheme="minorHAnsi"/>
          <w:sz w:val="22"/>
          <w:szCs w:val="22"/>
        </w:rPr>
        <w:t xml:space="preserve">, </w:t>
      </w:r>
      <w:proofErr w:type="spellStart"/>
      <w:r w:rsidR="00AD5231" w:rsidRPr="00C743FB">
        <w:rPr>
          <w:rFonts w:asciiTheme="minorHAnsi" w:hAnsiTheme="minorHAnsi" w:cstheme="minorHAnsi"/>
          <w:i/>
          <w:sz w:val="22"/>
          <w:szCs w:val="22"/>
        </w:rPr>
        <w:t>Insolad</w:t>
      </w:r>
      <w:proofErr w:type="spellEnd"/>
      <w:r w:rsidR="00AD5231" w:rsidRPr="00C743FB">
        <w:rPr>
          <w:rFonts w:asciiTheme="minorHAnsi" w:hAnsiTheme="minorHAnsi" w:cstheme="minorHAnsi"/>
          <w:i/>
          <w:sz w:val="22"/>
          <w:szCs w:val="22"/>
        </w:rPr>
        <w:t xml:space="preserve"> Jaarboek</w:t>
      </w:r>
      <w:r w:rsidR="00AD5231" w:rsidRPr="00C743FB">
        <w:rPr>
          <w:rFonts w:asciiTheme="minorHAnsi" w:hAnsiTheme="minorHAnsi" w:cstheme="minorHAnsi"/>
          <w:sz w:val="22"/>
          <w:szCs w:val="22"/>
        </w:rPr>
        <w:t xml:space="preserve"> 2015</w:t>
      </w:r>
      <w:r w:rsidR="005A5EC7" w:rsidRPr="00C743FB">
        <w:rPr>
          <w:rFonts w:asciiTheme="minorHAnsi" w:hAnsiTheme="minorHAnsi" w:cstheme="minorHAnsi"/>
          <w:sz w:val="22"/>
          <w:szCs w:val="22"/>
        </w:rPr>
        <w:t xml:space="preserve"> p. 239 en 240</w:t>
      </w:r>
    </w:p>
    <w:p w:rsidR="001F662F" w:rsidRPr="00C743FB" w:rsidRDefault="001F662F" w:rsidP="001F662F">
      <w:pPr>
        <w:pStyle w:val="Lijstalinea"/>
        <w:jc w:val="left"/>
        <w:rPr>
          <w:rFonts w:asciiTheme="minorHAnsi" w:hAnsiTheme="minorHAnsi" w:cstheme="minorHAnsi"/>
          <w:b w:val="0"/>
          <w:sz w:val="22"/>
          <w:szCs w:val="22"/>
        </w:rPr>
      </w:pPr>
      <w:r w:rsidRPr="00C743FB">
        <w:rPr>
          <w:rFonts w:asciiTheme="minorHAnsi" w:hAnsiTheme="minorHAnsi" w:cstheme="minorHAnsi"/>
          <w:b w:val="0"/>
          <w:sz w:val="22"/>
          <w:szCs w:val="22"/>
        </w:rPr>
        <w:t>M.J.M. Franken e.a., ‘De gereedschapskist van de curator</w:t>
      </w:r>
      <w:r w:rsidR="00AD5231" w:rsidRPr="00C743FB">
        <w:rPr>
          <w:rFonts w:asciiTheme="minorHAnsi" w:hAnsiTheme="minorHAnsi" w:cstheme="minorHAnsi"/>
          <w:b w:val="0"/>
          <w:sz w:val="22"/>
          <w:szCs w:val="22"/>
        </w:rPr>
        <w:t xml:space="preserve">’, </w:t>
      </w:r>
      <w:proofErr w:type="spellStart"/>
      <w:r w:rsidR="00AD5231" w:rsidRPr="00C743FB">
        <w:rPr>
          <w:rFonts w:asciiTheme="minorHAnsi" w:hAnsiTheme="minorHAnsi" w:cstheme="minorHAnsi"/>
          <w:b w:val="0"/>
          <w:i/>
          <w:sz w:val="22"/>
          <w:szCs w:val="22"/>
        </w:rPr>
        <w:t>Insolad</w:t>
      </w:r>
      <w:proofErr w:type="spellEnd"/>
      <w:r w:rsidR="00AD5231" w:rsidRPr="00C743FB">
        <w:rPr>
          <w:rFonts w:asciiTheme="minorHAnsi" w:hAnsiTheme="minorHAnsi" w:cstheme="minorHAnsi"/>
          <w:b w:val="0"/>
          <w:i/>
          <w:sz w:val="22"/>
          <w:szCs w:val="22"/>
        </w:rPr>
        <w:t xml:space="preserve"> Jaarboek</w:t>
      </w:r>
      <w:r w:rsidR="00AC38C9" w:rsidRPr="00C743FB">
        <w:rPr>
          <w:rFonts w:asciiTheme="minorHAnsi" w:hAnsiTheme="minorHAnsi" w:cstheme="minorHAnsi"/>
          <w:b w:val="0"/>
          <w:sz w:val="22"/>
          <w:szCs w:val="22"/>
        </w:rPr>
        <w:t xml:space="preserve"> </w:t>
      </w:r>
      <w:r w:rsidR="00860D3D" w:rsidRPr="00C743FB">
        <w:rPr>
          <w:rFonts w:asciiTheme="minorHAnsi" w:hAnsiTheme="minorHAnsi" w:cstheme="minorHAnsi"/>
          <w:b w:val="0"/>
          <w:sz w:val="22"/>
          <w:szCs w:val="22"/>
        </w:rPr>
        <w:t>2015, p. 239 en 240.</w:t>
      </w:r>
    </w:p>
    <w:p w:rsidR="0025313E" w:rsidRPr="00C743FB" w:rsidRDefault="0025313E" w:rsidP="0025313E">
      <w:pPr>
        <w:pStyle w:val="Voetnoottekst"/>
        <w:numPr>
          <w:ilvl w:val="0"/>
          <w:numId w:val="16"/>
        </w:numPr>
        <w:jc w:val="left"/>
        <w:rPr>
          <w:rFonts w:asciiTheme="minorHAnsi" w:hAnsiTheme="minorHAnsi" w:cstheme="minorHAnsi"/>
          <w:sz w:val="22"/>
          <w:szCs w:val="22"/>
        </w:rPr>
      </w:pPr>
      <w:proofErr w:type="spellStart"/>
      <w:r w:rsidRPr="00C743FB">
        <w:rPr>
          <w:rFonts w:asciiTheme="minorHAnsi" w:hAnsiTheme="minorHAnsi" w:cstheme="minorHAnsi"/>
          <w:sz w:val="22"/>
          <w:szCs w:val="22"/>
        </w:rPr>
        <w:t>Hartkamp</w:t>
      </w:r>
      <w:proofErr w:type="spellEnd"/>
      <w:r w:rsidRPr="00C743FB">
        <w:rPr>
          <w:rFonts w:asciiTheme="minorHAnsi" w:hAnsiTheme="minorHAnsi" w:cstheme="minorHAnsi"/>
          <w:sz w:val="22"/>
          <w:szCs w:val="22"/>
        </w:rPr>
        <w:t xml:space="preserve">, </w:t>
      </w:r>
      <w:r w:rsidRPr="00C743FB">
        <w:rPr>
          <w:rFonts w:asciiTheme="minorHAnsi" w:hAnsiTheme="minorHAnsi" w:cstheme="minorHAnsi"/>
          <w:i/>
          <w:sz w:val="22"/>
          <w:szCs w:val="22"/>
        </w:rPr>
        <w:t xml:space="preserve">NJ </w:t>
      </w:r>
      <w:r w:rsidRPr="00C743FB">
        <w:rPr>
          <w:rFonts w:asciiTheme="minorHAnsi" w:hAnsiTheme="minorHAnsi" w:cstheme="minorHAnsi"/>
          <w:sz w:val="22"/>
          <w:szCs w:val="22"/>
        </w:rPr>
        <w:t>1996, 471, noot 10</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A</w:t>
      </w:r>
      <w:r w:rsidR="003F750A" w:rsidRPr="00C743FB">
        <w:rPr>
          <w:rFonts w:asciiTheme="minorHAnsi" w:hAnsiTheme="minorHAnsi" w:cstheme="minorHAnsi"/>
          <w:b w:val="0"/>
          <w:sz w:val="22"/>
          <w:szCs w:val="22"/>
        </w:rPr>
        <w:t>.S.</w:t>
      </w:r>
      <w:r w:rsidRPr="00C743FB">
        <w:rPr>
          <w:rFonts w:asciiTheme="minorHAnsi" w:hAnsiTheme="minorHAnsi" w:cstheme="minorHAnsi"/>
          <w:b w:val="0"/>
          <w:sz w:val="22"/>
          <w:szCs w:val="22"/>
        </w:rPr>
        <w:t xml:space="preserve"> </w:t>
      </w:r>
      <w:proofErr w:type="spellStart"/>
      <w:r w:rsidRPr="00C743FB">
        <w:rPr>
          <w:rFonts w:asciiTheme="minorHAnsi" w:hAnsiTheme="minorHAnsi" w:cstheme="minorHAnsi"/>
          <w:b w:val="0"/>
          <w:sz w:val="22"/>
          <w:szCs w:val="22"/>
        </w:rPr>
        <w:t>Hartkamp</w:t>
      </w:r>
      <w:proofErr w:type="spellEnd"/>
      <w:r w:rsidRPr="00C743FB">
        <w:rPr>
          <w:rFonts w:asciiTheme="minorHAnsi" w:hAnsiTheme="minorHAnsi" w:cstheme="minorHAnsi"/>
          <w:b w:val="0"/>
          <w:sz w:val="22"/>
          <w:szCs w:val="22"/>
        </w:rPr>
        <w:t>, ‘</w:t>
      </w:r>
      <w:proofErr w:type="spellStart"/>
      <w:r w:rsidRPr="00C743FB">
        <w:rPr>
          <w:rFonts w:asciiTheme="minorHAnsi" w:hAnsiTheme="minorHAnsi" w:cstheme="minorHAnsi"/>
          <w:b w:val="0"/>
          <w:sz w:val="22"/>
          <w:szCs w:val="22"/>
        </w:rPr>
        <w:t>Sproncassatie</w:t>
      </w:r>
      <w:proofErr w:type="spellEnd"/>
      <w:r w:rsidRPr="00C743FB">
        <w:rPr>
          <w:rFonts w:asciiTheme="minorHAnsi" w:hAnsiTheme="minorHAnsi" w:cstheme="minorHAnsi"/>
          <w:b w:val="0"/>
          <w:sz w:val="22"/>
          <w:szCs w:val="22"/>
        </w:rPr>
        <w:t xml:space="preserve"> / stil pandrecht op vorderingen / rechtspositie stille pandhouder ten aanzien van hetgeen ter voldoening verpande vorderingen is betaal...’, </w:t>
      </w:r>
      <w:r w:rsidRPr="00C743FB">
        <w:rPr>
          <w:rFonts w:asciiTheme="minorHAnsi" w:hAnsiTheme="minorHAnsi" w:cstheme="minorHAnsi"/>
          <w:b w:val="0"/>
          <w:i/>
          <w:sz w:val="22"/>
          <w:szCs w:val="22"/>
        </w:rPr>
        <w:t>NJ</w:t>
      </w:r>
      <w:r w:rsidRPr="00C743FB">
        <w:rPr>
          <w:rFonts w:asciiTheme="minorHAnsi" w:hAnsiTheme="minorHAnsi" w:cstheme="minorHAnsi"/>
          <w:b w:val="0"/>
          <w:sz w:val="22"/>
          <w:szCs w:val="22"/>
        </w:rPr>
        <w:t xml:space="preserve"> 1996, 471, noot 10.</w:t>
      </w:r>
    </w:p>
    <w:p w:rsidR="0025313E" w:rsidRPr="00C743FB" w:rsidRDefault="0025313E" w:rsidP="0025313E">
      <w:pPr>
        <w:pStyle w:val="Voetnoottekst"/>
        <w:numPr>
          <w:ilvl w:val="0"/>
          <w:numId w:val="16"/>
        </w:numPr>
        <w:jc w:val="left"/>
        <w:rPr>
          <w:rFonts w:asciiTheme="minorHAnsi" w:hAnsiTheme="minorHAnsi" w:cstheme="minorHAnsi"/>
          <w:sz w:val="22"/>
          <w:szCs w:val="22"/>
        </w:rPr>
      </w:pPr>
      <w:proofErr w:type="spellStart"/>
      <w:r w:rsidRPr="00C743FB">
        <w:rPr>
          <w:rFonts w:asciiTheme="minorHAnsi" w:hAnsiTheme="minorHAnsi" w:cstheme="minorHAnsi"/>
          <w:sz w:val="22"/>
          <w:szCs w:val="22"/>
        </w:rPr>
        <w:t>Hartkamp</w:t>
      </w:r>
      <w:proofErr w:type="spellEnd"/>
      <w:r w:rsidRPr="00C743FB">
        <w:rPr>
          <w:rFonts w:asciiTheme="minorHAnsi" w:hAnsiTheme="minorHAnsi" w:cstheme="minorHAnsi"/>
          <w:sz w:val="22"/>
          <w:szCs w:val="22"/>
        </w:rPr>
        <w:t xml:space="preserve"> en </w:t>
      </w:r>
      <w:proofErr w:type="spellStart"/>
      <w:r w:rsidRPr="00C743FB">
        <w:rPr>
          <w:rFonts w:asciiTheme="minorHAnsi" w:hAnsiTheme="minorHAnsi" w:cstheme="minorHAnsi"/>
          <w:sz w:val="22"/>
          <w:szCs w:val="22"/>
        </w:rPr>
        <w:t>Sieburgh</w:t>
      </w:r>
      <w:proofErr w:type="spellEnd"/>
      <w:r w:rsidRPr="00C743FB">
        <w:rPr>
          <w:rFonts w:asciiTheme="minorHAnsi" w:hAnsiTheme="minorHAnsi" w:cstheme="minorHAnsi"/>
          <w:sz w:val="22"/>
          <w:szCs w:val="22"/>
        </w:rPr>
        <w:t xml:space="preserve">, </w:t>
      </w:r>
      <w:r w:rsidRPr="00C743FB">
        <w:rPr>
          <w:rFonts w:asciiTheme="minorHAnsi" w:hAnsiTheme="minorHAnsi" w:cstheme="minorHAnsi"/>
          <w:i/>
          <w:sz w:val="22"/>
          <w:szCs w:val="22"/>
        </w:rPr>
        <w:t>Asser/</w:t>
      </w:r>
      <w:proofErr w:type="spellStart"/>
      <w:r w:rsidRPr="00C743FB">
        <w:rPr>
          <w:rFonts w:asciiTheme="minorHAnsi" w:hAnsiTheme="minorHAnsi" w:cstheme="minorHAnsi"/>
          <w:i/>
          <w:sz w:val="22"/>
          <w:szCs w:val="22"/>
        </w:rPr>
        <w:t>Hartkamp</w:t>
      </w:r>
      <w:proofErr w:type="spellEnd"/>
      <w:r w:rsidRPr="00C743FB">
        <w:rPr>
          <w:rFonts w:asciiTheme="minorHAnsi" w:hAnsiTheme="minorHAnsi" w:cstheme="minorHAnsi"/>
          <w:i/>
          <w:sz w:val="22"/>
          <w:szCs w:val="22"/>
        </w:rPr>
        <w:t xml:space="preserve"> &amp; </w:t>
      </w:r>
      <w:proofErr w:type="spellStart"/>
      <w:r w:rsidRPr="00C743FB">
        <w:rPr>
          <w:rFonts w:asciiTheme="minorHAnsi" w:hAnsiTheme="minorHAnsi" w:cstheme="minorHAnsi"/>
          <w:i/>
          <w:sz w:val="22"/>
          <w:szCs w:val="22"/>
        </w:rPr>
        <w:t>Sieburgh</w:t>
      </w:r>
      <w:proofErr w:type="spellEnd"/>
      <w:r w:rsidRPr="00C743FB">
        <w:rPr>
          <w:rFonts w:asciiTheme="minorHAnsi" w:hAnsiTheme="minorHAnsi" w:cstheme="minorHAnsi"/>
          <w:sz w:val="22"/>
          <w:szCs w:val="22"/>
        </w:rPr>
        <w:t xml:space="preserve"> 6-II 2013/250</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A.S. </w:t>
      </w:r>
      <w:proofErr w:type="spellStart"/>
      <w:r w:rsidRPr="00C743FB">
        <w:rPr>
          <w:rFonts w:asciiTheme="minorHAnsi" w:hAnsiTheme="minorHAnsi" w:cstheme="minorHAnsi"/>
          <w:b w:val="0"/>
          <w:sz w:val="22"/>
          <w:szCs w:val="22"/>
        </w:rPr>
        <w:t>Hartkamp</w:t>
      </w:r>
      <w:proofErr w:type="spellEnd"/>
      <w:r w:rsidRPr="00C743FB">
        <w:rPr>
          <w:rFonts w:asciiTheme="minorHAnsi" w:hAnsiTheme="minorHAnsi" w:cstheme="minorHAnsi"/>
          <w:b w:val="0"/>
          <w:sz w:val="22"/>
          <w:szCs w:val="22"/>
        </w:rPr>
        <w:t xml:space="preserve"> en C.H. </w:t>
      </w:r>
      <w:proofErr w:type="spellStart"/>
      <w:r w:rsidRPr="00C743FB">
        <w:rPr>
          <w:rFonts w:asciiTheme="minorHAnsi" w:hAnsiTheme="minorHAnsi" w:cstheme="minorHAnsi"/>
          <w:b w:val="0"/>
          <w:sz w:val="22"/>
          <w:szCs w:val="22"/>
        </w:rPr>
        <w:t>Sieburgh</w:t>
      </w:r>
      <w:proofErr w:type="spellEnd"/>
      <w:r w:rsidRPr="00C743FB">
        <w:rPr>
          <w:rFonts w:asciiTheme="minorHAnsi" w:hAnsiTheme="minorHAnsi" w:cstheme="minorHAnsi"/>
          <w:b w:val="0"/>
          <w:sz w:val="22"/>
          <w:szCs w:val="22"/>
        </w:rPr>
        <w:t xml:space="preserve">, ‘250 Rekening-courant: verrekening o.g.v. overeenkomst.’, </w:t>
      </w:r>
      <w:r w:rsidRPr="00C743FB">
        <w:rPr>
          <w:rFonts w:asciiTheme="minorHAnsi" w:hAnsiTheme="minorHAnsi" w:cstheme="minorHAnsi"/>
          <w:b w:val="0"/>
          <w:i/>
          <w:sz w:val="22"/>
          <w:szCs w:val="22"/>
        </w:rPr>
        <w:t>Asser/</w:t>
      </w:r>
      <w:proofErr w:type="spellStart"/>
      <w:r w:rsidRPr="00C743FB">
        <w:rPr>
          <w:rFonts w:asciiTheme="minorHAnsi" w:hAnsiTheme="minorHAnsi" w:cstheme="minorHAnsi"/>
          <w:b w:val="0"/>
          <w:i/>
          <w:sz w:val="22"/>
          <w:szCs w:val="22"/>
        </w:rPr>
        <w:t>Hartkamp</w:t>
      </w:r>
      <w:proofErr w:type="spellEnd"/>
      <w:r w:rsidRPr="00C743FB">
        <w:rPr>
          <w:rFonts w:asciiTheme="minorHAnsi" w:hAnsiTheme="minorHAnsi" w:cstheme="minorHAnsi"/>
          <w:b w:val="0"/>
          <w:i/>
          <w:sz w:val="22"/>
          <w:szCs w:val="22"/>
        </w:rPr>
        <w:t xml:space="preserve"> &amp; </w:t>
      </w:r>
      <w:proofErr w:type="spellStart"/>
      <w:r w:rsidRPr="00C743FB">
        <w:rPr>
          <w:rFonts w:asciiTheme="minorHAnsi" w:hAnsiTheme="minorHAnsi" w:cstheme="minorHAnsi"/>
          <w:b w:val="0"/>
          <w:i/>
          <w:sz w:val="22"/>
          <w:szCs w:val="22"/>
        </w:rPr>
        <w:t>Sieburgh</w:t>
      </w:r>
      <w:proofErr w:type="spellEnd"/>
      <w:r w:rsidRPr="00C743FB">
        <w:rPr>
          <w:rFonts w:asciiTheme="minorHAnsi" w:hAnsiTheme="minorHAnsi" w:cstheme="minorHAnsi"/>
          <w:b w:val="0"/>
          <w:sz w:val="22"/>
          <w:szCs w:val="22"/>
        </w:rPr>
        <w:t xml:space="preserve"> 6-II 2013/250.</w:t>
      </w:r>
    </w:p>
    <w:p w:rsidR="0025313E" w:rsidRPr="00C743FB" w:rsidRDefault="0025313E" w:rsidP="0025313E">
      <w:pPr>
        <w:pStyle w:val="Voetnoottekst"/>
        <w:numPr>
          <w:ilvl w:val="0"/>
          <w:numId w:val="16"/>
        </w:numPr>
        <w:jc w:val="left"/>
        <w:rPr>
          <w:rFonts w:asciiTheme="minorHAnsi" w:hAnsiTheme="minorHAnsi" w:cstheme="minorHAnsi"/>
          <w:b w:val="0"/>
          <w:sz w:val="22"/>
          <w:szCs w:val="22"/>
          <w:lang w:val="en-US"/>
        </w:rPr>
      </w:pPr>
      <w:proofErr w:type="spellStart"/>
      <w:r w:rsidRPr="00C743FB">
        <w:rPr>
          <w:rFonts w:asciiTheme="minorHAnsi" w:hAnsiTheme="minorHAnsi" w:cstheme="minorHAnsi"/>
          <w:sz w:val="22"/>
          <w:szCs w:val="22"/>
          <w:lang w:val="en-US"/>
        </w:rPr>
        <w:t>Hijma</w:t>
      </w:r>
      <w:proofErr w:type="spellEnd"/>
      <w:r w:rsidRPr="00C743FB">
        <w:rPr>
          <w:rFonts w:asciiTheme="minorHAnsi" w:hAnsiTheme="minorHAnsi" w:cstheme="minorHAnsi"/>
          <w:sz w:val="22"/>
          <w:szCs w:val="22"/>
          <w:lang w:val="en-US"/>
        </w:rPr>
        <w:t xml:space="preserve">, </w:t>
      </w:r>
      <w:r w:rsidRPr="00C743FB">
        <w:rPr>
          <w:rFonts w:asciiTheme="minorHAnsi" w:hAnsiTheme="minorHAnsi" w:cstheme="minorHAnsi"/>
          <w:i/>
          <w:sz w:val="22"/>
          <w:szCs w:val="22"/>
          <w:lang w:val="en-US"/>
        </w:rPr>
        <w:t>Asser/</w:t>
      </w:r>
      <w:proofErr w:type="spellStart"/>
      <w:r w:rsidRPr="00C743FB">
        <w:rPr>
          <w:rFonts w:asciiTheme="minorHAnsi" w:hAnsiTheme="minorHAnsi" w:cstheme="minorHAnsi"/>
          <w:i/>
          <w:sz w:val="22"/>
          <w:szCs w:val="22"/>
          <w:lang w:val="en-US"/>
        </w:rPr>
        <w:t>Hijma</w:t>
      </w:r>
      <w:proofErr w:type="spellEnd"/>
      <w:r w:rsidRPr="00C743FB">
        <w:rPr>
          <w:rFonts w:asciiTheme="minorHAnsi" w:hAnsiTheme="minorHAnsi" w:cstheme="minorHAnsi"/>
          <w:i/>
          <w:sz w:val="22"/>
          <w:szCs w:val="22"/>
          <w:lang w:val="en-US"/>
        </w:rPr>
        <w:t xml:space="preserve"> </w:t>
      </w:r>
      <w:r w:rsidRPr="00C743FB">
        <w:rPr>
          <w:rFonts w:asciiTheme="minorHAnsi" w:hAnsiTheme="minorHAnsi" w:cstheme="minorHAnsi"/>
          <w:sz w:val="22"/>
          <w:szCs w:val="22"/>
          <w:lang w:val="en-US"/>
        </w:rPr>
        <w:t>5-I 2007/565</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Jac. </w:t>
      </w:r>
      <w:proofErr w:type="spellStart"/>
      <w:r w:rsidRPr="00C743FB">
        <w:rPr>
          <w:rFonts w:asciiTheme="minorHAnsi" w:hAnsiTheme="minorHAnsi" w:cstheme="minorHAnsi"/>
          <w:b w:val="0"/>
          <w:sz w:val="22"/>
          <w:szCs w:val="22"/>
        </w:rPr>
        <w:t>Hijma</w:t>
      </w:r>
      <w:proofErr w:type="spellEnd"/>
      <w:r w:rsidRPr="00C743FB">
        <w:rPr>
          <w:rFonts w:asciiTheme="minorHAnsi" w:hAnsiTheme="minorHAnsi" w:cstheme="minorHAnsi"/>
          <w:b w:val="0"/>
          <w:sz w:val="22"/>
          <w:szCs w:val="22"/>
        </w:rPr>
        <w:t xml:space="preserve">, ‘Betaling van de koopprijs’, </w:t>
      </w:r>
      <w:r w:rsidRPr="00C743FB">
        <w:rPr>
          <w:rFonts w:asciiTheme="minorHAnsi" w:hAnsiTheme="minorHAnsi" w:cstheme="minorHAnsi"/>
          <w:b w:val="0"/>
          <w:i/>
          <w:sz w:val="22"/>
          <w:szCs w:val="22"/>
        </w:rPr>
        <w:t>Asser/</w:t>
      </w:r>
      <w:proofErr w:type="spellStart"/>
      <w:r w:rsidRPr="00C743FB">
        <w:rPr>
          <w:rFonts w:asciiTheme="minorHAnsi" w:hAnsiTheme="minorHAnsi" w:cstheme="minorHAnsi"/>
          <w:b w:val="0"/>
          <w:i/>
          <w:sz w:val="22"/>
          <w:szCs w:val="22"/>
        </w:rPr>
        <w:t>Hijma</w:t>
      </w:r>
      <w:proofErr w:type="spellEnd"/>
      <w:r w:rsidRPr="00C743FB">
        <w:rPr>
          <w:rFonts w:asciiTheme="minorHAnsi" w:hAnsiTheme="minorHAnsi" w:cstheme="minorHAnsi"/>
          <w:b w:val="0"/>
          <w:sz w:val="22"/>
          <w:szCs w:val="22"/>
        </w:rPr>
        <w:t xml:space="preserve"> 5-I 2007/565.</w:t>
      </w:r>
    </w:p>
    <w:p w:rsidR="0025313E" w:rsidRPr="00C743FB" w:rsidRDefault="0025313E" w:rsidP="0025313E">
      <w:pPr>
        <w:pStyle w:val="Voetnoottekst"/>
        <w:numPr>
          <w:ilvl w:val="0"/>
          <w:numId w:val="16"/>
        </w:numPr>
        <w:jc w:val="left"/>
        <w:rPr>
          <w:rFonts w:asciiTheme="minorHAnsi" w:hAnsiTheme="minorHAnsi" w:cstheme="minorHAnsi"/>
          <w:i/>
          <w:sz w:val="22"/>
          <w:szCs w:val="22"/>
        </w:rPr>
      </w:pPr>
      <w:proofErr w:type="spellStart"/>
      <w:r w:rsidRPr="00C743FB">
        <w:rPr>
          <w:rFonts w:asciiTheme="minorHAnsi" w:hAnsiTheme="minorHAnsi" w:cstheme="minorHAnsi"/>
          <w:sz w:val="22"/>
          <w:szCs w:val="22"/>
        </w:rPr>
        <w:t>Houdijk</w:t>
      </w:r>
      <w:proofErr w:type="spellEnd"/>
      <w:r w:rsidRPr="00C743FB">
        <w:rPr>
          <w:rFonts w:asciiTheme="minorHAnsi" w:hAnsiTheme="minorHAnsi" w:cstheme="minorHAnsi"/>
          <w:sz w:val="22"/>
          <w:szCs w:val="22"/>
        </w:rPr>
        <w:t xml:space="preserve"> en </w:t>
      </w:r>
      <w:proofErr w:type="spellStart"/>
      <w:r w:rsidRPr="00C743FB">
        <w:rPr>
          <w:rFonts w:asciiTheme="minorHAnsi" w:hAnsiTheme="minorHAnsi" w:cstheme="minorHAnsi"/>
          <w:sz w:val="22"/>
          <w:szCs w:val="22"/>
        </w:rPr>
        <w:t>Breeman</w:t>
      </w:r>
      <w:proofErr w:type="spellEnd"/>
      <w:r w:rsidRPr="00C743FB">
        <w:rPr>
          <w:rFonts w:asciiTheme="minorHAnsi" w:hAnsiTheme="minorHAnsi" w:cstheme="minorHAnsi"/>
          <w:sz w:val="22"/>
          <w:szCs w:val="22"/>
        </w:rPr>
        <w:t xml:space="preserve">, </w:t>
      </w:r>
      <w:r w:rsidRPr="00C743FB">
        <w:rPr>
          <w:rFonts w:asciiTheme="minorHAnsi" w:hAnsiTheme="minorHAnsi" w:cstheme="minorHAnsi"/>
          <w:i/>
          <w:sz w:val="22"/>
          <w:szCs w:val="22"/>
        </w:rPr>
        <w:t>TFZI</w:t>
      </w:r>
      <w:r w:rsidRPr="00C743FB">
        <w:rPr>
          <w:rFonts w:asciiTheme="minorHAnsi" w:hAnsiTheme="minorHAnsi" w:cstheme="minorHAnsi"/>
          <w:sz w:val="22"/>
          <w:szCs w:val="22"/>
        </w:rPr>
        <w:t xml:space="preserve"> 2016, p. 41</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S. </w:t>
      </w:r>
      <w:proofErr w:type="spellStart"/>
      <w:r w:rsidRPr="00C743FB">
        <w:rPr>
          <w:rFonts w:asciiTheme="minorHAnsi" w:hAnsiTheme="minorHAnsi" w:cstheme="minorHAnsi"/>
          <w:b w:val="0"/>
          <w:sz w:val="22"/>
          <w:szCs w:val="22"/>
        </w:rPr>
        <w:t>Houdijk</w:t>
      </w:r>
      <w:proofErr w:type="spellEnd"/>
      <w:r w:rsidRPr="00C743FB">
        <w:rPr>
          <w:rFonts w:asciiTheme="minorHAnsi" w:hAnsiTheme="minorHAnsi" w:cstheme="minorHAnsi"/>
          <w:b w:val="0"/>
          <w:sz w:val="22"/>
          <w:szCs w:val="22"/>
        </w:rPr>
        <w:t xml:space="preserve"> en M.S. </w:t>
      </w:r>
      <w:proofErr w:type="spellStart"/>
      <w:r w:rsidRPr="00C743FB">
        <w:rPr>
          <w:rFonts w:asciiTheme="minorHAnsi" w:hAnsiTheme="minorHAnsi" w:cstheme="minorHAnsi"/>
          <w:b w:val="0"/>
          <w:sz w:val="22"/>
          <w:szCs w:val="22"/>
        </w:rPr>
        <w:t>Breeman</w:t>
      </w:r>
      <w:proofErr w:type="spellEnd"/>
      <w:r w:rsidRPr="00C743FB">
        <w:rPr>
          <w:rFonts w:asciiTheme="minorHAnsi" w:hAnsiTheme="minorHAnsi" w:cstheme="minorHAnsi"/>
          <w:b w:val="0"/>
          <w:sz w:val="22"/>
          <w:szCs w:val="22"/>
        </w:rPr>
        <w:t xml:space="preserve">, ‘De reikwijdte van de (innings)bevoegdheid van de openbare pandhouder’, </w:t>
      </w:r>
      <w:r w:rsidRPr="00C743FB">
        <w:rPr>
          <w:rFonts w:asciiTheme="minorHAnsi" w:hAnsiTheme="minorHAnsi" w:cstheme="minorHAnsi"/>
          <w:b w:val="0"/>
          <w:i/>
          <w:sz w:val="22"/>
          <w:szCs w:val="22"/>
        </w:rPr>
        <w:t>Tijdschrift Financiering, Zekerheden en Insolventie rechtspraktijk</w:t>
      </w:r>
      <w:r w:rsidRPr="00C743FB">
        <w:rPr>
          <w:rFonts w:asciiTheme="minorHAnsi" w:hAnsiTheme="minorHAnsi" w:cstheme="minorHAnsi"/>
          <w:b w:val="0"/>
          <w:sz w:val="22"/>
          <w:szCs w:val="22"/>
        </w:rPr>
        <w:t xml:space="preserve"> 2016, p. 41.</w:t>
      </w:r>
    </w:p>
    <w:p w:rsidR="0025313E" w:rsidRPr="00C743FB" w:rsidRDefault="0025313E" w:rsidP="0025313E">
      <w:pPr>
        <w:pStyle w:val="Voetnoottekst"/>
        <w:numPr>
          <w:ilvl w:val="0"/>
          <w:numId w:val="16"/>
        </w:numPr>
        <w:jc w:val="left"/>
        <w:rPr>
          <w:rFonts w:asciiTheme="minorHAnsi" w:hAnsiTheme="minorHAnsi" w:cstheme="minorHAnsi"/>
          <w:sz w:val="22"/>
          <w:szCs w:val="22"/>
        </w:rPr>
      </w:pPr>
      <w:proofErr w:type="spellStart"/>
      <w:r w:rsidRPr="00C743FB">
        <w:rPr>
          <w:rFonts w:asciiTheme="minorHAnsi" w:hAnsiTheme="minorHAnsi" w:cstheme="minorHAnsi"/>
          <w:sz w:val="22"/>
          <w:szCs w:val="22"/>
        </w:rPr>
        <w:t>Keirse</w:t>
      </w:r>
      <w:proofErr w:type="spellEnd"/>
      <w:r w:rsidRPr="00C743FB">
        <w:rPr>
          <w:rFonts w:asciiTheme="minorHAnsi" w:hAnsiTheme="minorHAnsi" w:cstheme="minorHAnsi"/>
          <w:sz w:val="22"/>
          <w:szCs w:val="22"/>
        </w:rPr>
        <w:t xml:space="preserve"> en </w:t>
      </w:r>
      <w:proofErr w:type="spellStart"/>
      <w:r w:rsidRPr="00C743FB">
        <w:rPr>
          <w:rFonts w:asciiTheme="minorHAnsi" w:hAnsiTheme="minorHAnsi" w:cstheme="minorHAnsi"/>
          <w:sz w:val="22"/>
          <w:szCs w:val="22"/>
        </w:rPr>
        <w:t>Beukersn</w:t>
      </w:r>
      <w:proofErr w:type="spellEnd"/>
      <w:r w:rsidRPr="00C743FB">
        <w:rPr>
          <w:rFonts w:asciiTheme="minorHAnsi" w:hAnsiTheme="minorHAnsi" w:cstheme="minorHAnsi"/>
          <w:sz w:val="22"/>
          <w:szCs w:val="22"/>
        </w:rPr>
        <w:t xml:space="preserve">, </w:t>
      </w:r>
      <w:r w:rsidRPr="00C743FB">
        <w:rPr>
          <w:rFonts w:asciiTheme="minorHAnsi" w:hAnsiTheme="minorHAnsi" w:cstheme="minorHAnsi"/>
          <w:i/>
          <w:sz w:val="22"/>
          <w:szCs w:val="22"/>
        </w:rPr>
        <w:t>GS</w:t>
      </w:r>
      <w:r w:rsidRPr="00C743FB">
        <w:rPr>
          <w:rFonts w:asciiTheme="minorHAnsi" w:hAnsiTheme="minorHAnsi" w:cstheme="minorHAnsi"/>
          <w:sz w:val="22"/>
          <w:szCs w:val="22"/>
        </w:rPr>
        <w:t xml:space="preserve"> 2010, </w:t>
      </w:r>
      <w:proofErr w:type="spellStart"/>
      <w:r w:rsidRPr="00C743FB">
        <w:rPr>
          <w:rFonts w:asciiTheme="minorHAnsi" w:hAnsiTheme="minorHAnsi" w:cstheme="minorHAnsi"/>
          <w:sz w:val="22"/>
          <w:szCs w:val="22"/>
        </w:rPr>
        <w:t>aant</w:t>
      </w:r>
      <w:proofErr w:type="spellEnd"/>
      <w:r w:rsidRPr="00C743FB">
        <w:rPr>
          <w:rFonts w:asciiTheme="minorHAnsi" w:hAnsiTheme="minorHAnsi" w:cstheme="minorHAnsi"/>
          <w:sz w:val="22"/>
          <w:szCs w:val="22"/>
        </w:rPr>
        <w:t>. 88</w:t>
      </w:r>
    </w:p>
    <w:p w:rsidR="0025313E" w:rsidRPr="00C743FB" w:rsidRDefault="0025313E" w:rsidP="0025313E">
      <w:pPr>
        <w:pStyle w:val="Voetnoottekst"/>
        <w:ind w:left="720"/>
        <w:jc w:val="left"/>
        <w:rPr>
          <w:rFonts w:asciiTheme="minorHAnsi" w:hAnsiTheme="minorHAnsi" w:cstheme="minorHAnsi"/>
          <w:b w:val="0"/>
          <w:sz w:val="22"/>
          <w:szCs w:val="22"/>
          <w:shd w:val="clear" w:color="auto" w:fill="FFFFFF"/>
        </w:rPr>
      </w:pPr>
      <w:r w:rsidRPr="00C743FB">
        <w:rPr>
          <w:rFonts w:asciiTheme="minorHAnsi" w:hAnsiTheme="minorHAnsi" w:cstheme="minorHAnsi"/>
          <w:b w:val="0"/>
          <w:sz w:val="22"/>
          <w:szCs w:val="22"/>
          <w:shd w:val="clear" w:color="auto" w:fill="FFFFFF"/>
        </w:rPr>
        <w:t xml:space="preserve">A.L.M. </w:t>
      </w:r>
      <w:proofErr w:type="spellStart"/>
      <w:r w:rsidRPr="00C743FB">
        <w:rPr>
          <w:rFonts w:asciiTheme="minorHAnsi" w:hAnsiTheme="minorHAnsi" w:cstheme="minorHAnsi"/>
          <w:b w:val="0"/>
          <w:sz w:val="22"/>
          <w:szCs w:val="22"/>
          <w:shd w:val="clear" w:color="auto" w:fill="FFFFFF"/>
        </w:rPr>
        <w:t>Keirse</w:t>
      </w:r>
      <w:proofErr w:type="spellEnd"/>
      <w:r w:rsidRPr="00C743FB">
        <w:rPr>
          <w:rFonts w:asciiTheme="minorHAnsi" w:hAnsiTheme="minorHAnsi" w:cstheme="minorHAnsi"/>
          <w:b w:val="0"/>
          <w:sz w:val="22"/>
          <w:szCs w:val="22"/>
          <w:shd w:val="clear" w:color="auto" w:fill="FFFFFF"/>
        </w:rPr>
        <w:t xml:space="preserve"> en Y.E.M. Beukers, ‘Begrip 'beschikkingsbevoegdheid'’, </w:t>
      </w:r>
      <w:r w:rsidRPr="00C743FB">
        <w:rPr>
          <w:rFonts w:asciiTheme="minorHAnsi" w:hAnsiTheme="minorHAnsi" w:cstheme="minorHAnsi"/>
          <w:b w:val="0"/>
          <w:i/>
          <w:sz w:val="22"/>
          <w:szCs w:val="22"/>
          <w:shd w:val="clear" w:color="auto" w:fill="FFFFFF"/>
        </w:rPr>
        <w:t xml:space="preserve">GS Vermogensrecht </w:t>
      </w:r>
      <w:r w:rsidRPr="00C743FB">
        <w:rPr>
          <w:rFonts w:asciiTheme="minorHAnsi" w:hAnsiTheme="minorHAnsi" w:cstheme="minorHAnsi"/>
          <w:b w:val="0"/>
          <w:sz w:val="22"/>
          <w:szCs w:val="22"/>
          <w:shd w:val="clear" w:color="auto" w:fill="FFFFFF"/>
        </w:rPr>
        <w:t xml:space="preserve">2010, </w:t>
      </w:r>
      <w:proofErr w:type="spellStart"/>
      <w:r w:rsidRPr="00C743FB">
        <w:rPr>
          <w:rFonts w:asciiTheme="minorHAnsi" w:hAnsiTheme="minorHAnsi" w:cstheme="minorHAnsi"/>
          <w:b w:val="0"/>
          <w:sz w:val="22"/>
          <w:szCs w:val="22"/>
          <w:shd w:val="clear" w:color="auto" w:fill="FFFFFF"/>
        </w:rPr>
        <w:t>aant</w:t>
      </w:r>
      <w:proofErr w:type="spellEnd"/>
      <w:r w:rsidRPr="00C743FB">
        <w:rPr>
          <w:rFonts w:asciiTheme="minorHAnsi" w:hAnsiTheme="minorHAnsi" w:cstheme="minorHAnsi"/>
          <w:b w:val="0"/>
          <w:sz w:val="22"/>
          <w:szCs w:val="22"/>
          <w:shd w:val="clear" w:color="auto" w:fill="FFFFFF"/>
        </w:rPr>
        <w:t xml:space="preserve">. 88. </w:t>
      </w:r>
    </w:p>
    <w:p w:rsidR="0025313E" w:rsidRPr="00C743FB" w:rsidRDefault="0025313E" w:rsidP="0025313E">
      <w:pPr>
        <w:pStyle w:val="Voetnoottekst"/>
        <w:numPr>
          <w:ilvl w:val="0"/>
          <w:numId w:val="16"/>
        </w:numPr>
        <w:jc w:val="left"/>
        <w:rPr>
          <w:rFonts w:asciiTheme="minorHAnsi" w:hAnsiTheme="minorHAnsi" w:cstheme="minorHAnsi"/>
          <w:sz w:val="22"/>
          <w:szCs w:val="22"/>
        </w:rPr>
      </w:pPr>
      <w:proofErr w:type="spellStart"/>
      <w:r w:rsidRPr="00C743FB">
        <w:rPr>
          <w:rFonts w:asciiTheme="minorHAnsi" w:hAnsiTheme="minorHAnsi" w:cstheme="minorHAnsi"/>
          <w:sz w:val="22"/>
          <w:szCs w:val="22"/>
        </w:rPr>
        <w:t>Keirse</w:t>
      </w:r>
      <w:proofErr w:type="spellEnd"/>
      <w:r w:rsidRPr="00C743FB">
        <w:rPr>
          <w:rFonts w:asciiTheme="minorHAnsi" w:hAnsiTheme="minorHAnsi" w:cstheme="minorHAnsi"/>
          <w:sz w:val="22"/>
          <w:szCs w:val="22"/>
        </w:rPr>
        <w:t xml:space="preserve"> en </w:t>
      </w:r>
      <w:proofErr w:type="spellStart"/>
      <w:r w:rsidRPr="00C743FB">
        <w:rPr>
          <w:rFonts w:asciiTheme="minorHAnsi" w:hAnsiTheme="minorHAnsi" w:cstheme="minorHAnsi"/>
          <w:sz w:val="22"/>
          <w:szCs w:val="22"/>
        </w:rPr>
        <w:t>Beukersn</w:t>
      </w:r>
      <w:proofErr w:type="spellEnd"/>
      <w:r w:rsidRPr="00C743FB">
        <w:rPr>
          <w:rFonts w:asciiTheme="minorHAnsi" w:hAnsiTheme="minorHAnsi" w:cstheme="minorHAnsi"/>
          <w:sz w:val="22"/>
          <w:szCs w:val="22"/>
        </w:rPr>
        <w:t xml:space="preserve">, </w:t>
      </w:r>
      <w:r w:rsidRPr="00C743FB">
        <w:rPr>
          <w:rFonts w:asciiTheme="minorHAnsi" w:hAnsiTheme="minorHAnsi" w:cstheme="minorHAnsi"/>
          <w:i/>
          <w:sz w:val="22"/>
          <w:szCs w:val="22"/>
        </w:rPr>
        <w:t>GS</w:t>
      </w:r>
      <w:r w:rsidRPr="00C743FB">
        <w:rPr>
          <w:rFonts w:asciiTheme="minorHAnsi" w:hAnsiTheme="minorHAnsi" w:cstheme="minorHAnsi"/>
          <w:sz w:val="22"/>
          <w:szCs w:val="22"/>
        </w:rPr>
        <w:t xml:space="preserve"> 2010, </w:t>
      </w:r>
      <w:proofErr w:type="spellStart"/>
      <w:r w:rsidRPr="00C743FB">
        <w:rPr>
          <w:rFonts w:asciiTheme="minorHAnsi" w:hAnsiTheme="minorHAnsi" w:cstheme="minorHAnsi"/>
          <w:sz w:val="22"/>
          <w:szCs w:val="22"/>
        </w:rPr>
        <w:t>aant</w:t>
      </w:r>
      <w:proofErr w:type="spellEnd"/>
      <w:r w:rsidRPr="00C743FB">
        <w:rPr>
          <w:rFonts w:asciiTheme="minorHAnsi" w:hAnsiTheme="minorHAnsi" w:cstheme="minorHAnsi"/>
          <w:sz w:val="22"/>
          <w:szCs w:val="22"/>
        </w:rPr>
        <w:t>. 90.4</w:t>
      </w:r>
    </w:p>
    <w:p w:rsidR="0025313E" w:rsidRPr="00C743FB" w:rsidRDefault="0025313E" w:rsidP="0025313E">
      <w:pPr>
        <w:pStyle w:val="Voetnoottekst"/>
        <w:ind w:left="720"/>
        <w:jc w:val="left"/>
        <w:rPr>
          <w:rFonts w:asciiTheme="minorHAnsi" w:hAnsiTheme="minorHAnsi" w:cstheme="minorHAnsi"/>
          <w:b w:val="0"/>
          <w:sz w:val="22"/>
          <w:szCs w:val="22"/>
          <w:shd w:val="clear" w:color="auto" w:fill="FFFFFF"/>
        </w:rPr>
      </w:pPr>
      <w:r w:rsidRPr="00C743FB">
        <w:rPr>
          <w:rFonts w:asciiTheme="minorHAnsi" w:hAnsiTheme="minorHAnsi" w:cstheme="minorHAnsi"/>
          <w:b w:val="0"/>
          <w:sz w:val="22"/>
          <w:szCs w:val="22"/>
          <w:shd w:val="clear" w:color="auto" w:fill="FFFFFF"/>
        </w:rPr>
        <w:t xml:space="preserve">A.L.M. </w:t>
      </w:r>
      <w:proofErr w:type="spellStart"/>
      <w:r w:rsidRPr="00C743FB">
        <w:rPr>
          <w:rFonts w:asciiTheme="minorHAnsi" w:hAnsiTheme="minorHAnsi" w:cstheme="minorHAnsi"/>
          <w:b w:val="0"/>
          <w:sz w:val="22"/>
          <w:szCs w:val="22"/>
          <w:shd w:val="clear" w:color="auto" w:fill="FFFFFF"/>
        </w:rPr>
        <w:t>Keirse</w:t>
      </w:r>
      <w:proofErr w:type="spellEnd"/>
      <w:r w:rsidRPr="00C743FB">
        <w:rPr>
          <w:rFonts w:asciiTheme="minorHAnsi" w:hAnsiTheme="minorHAnsi" w:cstheme="minorHAnsi"/>
          <w:b w:val="0"/>
          <w:sz w:val="22"/>
          <w:szCs w:val="22"/>
          <w:shd w:val="clear" w:color="auto" w:fill="FFFFFF"/>
        </w:rPr>
        <w:t xml:space="preserve"> en Y.E.M. Beukers, ‘Gevallen waarin de rechthebbende niet beschikkingsbevoegd is’, </w:t>
      </w:r>
      <w:r w:rsidRPr="00C743FB">
        <w:rPr>
          <w:rFonts w:asciiTheme="minorHAnsi" w:hAnsiTheme="minorHAnsi" w:cstheme="minorHAnsi"/>
          <w:b w:val="0"/>
          <w:i/>
          <w:sz w:val="22"/>
          <w:szCs w:val="22"/>
          <w:shd w:val="clear" w:color="auto" w:fill="FFFFFF"/>
        </w:rPr>
        <w:t xml:space="preserve">GS Vermogensrecht </w:t>
      </w:r>
      <w:r w:rsidRPr="00C743FB">
        <w:rPr>
          <w:rFonts w:asciiTheme="minorHAnsi" w:hAnsiTheme="minorHAnsi" w:cstheme="minorHAnsi"/>
          <w:b w:val="0"/>
          <w:sz w:val="22"/>
          <w:szCs w:val="22"/>
          <w:shd w:val="clear" w:color="auto" w:fill="FFFFFF"/>
        </w:rPr>
        <w:t xml:space="preserve">2010, </w:t>
      </w:r>
      <w:proofErr w:type="spellStart"/>
      <w:r w:rsidRPr="00C743FB">
        <w:rPr>
          <w:rFonts w:asciiTheme="minorHAnsi" w:hAnsiTheme="minorHAnsi" w:cstheme="minorHAnsi"/>
          <w:b w:val="0"/>
          <w:sz w:val="22"/>
          <w:szCs w:val="22"/>
          <w:shd w:val="clear" w:color="auto" w:fill="FFFFFF"/>
        </w:rPr>
        <w:t>aant</w:t>
      </w:r>
      <w:proofErr w:type="spellEnd"/>
      <w:r w:rsidRPr="00C743FB">
        <w:rPr>
          <w:rFonts w:asciiTheme="minorHAnsi" w:hAnsiTheme="minorHAnsi" w:cstheme="minorHAnsi"/>
          <w:b w:val="0"/>
          <w:sz w:val="22"/>
          <w:szCs w:val="22"/>
          <w:shd w:val="clear" w:color="auto" w:fill="FFFFFF"/>
        </w:rPr>
        <w:t>. 90.4.</w:t>
      </w:r>
    </w:p>
    <w:p w:rsidR="0025313E" w:rsidRPr="00C743FB" w:rsidRDefault="0025313E" w:rsidP="0025313E">
      <w:pPr>
        <w:pStyle w:val="Voetnoottekst"/>
        <w:numPr>
          <w:ilvl w:val="0"/>
          <w:numId w:val="16"/>
        </w:numPr>
        <w:jc w:val="left"/>
        <w:rPr>
          <w:rFonts w:asciiTheme="minorHAnsi" w:hAnsiTheme="minorHAnsi" w:cstheme="minorHAnsi"/>
          <w:b w:val="0"/>
          <w:sz w:val="22"/>
          <w:szCs w:val="22"/>
          <w:shd w:val="clear" w:color="auto" w:fill="FFFFFF"/>
        </w:rPr>
      </w:pPr>
      <w:r w:rsidRPr="00C743FB">
        <w:rPr>
          <w:rFonts w:asciiTheme="minorHAnsi" w:hAnsiTheme="minorHAnsi" w:cstheme="minorHAnsi"/>
          <w:sz w:val="22"/>
          <w:szCs w:val="22"/>
          <w:shd w:val="clear" w:color="auto" w:fill="FFFFFF"/>
        </w:rPr>
        <w:t xml:space="preserve">Klomp, </w:t>
      </w:r>
      <w:r w:rsidRPr="00C743FB">
        <w:rPr>
          <w:rFonts w:asciiTheme="minorHAnsi" w:hAnsiTheme="minorHAnsi" w:cstheme="minorHAnsi"/>
          <w:i/>
          <w:sz w:val="22"/>
          <w:szCs w:val="22"/>
          <w:shd w:val="clear" w:color="auto" w:fill="FFFFFF"/>
        </w:rPr>
        <w:t xml:space="preserve">GS </w:t>
      </w:r>
      <w:r w:rsidRPr="00C743FB">
        <w:rPr>
          <w:rFonts w:asciiTheme="minorHAnsi" w:hAnsiTheme="minorHAnsi" w:cstheme="minorHAnsi"/>
          <w:sz w:val="22"/>
          <w:szCs w:val="22"/>
          <w:shd w:val="clear" w:color="auto" w:fill="FFFFFF"/>
        </w:rPr>
        <w:t xml:space="preserve">2009, </w:t>
      </w:r>
      <w:proofErr w:type="spellStart"/>
      <w:r w:rsidRPr="00C743FB">
        <w:rPr>
          <w:rFonts w:asciiTheme="minorHAnsi" w:hAnsiTheme="minorHAnsi" w:cstheme="minorHAnsi"/>
          <w:sz w:val="22"/>
          <w:szCs w:val="22"/>
          <w:shd w:val="clear" w:color="auto" w:fill="FFFFFF"/>
        </w:rPr>
        <w:t>aant</w:t>
      </w:r>
      <w:proofErr w:type="spellEnd"/>
      <w:r w:rsidRPr="00C743FB">
        <w:rPr>
          <w:rFonts w:asciiTheme="minorHAnsi" w:hAnsiTheme="minorHAnsi" w:cstheme="minorHAnsi"/>
          <w:sz w:val="22"/>
          <w:szCs w:val="22"/>
          <w:shd w:val="clear" w:color="auto" w:fill="FFFFFF"/>
        </w:rPr>
        <w:t>. 1</w:t>
      </w:r>
    </w:p>
    <w:p w:rsidR="0025313E" w:rsidRPr="00C743FB" w:rsidRDefault="0025313E" w:rsidP="0025313E">
      <w:pPr>
        <w:pStyle w:val="Voetnoottekst"/>
        <w:ind w:left="720"/>
        <w:jc w:val="left"/>
        <w:rPr>
          <w:rFonts w:asciiTheme="minorHAnsi" w:hAnsiTheme="minorHAnsi" w:cstheme="minorHAnsi"/>
          <w:b w:val="0"/>
          <w:sz w:val="22"/>
          <w:szCs w:val="22"/>
          <w:shd w:val="clear" w:color="auto" w:fill="FFFFFF"/>
        </w:rPr>
      </w:pPr>
      <w:r w:rsidRPr="00C743FB">
        <w:rPr>
          <w:rFonts w:asciiTheme="minorHAnsi" w:hAnsiTheme="minorHAnsi" w:cstheme="minorHAnsi"/>
          <w:b w:val="0"/>
          <w:sz w:val="22"/>
          <w:szCs w:val="22"/>
          <w:shd w:val="clear" w:color="auto" w:fill="FFFFFF"/>
        </w:rPr>
        <w:t xml:space="preserve">R.J.Q. Klomp, ‘Inleiding’, </w:t>
      </w:r>
      <w:r w:rsidRPr="00C743FB">
        <w:rPr>
          <w:rFonts w:asciiTheme="minorHAnsi" w:hAnsiTheme="minorHAnsi" w:cstheme="minorHAnsi"/>
          <w:b w:val="0"/>
          <w:i/>
          <w:sz w:val="22"/>
          <w:szCs w:val="22"/>
          <w:shd w:val="clear" w:color="auto" w:fill="FFFFFF"/>
        </w:rPr>
        <w:t xml:space="preserve">GS Verbintenissenrecht, artikel 127 Boek 6 BW </w:t>
      </w:r>
      <w:r w:rsidRPr="00C743FB">
        <w:rPr>
          <w:rFonts w:asciiTheme="minorHAnsi" w:hAnsiTheme="minorHAnsi" w:cstheme="minorHAnsi"/>
          <w:b w:val="0"/>
          <w:sz w:val="22"/>
          <w:szCs w:val="22"/>
          <w:shd w:val="clear" w:color="auto" w:fill="FFFFFF"/>
        </w:rPr>
        <w:t xml:space="preserve">2009, </w:t>
      </w:r>
      <w:proofErr w:type="spellStart"/>
      <w:r w:rsidRPr="00C743FB">
        <w:rPr>
          <w:rFonts w:asciiTheme="minorHAnsi" w:hAnsiTheme="minorHAnsi" w:cstheme="minorHAnsi"/>
          <w:b w:val="0"/>
          <w:sz w:val="22"/>
          <w:szCs w:val="22"/>
          <w:shd w:val="clear" w:color="auto" w:fill="FFFFFF"/>
        </w:rPr>
        <w:t>aant</w:t>
      </w:r>
      <w:proofErr w:type="spellEnd"/>
      <w:r w:rsidRPr="00C743FB">
        <w:rPr>
          <w:rFonts w:asciiTheme="minorHAnsi" w:hAnsiTheme="minorHAnsi" w:cstheme="minorHAnsi"/>
          <w:b w:val="0"/>
          <w:sz w:val="22"/>
          <w:szCs w:val="22"/>
          <w:shd w:val="clear" w:color="auto" w:fill="FFFFFF"/>
        </w:rPr>
        <w:t>. 1.</w:t>
      </w:r>
    </w:p>
    <w:p w:rsidR="0025313E" w:rsidRPr="00C743FB" w:rsidRDefault="0025313E" w:rsidP="0025313E">
      <w:pPr>
        <w:pStyle w:val="Voetnoottekst"/>
        <w:numPr>
          <w:ilvl w:val="0"/>
          <w:numId w:val="16"/>
        </w:numPr>
        <w:jc w:val="left"/>
        <w:rPr>
          <w:rFonts w:asciiTheme="minorHAnsi" w:hAnsiTheme="minorHAnsi" w:cstheme="minorHAnsi"/>
          <w:b w:val="0"/>
          <w:sz w:val="22"/>
          <w:szCs w:val="22"/>
          <w:shd w:val="clear" w:color="auto" w:fill="FFFFFF"/>
        </w:rPr>
      </w:pPr>
      <w:r w:rsidRPr="00C743FB">
        <w:rPr>
          <w:rFonts w:asciiTheme="minorHAnsi" w:hAnsiTheme="minorHAnsi" w:cstheme="minorHAnsi"/>
          <w:sz w:val="22"/>
          <w:szCs w:val="22"/>
          <w:shd w:val="clear" w:color="auto" w:fill="FFFFFF"/>
        </w:rPr>
        <w:t xml:space="preserve">Klomp, </w:t>
      </w:r>
      <w:r w:rsidRPr="00C743FB">
        <w:rPr>
          <w:rFonts w:asciiTheme="minorHAnsi" w:hAnsiTheme="minorHAnsi" w:cstheme="minorHAnsi"/>
          <w:i/>
          <w:sz w:val="22"/>
          <w:szCs w:val="22"/>
          <w:shd w:val="clear" w:color="auto" w:fill="FFFFFF"/>
        </w:rPr>
        <w:t xml:space="preserve">GS </w:t>
      </w:r>
      <w:r w:rsidRPr="00C743FB">
        <w:rPr>
          <w:rFonts w:asciiTheme="minorHAnsi" w:hAnsiTheme="minorHAnsi" w:cstheme="minorHAnsi"/>
          <w:sz w:val="22"/>
          <w:szCs w:val="22"/>
          <w:shd w:val="clear" w:color="auto" w:fill="FFFFFF"/>
        </w:rPr>
        <w:t xml:space="preserve">2009, </w:t>
      </w:r>
      <w:proofErr w:type="spellStart"/>
      <w:r w:rsidRPr="00C743FB">
        <w:rPr>
          <w:rFonts w:asciiTheme="minorHAnsi" w:hAnsiTheme="minorHAnsi" w:cstheme="minorHAnsi"/>
          <w:sz w:val="22"/>
          <w:szCs w:val="22"/>
          <w:shd w:val="clear" w:color="auto" w:fill="FFFFFF"/>
        </w:rPr>
        <w:t>aant</w:t>
      </w:r>
      <w:proofErr w:type="spellEnd"/>
      <w:r w:rsidRPr="00C743FB">
        <w:rPr>
          <w:rFonts w:asciiTheme="minorHAnsi" w:hAnsiTheme="minorHAnsi" w:cstheme="minorHAnsi"/>
          <w:sz w:val="22"/>
          <w:szCs w:val="22"/>
          <w:shd w:val="clear" w:color="auto" w:fill="FFFFFF"/>
        </w:rPr>
        <w:t>. 3</w:t>
      </w:r>
    </w:p>
    <w:p w:rsidR="0025313E" w:rsidRPr="00C743FB" w:rsidRDefault="0025313E" w:rsidP="0025313E">
      <w:pPr>
        <w:pStyle w:val="Voetnoottekst"/>
        <w:ind w:left="720"/>
        <w:jc w:val="left"/>
        <w:rPr>
          <w:rFonts w:asciiTheme="minorHAnsi" w:hAnsiTheme="minorHAnsi" w:cstheme="minorHAnsi"/>
          <w:b w:val="0"/>
          <w:sz w:val="22"/>
          <w:szCs w:val="22"/>
          <w:shd w:val="clear" w:color="auto" w:fill="FFFFFF"/>
        </w:rPr>
      </w:pPr>
      <w:r w:rsidRPr="00C743FB">
        <w:rPr>
          <w:rFonts w:asciiTheme="minorHAnsi" w:hAnsiTheme="minorHAnsi" w:cstheme="minorHAnsi"/>
          <w:b w:val="0"/>
          <w:sz w:val="22"/>
          <w:szCs w:val="22"/>
          <w:shd w:val="clear" w:color="auto" w:fill="FFFFFF"/>
        </w:rPr>
        <w:t xml:space="preserve">R.J.Q. Klomp, ‘Niet van rechtswege; beroep op verrekening vereist’, </w:t>
      </w:r>
      <w:r w:rsidRPr="00C743FB">
        <w:rPr>
          <w:rFonts w:asciiTheme="minorHAnsi" w:hAnsiTheme="minorHAnsi" w:cstheme="minorHAnsi"/>
          <w:b w:val="0"/>
          <w:i/>
          <w:sz w:val="22"/>
          <w:szCs w:val="22"/>
          <w:shd w:val="clear" w:color="auto" w:fill="FFFFFF"/>
        </w:rPr>
        <w:t xml:space="preserve">GS Verbintenissenrecht, artikel 127 Boek 6 BW </w:t>
      </w:r>
      <w:r w:rsidRPr="00C743FB">
        <w:rPr>
          <w:rFonts w:asciiTheme="minorHAnsi" w:hAnsiTheme="minorHAnsi" w:cstheme="minorHAnsi"/>
          <w:b w:val="0"/>
          <w:sz w:val="22"/>
          <w:szCs w:val="22"/>
          <w:shd w:val="clear" w:color="auto" w:fill="FFFFFF"/>
        </w:rPr>
        <w:t xml:space="preserve">2009, </w:t>
      </w:r>
      <w:proofErr w:type="spellStart"/>
      <w:r w:rsidRPr="00C743FB">
        <w:rPr>
          <w:rFonts w:asciiTheme="minorHAnsi" w:hAnsiTheme="minorHAnsi" w:cstheme="minorHAnsi"/>
          <w:b w:val="0"/>
          <w:sz w:val="22"/>
          <w:szCs w:val="22"/>
          <w:shd w:val="clear" w:color="auto" w:fill="FFFFFF"/>
        </w:rPr>
        <w:t>aant</w:t>
      </w:r>
      <w:proofErr w:type="spellEnd"/>
      <w:r w:rsidRPr="00C743FB">
        <w:rPr>
          <w:rFonts w:asciiTheme="minorHAnsi" w:hAnsiTheme="minorHAnsi" w:cstheme="minorHAnsi"/>
          <w:b w:val="0"/>
          <w:sz w:val="22"/>
          <w:szCs w:val="22"/>
          <w:shd w:val="clear" w:color="auto" w:fill="FFFFFF"/>
        </w:rPr>
        <w:t>. 3.</w:t>
      </w:r>
    </w:p>
    <w:p w:rsidR="0025313E" w:rsidRPr="00C743FB" w:rsidRDefault="0025313E" w:rsidP="0025313E">
      <w:pPr>
        <w:pStyle w:val="Voetnoottekst"/>
        <w:numPr>
          <w:ilvl w:val="0"/>
          <w:numId w:val="16"/>
        </w:numPr>
        <w:jc w:val="left"/>
        <w:rPr>
          <w:rFonts w:asciiTheme="minorHAnsi" w:hAnsiTheme="minorHAnsi" w:cstheme="minorHAnsi"/>
          <w:b w:val="0"/>
          <w:sz w:val="22"/>
          <w:szCs w:val="22"/>
          <w:shd w:val="clear" w:color="auto" w:fill="FFFFFF"/>
        </w:rPr>
      </w:pPr>
      <w:r w:rsidRPr="00C743FB">
        <w:rPr>
          <w:rFonts w:asciiTheme="minorHAnsi" w:hAnsiTheme="minorHAnsi" w:cstheme="minorHAnsi"/>
          <w:sz w:val="22"/>
          <w:szCs w:val="22"/>
          <w:shd w:val="clear" w:color="auto" w:fill="FFFFFF"/>
        </w:rPr>
        <w:t xml:space="preserve">Klomp, </w:t>
      </w:r>
      <w:r w:rsidRPr="00C743FB">
        <w:rPr>
          <w:rFonts w:asciiTheme="minorHAnsi" w:hAnsiTheme="minorHAnsi" w:cstheme="minorHAnsi"/>
          <w:i/>
          <w:sz w:val="22"/>
          <w:szCs w:val="22"/>
          <w:shd w:val="clear" w:color="auto" w:fill="FFFFFF"/>
        </w:rPr>
        <w:t xml:space="preserve">GS </w:t>
      </w:r>
      <w:r w:rsidRPr="00C743FB">
        <w:rPr>
          <w:rFonts w:asciiTheme="minorHAnsi" w:hAnsiTheme="minorHAnsi" w:cstheme="minorHAnsi"/>
          <w:sz w:val="22"/>
          <w:szCs w:val="22"/>
          <w:shd w:val="clear" w:color="auto" w:fill="FFFFFF"/>
        </w:rPr>
        <w:t xml:space="preserve">2009, </w:t>
      </w:r>
      <w:proofErr w:type="spellStart"/>
      <w:r w:rsidRPr="00C743FB">
        <w:rPr>
          <w:rFonts w:asciiTheme="minorHAnsi" w:hAnsiTheme="minorHAnsi" w:cstheme="minorHAnsi"/>
          <w:sz w:val="22"/>
          <w:szCs w:val="22"/>
          <w:shd w:val="clear" w:color="auto" w:fill="FFFFFF"/>
        </w:rPr>
        <w:t>aant</w:t>
      </w:r>
      <w:proofErr w:type="spellEnd"/>
      <w:r w:rsidRPr="00C743FB">
        <w:rPr>
          <w:rFonts w:asciiTheme="minorHAnsi" w:hAnsiTheme="minorHAnsi" w:cstheme="minorHAnsi"/>
          <w:sz w:val="22"/>
          <w:szCs w:val="22"/>
          <w:shd w:val="clear" w:color="auto" w:fill="FFFFFF"/>
        </w:rPr>
        <w:t>. 9</w:t>
      </w:r>
    </w:p>
    <w:p w:rsidR="0025313E" w:rsidRPr="00C743FB" w:rsidRDefault="0025313E" w:rsidP="0025313E">
      <w:pPr>
        <w:pStyle w:val="Voetnoottekst"/>
        <w:ind w:left="720"/>
        <w:jc w:val="left"/>
        <w:rPr>
          <w:rFonts w:asciiTheme="minorHAnsi" w:hAnsiTheme="minorHAnsi" w:cstheme="minorHAnsi"/>
          <w:b w:val="0"/>
          <w:sz w:val="22"/>
          <w:szCs w:val="22"/>
          <w:shd w:val="clear" w:color="auto" w:fill="FFFFFF"/>
        </w:rPr>
      </w:pPr>
      <w:r w:rsidRPr="00C743FB">
        <w:rPr>
          <w:rFonts w:asciiTheme="minorHAnsi" w:hAnsiTheme="minorHAnsi" w:cstheme="minorHAnsi"/>
          <w:b w:val="0"/>
          <w:sz w:val="22"/>
          <w:szCs w:val="22"/>
          <w:shd w:val="clear" w:color="auto" w:fill="FFFFFF"/>
        </w:rPr>
        <w:t>R.J.Q. Klomp, ‘Bevoegdheid tot verrekening</w:t>
      </w:r>
      <w:r w:rsidRPr="00C743FB">
        <w:rPr>
          <w:rFonts w:asciiTheme="minorHAnsi" w:hAnsiTheme="minorHAnsi" w:cstheme="minorHAnsi"/>
          <w:b w:val="0"/>
          <w:sz w:val="22"/>
          <w:szCs w:val="22"/>
        </w:rPr>
        <w:t>’</w:t>
      </w:r>
      <w:r w:rsidRPr="00C743FB">
        <w:rPr>
          <w:rFonts w:asciiTheme="minorHAnsi" w:hAnsiTheme="minorHAnsi" w:cstheme="minorHAnsi"/>
          <w:b w:val="0"/>
          <w:sz w:val="22"/>
          <w:szCs w:val="22"/>
          <w:shd w:val="clear" w:color="auto" w:fill="FFFFFF"/>
        </w:rPr>
        <w:t xml:space="preserve">, </w:t>
      </w:r>
      <w:r w:rsidRPr="00C743FB">
        <w:rPr>
          <w:rFonts w:asciiTheme="minorHAnsi" w:hAnsiTheme="minorHAnsi" w:cstheme="minorHAnsi"/>
          <w:b w:val="0"/>
          <w:i/>
          <w:sz w:val="22"/>
          <w:szCs w:val="22"/>
          <w:shd w:val="clear" w:color="auto" w:fill="FFFFFF"/>
        </w:rPr>
        <w:t xml:space="preserve">GS Verbintenissenrecht, artikel 127 Boek 6 BW </w:t>
      </w:r>
      <w:r w:rsidRPr="00C743FB">
        <w:rPr>
          <w:rFonts w:asciiTheme="minorHAnsi" w:hAnsiTheme="minorHAnsi" w:cstheme="minorHAnsi"/>
          <w:b w:val="0"/>
          <w:sz w:val="22"/>
          <w:szCs w:val="22"/>
          <w:shd w:val="clear" w:color="auto" w:fill="FFFFFF"/>
        </w:rPr>
        <w:t xml:space="preserve">2009, </w:t>
      </w:r>
      <w:proofErr w:type="spellStart"/>
      <w:r w:rsidRPr="00C743FB">
        <w:rPr>
          <w:rFonts w:asciiTheme="minorHAnsi" w:hAnsiTheme="minorHAnsi" w:cstheme="minorHAnsi"/>
          <w:b w:val="0"/>
          <w:sz w:val="22"/>
          <w:szCs w:val="22"/>
          <w:shd w:val="clear" w:color="auto" w:fill="FFFFFF"/>
        </w:rPr>
        <w:t>aant</w:t>
      </w:r>
      <w:proofErr w:type="spellEnd"/>
      <w:r w:rsidRPr="00C743FB">
        <w:rPr>
          <w:rFonts w:asciiTheme="minorHAnsi" w:hAnsiTheme="minorHAnsi" w:cstheme="minorHAnsi"/>
          <w:b w:val="0"/>
          <w:sz w:val="22"/>
          <w:szCs w:val="22"/>
          <w:shd w:val="clear" w:color="auto" w:fill="FFFFFF"/>
        </w:rPr>
        <w:t>. 9.</w:t>
      </w:r>
    </w:p>
    <w:p w:rsidR="0025313E" w:rsidRPr="00C743FB" w:rsidRDefault="0025313E" w:rsidP="0025313E">
      <w:pPr>
        <w:pStyle w:val="Voetnoottekst"/>
        <w:numPr>
          <w:ilvl w:val="0"/>
          <w:numId w:val="16"/>
        </w:numPr>
        <w:jc w:val="left"/>
        <w:rPr>
          <w:rFonts w:asciiTheme="minorHAnsi" w:hAnsiTheme="minorHAnsi" w:cstheme="minorHAnsi"/>
          <w:b w:val="0"/>
          <w:sz w:val="22"/>
          <w:szCs w:val="22"/>
          <w:shd w:val="clear" w:color="auto" w:fill="FFFFFF"/>
        </w:rPr>
      </w:pPr>
      <w:r w:rsidRPr="00C743FB">
        <w:rPr>
          <w:rFonts w:asciiTheme="minorHAnsi" w:hAnsiTheme="minorHAnsi" w:cstheme="minorHAnsi"/>
          <w:sz w:val="22"/>
          <w:szCs w:val="22"/>
          <w:shd w:val="clear" w:color="auto" w:fill="FFFFFF"/>
        </w:rPr>
        <w:t xml:space="preserve">Klomp, </w:t>
      </w:r>
      <w:r w:rsidRPr="00C743FB">
        <w:rPr>
          <w:rFonts w:asciiTheme="minorHAnsi" w:hAnsiTheme="minorHAnsi" w:cstheme="minorHAnsi"/>
          <w:i/>
          <w:sz w:val="22"/>
          <w:szCs w:val="22"/>
          <w:shd w:val="clear" w:color="auto" w:fill="FFFFFF"/>
        </w:rPr>
        <w:t xml:space="preserve">GS </w:t>
      </w:r>
      <w:r w:rsidRPr="00C743FB">
        <w:rPr>
          <w:rFonts w:asciiTheme="minorHAnsi" w:hAnsiTheme="minorHAnsi" w:cstheme="minorHAnsi"/>
          <w:sz w:val="22"/>
          <w:szCs w:val="22"/>
          <w:shd w:val="clear" w:color="auto" w:fill="FFFFFF"/>
        </w:rPr>
        <w:t xml:space="preserve">2009, </w:t>
      </w:r>
      <w:proofErr w:type="spellStart"/>
      <w:r w:rsidRPr="00C743FB">
        <w:rPr>
          <w:rFonts w:asciiTheme="minorHAnsi" w:hAnsiTheme="minorHAnsi" w:cstheme="minorHAnsi"/>
          <w:sz w:val="22"/>
          <w:szCs w:val="22"/>
          <w:shd w:val="clear" w:color="auto" w:fill="FFFFFF"/>
        </w:rPr>
        <w:t>aant</w:t>
      </w:r>
      <w:proofErr w:type="spellEnd"/>
      <w:r w:rsidRPr="00C743FB">
        <w:rPr>
          <w:rFonts w:asciiTheme="minorHAnsi" w:hAnsiTheme="minorHAnsi" w:cstheme="minorHAnsi"/>
          <w:sz w:val="22"/>
          <w:szCs w:val="22"/>
          <w:shd w:val="clear" w:color="auto" w:fill="FFFFFF"/>
        </w:rPr>
        <w:t>. 10</w:t>
      </w:r>
    </w:p>
    <w:p w:rsidR="0025313E" w:rsidRPr="00C743FB" w:rsidRDefault="0025313E" w:rsidP="0025313E">
      <w:pPr>
        <w:pStyle w:val="Voetnoottekst"/>
        <w:ind w:left="720"/>
        <w:jc w:val="left"/>
        <w:rPr>
          <w:rFonts w:asciiTheme="minorHAnsi" w:hAnsiTheme="minorHAnsi" w:cstheme="minorHAnsi"/>
          <w:b w:val="0"/>
          <w:sz w:val="22"/>
          <w:szCs w:val="22"/>
          <w:shd w:val="clear" w:color="auto" w:fill="FFFFFF"/>
        </w:rPr>
      </w:pPr>
      <w:r w:rsidRPr="00C743FB">
        <w:rPr>
          <w:rFonts w:asciiTheme="minorHAnsi" w:hAnsiTheme="minorHAnsi" w:cstheme="minorHAnsi"/>
          <w:b w:val="0"/>
          <w:sz w:val="22"/>
          <w:szCs w:val="22"/>
          <w:shd w:val="clear" w:color="auto" w:fill="FFFFFF"/>
        </w:rPr>
        <w:t xml:space="preserve">R.J.Q. Klomp, ‘Verklaring’, </w:t>
      </w:r>
      <w:r w:rsidRPr="00C743FB">
        <w:rPr>
          <w:rFonts w:asciiTheme="minorHAnsi" w:hAnsiTheme="minorHAnsi" w:cstheme="minorHAnsi"/>
          <w:b w:val="0"/>
          <w:i/>
          <w:sz w:val="22"/>
          <w:szCs w:val="22"/>
          <w:shd w:val="clear" w:color="auto" w:fill="FFFFFF"/>
        </w:rPr>
        <w:t xml:space="preserve">GS Verbintenissenrecht, artikel 127 Boek 6 BW </w:t>
      </w:r>
      <w:r w:rsidRPr="00C743FB">
        <w:rPr>
          <w:rFonts w:asciiTheme="minorHAnsi" w:hAnsiTheme="minorHAnsi" w:cstheme="minorHAnsi"/>
          <w:b w:val="0"/>
          <w:sz w:val="22"/>
          <w:szCs w:val="22"/>
          <w:shd w:val="clear" w:color="auto" w:fill="FFFFFF"/>
        </w:rPr>
        <w:t xml:space="preserve">2009, </w:t>
      </w:r>
      <w:proofErr w:type="spellStart"/>
      <w:r w:rsidRPr="00C743FB">
        <w:rPr>
          <w:rFonts w:asciiTheme="minorHAnsi" w:hAnsiTheme="minorHAnsi" w:cstheme="minorHAnsi"/>
          <w:b w:val="0"/>
          <w:sz w:val="22"/>
          <w:szCs w:val="22"/>
          <w:shd w:val="clear" w:color="auto" w:fill="FFFFFF"/>
        </w:rPr>
        <w:t>aant</w:t>
      </w:r>
      <w:proofErr w:type="spellEnd"/>
      <w:r w:rsidRPr="00C743FB">
        <w:rPr>
          <w:rFonts w:asciiTheme="minorHAnsi" w:hAnsiTheme="minorHAnsi" w:cstheme="minorHAnsi"/>
          <w:b w:val="0"/>
          <w:sz w:val="22"/>
          <w:szCs w:val="22"/>
          <w:shd w:val="clear" w:color="auto" w:fill="FFFFFF"/>
        </w:rPr>
        <w:t>. 10.</w:t>
      </w:r>
    </w:p>
    <w:p w:rsidR="0025313E" w:rsidRPr="00C743FB" w:rsidRDefault="0025313E" w:rsidP="0025313E">
      <w:pPr>
        <w:pStyle w:val="Voetnoottekst"/>
        <w:numPr>
          <w:ilvl w:val="0"/>
          <w:numId w:val="16"/>
        </w:numPr>
        <w:jc w:val="left"/>
        <w:rPr>
          <w:rFonts w:asciiTheme="minorHAnsi" w:hAnsiTheme="minorHAnsi" w:cstheme="minorHAnsi"/>
          <w:b w:val="0"/>
          <w:sz w:val="22"/>
          <w:szCs w:val="22"/>
          <w:shd w:val="clear" w:color="auto" w:fill="FFFFFF"/>
        </w:rPr>
      </w:pPr>
      <w:r w:rsidRPr="00C743FB">
        <w:rPr>
          <w:rFonts w:asciiTheme="minorHAnsi" w:hAnsiTheme="minorHAnsi" w:cstheme="minorHAnsi"/>
          <w:sz w:val="22"/>
          <w:szCs w:val="22"/>
          <w:shd w:val="clear" w:color="auto" w:fill="FFFFFF"/>
        </w:rPr>
        <w:t xml:space="preserve">Klomp, </w:t>
      </w:r>
      <w:r w:rsidRPr="00C743FB">
        <w:rPr>
          <w:rFonts w:asciiTheme="minorHAnsi" w:hAnsiTheme="minorHAnsi" w:cstheme="minorHAnsi"/>
          <w:i/>
          <w:sz w:val="22"/>
          <w:szCs w:val="22"/>
          <w:shd w:val="clear" w:color="auto" w:fill="FFFFFF"/>
        </w:rPr>
        <w:t xml:space="preserve">GS </w:t>
      </w:r>
      <w:r w:rsidRPr="00C743FB">
        <w:rPr>
          <w:rFonts w:asciiTheme="minorHAnsi" w:hAnsiTheme="minorHAnsi" w:cstheme="minorHAnsi"/>
          <w:sz w:val="22"/>
          <w:szCs w:val="22"/>
          <w:shd w:val="clear" w:color="auto" w:fill="FFFFFF"/>
        </w:rPr>
        <w:t xml:space="preserve">2009, </w:t>
      </w:r>
      <w:proofErr w:type="spellStart"/>
      <w:r w:rsidRPr="00C743FB">
        <w:rPr>
          <w:rFonts w:asciiTheme="minorHAnsi" w:hAnsiTheme="minorHAnsi" w:cstheme="minorHAnsi"/>
          <w:sz w:val="22"/>
          <w:szCs w:val="22"/>
          <w:shd w:val="clear" w:color="auto" w:fill="FFFFFF"/>
        </w:rPr>
        <w:t>aant</w:t>
      </w:r>
      <w:proofErr w:type="spellEnd"/>
      <w:r w:rsidRPr="00C743FB">
        <w:rPr>
          <w:rFonts w:asciiTheme="minorHAnsi" w:hAnsiTheme="minorHAnsi" w:cstheme="minorHAnsi"/>
          <w:sz w:val="22"/>
          <w:szCs w:val="22"/>
          <w:shd w:val="clear" w:color="auto" w:fill="FFFFFF"/>
        </w:rPr>
        <w:t>. 11</w:t>
      </w:r>
    </w:p>
    <w:p w:rsidR="0025313E" w:rsidRPr="00C743FB" w:rsidRDefault="0025313E" w:rsidP="0025313E">
      <w:pPr>
        <w:pStyle w:val="Voetnoottekst"/>
        <w:ind w:left="720"/>
        <w:jc w:val="left"/>
        <w:rPr>
          <w:rFonts w:asciiTheme="minorHAnsi" w:hAnsiTheme="minorHAnsi" w:cstheme="minorHAnsi"/>
          <w:b w:val="0"/>
          <w:sz w:val="22"/>
          <w:szCs w:val="22"/>
          <w:shd w:val="clear" w:color="auto" w:fill="FFFFFF"/>
        </w:rPr>
      </w:pPr>
      <w:r w:rsidRPr="00C743FB">
        <w:rPr>
          <w:rFonts w:asciiTheme="minorHAnsi" w:hAnsiTheme="minorHAnsi" w:cstheme="minorHAnsi"/>
          <w:b w:val="0"/>
          <w:sz w:val="22"/>
          <w:szCs w:val="22"/>
          <w:shd w:val="clear" w:color="auto" w:fill="FFFFFF"/>
        </w:rPr>
        <w:t>R.J.Q. Klomp, ‘</w:t>
      </w:r>
      <w:r w:rsidRPr="00C743FB">
        <w:rPr>
          <w:rFonts w:asciiTheme="minorHAnsi" w:hAnsiTheme="minorHAnsi" w:cstheme="minorHAnsi"/>
          <w:b w:val="0"/>
          <w:sz w:val="22"/>
          <w:szCs w:val="22"/>
        </w:rPr>
        <w:t>Wederkerigheid</w:t>
      </w:r>
      <w:r w:rsidRPr="00C743FB">
        <w:rPr>
          <w:rFonts w:asciiTheme="minorHAnsi" w:hAnsiTheme="minorHAnsi" w:cstheme="minorHAnsi"/>
          <w:b w:val="0"/>
          <w:sz w:val="22"/>
          <w:szCs w:val="22"/>
          <w:shd w:val="clear" w:color="auto" w:fill="FFFFFF"/>
        </w:rPr>
        <w:t xml:space="preserve">’, </w:t>
      </w:r>
      <w:r w:rsidRPr="00C743FB">
        <w:rPr>
          <w:rFonts w:asciiTheme="minorHAnsi" w:hAnsiTheme="minorHAnsi" w:cstheme="minorHAnsi"/>
          <w:b w:val="0"/>
          <w:i/>
          <w:sz w:val="22"/>
          <w:szCs w:val="22"/>
          <w:shd w:val="clear" w:color="auto" w:fill="FFFFFF"/>
        </w:rPr>
        <w:t xml:space="preserve">GS Verbintenissenrecht, artikel 127 Boek 6 BW </w:t>
      </w:r>
      <w:r w:rsidRPr="00C743FB">
        <w:rPr>
          <w:rFonts w:asciiTheme="minorHAnsi" w:hAnsiTheme="minorHAnsi" w:cstheme="minorHAnsi"/>
          <w:b w:val="0"/>
          <w:sz w:val="22"/>
          <w:szCs w:val="22"/>
          <w:shd w:val="clear" w:color="auto" w:fill="FFFFFF"/>
        </w:rPr>
        <w:t xml:space="preserve">2009, </w:t>
      </w:r>
      <w:proofErr w:type="spellStart"/>
      <w:r w:rsidRPr="00C743FB">
        <w:rPr>
          <w:rFonts w:asciiTheme="minorHAnsi" w:hAnsiTheme="minorHAnsi" w:cstheme="minorHAnsi"/>
          <w:b w:val="0"/>
          <w:sz w:val="22"/>
          <w:szCs w:val="22"/>
          <w:shd w:val="clear" w:color="auto" w:fill="FFFFFF"/>
        </w:rPr>
        <w:t>aant</w:t>
      </w:r>
      <w:proofErr w:type="spellEnd"/>
      <w:r w:rsidRPr="00C743FB">
        <w:rPr>
          <w:rFonts w:asciiTheme="minorHAnsi" w:hAnsiTheme="minorHAnsi" w:cstheme="minorHAnsi"/>
          <w:b w:val="0"/>
          <w:sz w:val="22"/>
          <w:szCs w:val="22"/>
          <w:shd w:val="clear" w:color="auto" w:fill="FFFFFF"/>
        </w:rPr>
        <w:t>. 11.</w:t>
      </w:r>
    </w:p>
    <w:p w:rsidR="0025313E" w:rsidRPr="00C743FB" w:rsidRDefault="0025313E" w:rsidP="0025313E">
      <w:pPr>
        <w:pStyle w:val="Voetnoottekst"/>
        <w:numPr>
          <w:ilvl w:val="0"/>
          <w:numId w:val="16"/>
        </w:numPr>
        <w:jc w:val="left"/>
        <w:rPr>
          <w:rFonts w:asciiTheme="minorHAnsi" w:hAnsiTheme="minorHAnsi" w:cstheme="minorHAnsi"/>
          <w:b w:val="0"/>
          <w:sz w:val="22"/>
          <w:szCs w:val="22"/>
          <w:shd w:val="clear" w:color="auto" w:fill="FFFFFF"/>
        </w:rPr>
      </w:pPr>
      <w:r w:rsidRPr="00C743FB">
        <w:rPr>
          <w:rFonts w:asciiTheme="minorHAnsi" w:hAnsiTheme="minorHAnsi" w:cstheme="minorHAnsi"/>
          <w:sz w:val="22"/>
          <w:szCs w:val="22"/>
          <w:shd w:val="clear" w:color="auto" w:fill="FFFFFF"/>
        </w:rPr>
        <w:t xml:space="preserve">Klomp, </w:t>
      </w:r>
      <w:r w:rsidRPr="00C743FB">
        <w:rPr>
          <w:rFonts w:asciiTheme="minorHAnsi" w:hAnsiTheme="minorHAnsi" w:cstheme="minorHAnsi"/>
          <w:i/>
          <w:sz w:val="22"/>
          <w:szCs w:val="22"/>
          <w:shd w:val="clear" w:color="auto" w:fill="FFFFFF"/>
        </w:rPr>
        <w:t xml:space="preserve">GS </w:t>
      </w:r>
      <w:r w:rsidRPr="00C743FB">
        <w:rPr>
          <w:rFonts w:asciiTheme="minorHAnsi" w:hAnsiTheme="minorHAnsi" w:cstheme="minorHAnsi"/>
          <w:sz w:val="22"/>
          <w:szCs w:val="22"/>
          <w:shd w:val="clear" w:color="auto" w:fill="FFFFFF"/>
        </w:rPr>
        <w:t xml:space="preserve">2009, </w:t>
      </w:r>
      <w:proofErr w:type="spellStart"/>
      <w:r w:rsidRPr="00C743FB">
        <w:rPr>
          <w:rFonts w:asciiTheme="minorHAnsi" w:hAnsiTheme="minorHAnsi" w:cstheme="minorHAnsi"/>
          <w:sz w:val="22"/>
          <w:szCs w:val="22"/>
          <w:shd w:val="clear" w:color="auto" w:fill="FFFFFF"/>
        </w:rPr>
        <w:t>aant</w:t>
      </w:r>
      <w:proofErr w:type="spellEnd"/>
      <w:r w:rsidRPr="00C743FB">
        <w:rPr>
          <w:rFonts w:asciiTheme="minorHAnsi" w:hAnsiTheme="minorHAnsi" w:cstheme="minorHAnsi"/>
          <w:sz w:val="22"/>
          <w:szCs w:val="22"/>
          <w:shd w:val="clear" w:color="auto" w:fill="FFFFFF"/>
        </w:rPr>
        <w:t>. 15</w:t>
      </w:r>
    </w:p>
    <w:p w:rsidR="0025313E" w:rsidRPr="00C743FB" w:rsidRDefault="0025313E" w:rsidP="0025313E">
      <w:pPr>
        <w:pStyle w:val="Voetnoottekst"/>
        <w:ind w:left="720"/>
        <w:jc w:val="left"/>
        <w:rPr>
          <w:rFonts w:asciiTheme="minorHAnsi" w:hAnsiTheme="minorHAnsi" w:cstheme="minorHAnsi"/>
          <w:b w:val="0"/>
          <w:sz w:val="22"/>
          <w:szCs w:val="22"/>
          <w:shd w:val="clear" w:color="auto" w:fill="FFFFFF"/>
        </w:rPr>
      </w:pPr>
      <w:r w:rsidRPr="00C743FB">
        <w:rPr>
          <w:rFonts w:asciiTheme="minorHAnsi" w:hAnsiTheme="minorHAnsi" w:cstheme="minorHAnsi"/>
          <w:b w:val="0"/>
          <w:sz w:val="22"/>
          <w:szCs w:val="22"/>
          <w:shd w:val="clear" w:color="auto" w:fill="FFFFFF"/>
        </w:rPr>
        <w:t>R.J.Q. Klomp, ‘</w:t>
      </w:r>
      <w:r w:rsidRPr="00C743FB">
        <w:rPr>
          <w:rFonts w:asciiTheme="minorHAnsi" w:hAnsiTheme="minorHAnsi" w:cstheme="minorHAnsi"/>
          <w:b w:val="0"/>
          <w:sz w:val="22"/>
          <w:szCs w:val="22"/>
        </w:rPr>
        <w:t>Wanneer beantwoorden prestaties aan elkaar?’</w:t>
      </w:r>
      <w:r w:rsidRPr="00C743FB">
        <w:rPr>
          <w:rFonts w:asciiTheme="minorHAnsi" w:hAnsiTheme="minorHAnsi" w:cstheme="minorHAnsi"/>
          <w:b w:val="0"/>
          <w:sz w:val="22"/>
          <w:szCs w:val="22"/>
          <w:shd w:val="clear" w:color="auto" w:fill="FFFFFF"/>
        </w:rPr>
        <w:t xml:space="preserve">, </w:t>
      </w:r>
      <w:r w:rsidRPr="00C743FB">
        <w:rPr>
          <w:rFonts w:asciiTheme="minorHAnsi" w:hAnsiTheme="minorHAnsi" w:cstheme="minorHAnsi"/>
          <w:b w:val="0"/>
          <w:i/>
          <w:sz w:val="22"/>
          <w:szCs w:val="22"/>
          <w:shd w:val="clear" w:color="auto" w:fill="FFFFFF"/>
        </w:rPr>
        <w:t xml:space="preserve">GS Verbintenissenrecht, artikel 127 Boek 6 BW </w:t>
      </w:r>
      <w:r w:rsidRPr="00C743FB">
        <w:rPr>
          <w:rFonts w:asciiTheme="minorHAnsi" w:hAnsiTheme="minorHAnsi" w:cstheme="minorHAnsi"/>
          <w:b w:val="0"/>
          <w:sz w:val="22"/>
          <w:szCs w:val="22"/>
          <w:shd w:val="clear" w:color="auto" w:fill="FFFFFF"/>
        </w:rPr>
        <w:t xml:space="preserve">2009, </w:t>
      </w:r>
      <w:proofErr w:type="spellStart"/>
      <w:r w:rsidRPr="00C743FB">
        <w:rPr>
          <w:rFonts w:asciiTheme="minorHAnsi" w:hAnsiTheme="minorHAnsi" w:cstheme="minorHAnsi"/>
          <w:b w:val="0"/>
          <w:sz w:val="22"/>
          <w:szCs w:val="22"/>
          <w:shd w:val="clear" w:color="auto" w:fill="FFFFFF"/>
        </w:rPr>
        <w:t>aant</w:t>
      </w:r>
      <w:proofErr w:type="spellEnd"/>
      <w:r w:rsidRPr="00C743FB">
        <w:rPr>
          <w:rFonts w:asciiTheme="minorHAnsi" w:hAnsiTheme="minorHAnsi" w:cstheme="minorHAnsi"/>
          <w:b w:val="0"/>
          <w:sz w:val="22"/>
          <w:szCs w:val="22"/>
          <w:shd w:val="clear" w:color="auto" w:fill="FFFFFF"/>
        </w:rPr>
        <w:t>. 15.</w:t>
      </w:r>
    </w:p>
    <w:p w:rsidR="0025313E" w:rsidRPr="00C743FB" w:rsidRDefault="0025313E" w:rsidP="0025313E">
      <w:pPr>
        <w:pStyle w:val="Voetnoottekst"/>
        <w:numPr>
          <w:ilvl w:val="0"/>
          <w:numId w:val="16"/>
        </w:numPr>
        <w:jc w:val="left"/>
        <w:rPr>
          <w:rFonts w:asciiTheme="minorHAnsi" w:hAnsiTheme="minorHAnsi" w:cstheme="minorHAnsi"/>
          <w:b w:val="0"/>
          <w:sz w:val="22"/>
          <w:szCs w:val="22"/>
          <w:shd w:val="clear" w:color="auto" w:fill="FFFFFF"/>
        </w:rPr>
      </w:pPr>
      <w:r w:rsidRPr="00C743FB">
        <w:rPr>
          <w:rFonts w:asciiTheme="minorHAnsi" w:hAnsiTheme="minorHAnsi" w:cstheme="minorHAnsi"/>
          <w:sz w:val="22"/>
          <w:szCs w:val="22"/>
          <w:shd w:val="clear" w:color="auto" w:fill="FFFFFF"/>
        </w:rPr>
        <w:t xml:space="preserve">Klomp, </w:t>
      </w:r>
      <w:r w:rsidRPr="00C743FB">
        <w:rPr>
          <w:rFonts w:asciiTheme="minorHAnsi" w:hAnsiTheme="minorHAnsi" w:cstheme="minorHAnsi"/>
          <w:i/>
          <w:sz w:val="22"/>
          <w:szCs w:val="22"/>
          <w:shd w:val="clear" w:color="auto" w:fill="FFFFFF"/>
        </w:rPr>
        <w:t xml:space="preserve">GS </w:t>
      </w:r>
      <w:r w:rsidRPr="00C743FB">
        <w:rPr>
          <w:rFonts w:asciiTheme="minorHAnsi" w:hAnsiTheme="minorHAnsi" w:cstheme="minorHAnsi"/>
          <w:sz w:val="22"/>
          <w:szCs w:val="22"/>
          <w:shd w:val="clear" w:color="auto" w:fill="FFFFFF"/>
        </w:rPr>
        <w:t xml:space="preserve">2009, </w:t>
      </w:r>
      <w:proofErr w:type="spellStart"/>
      <w:r w:rsidRPr="00C743FB">
        <w:rPr>
          <w:rFonts w:asciiTheme="minorHAnsi" w:hAnsiTheme="minorHAnsi" w:cstheme="minorHAnsi"/>
          <w:sz w:val="22"/>
          <w:szCs w:val="22"/>
          <w:shd w:val="clear" w:color="auto" w:fill="FFFFFF"/>
        </w:rPr>
        <w:t>aant</w:t>
      </w:r>
      <w:proofErr w:type="spellEnd"/>
      <w:r w:rsidRPr="00C743FB">
        <w:rPr>
          <w:rFonts w:asciiTheme="minorHAnsi" w:hAnsiTheme="minorHAnsi" w:cstheme="minorHAnsi"/>
          <w:sz w:val="22"/>
          <w:szCs w:val="22"/>
          <w:shd w:val="clear" w:color="auto" w:fill="FFFFFF"/>
        </w:rPr>
        <w:t>. 16</w:t>
      </w:r>
    </w:p>
    <w:p w:rsidR="0025313E" w:rsidRPr="00C743FB" w:rsidRDefault="0025313E" w:rsidP="0025313E">
      <w:pPr>
        <w:pStyle w:val="Voetnoottekst"/>
        <w:ind w:left="720"/>
        <w:jc w:val="left"/>
        <w:rPr>
          <w:rFonts w:asciiTheme="minorHAnsi" w:hAnsiTheme="minorHAnsi" w:cstheme="minorHAnsi"/>
          <w:b w:val="0"/>
          <w:sz w:val="22"/>
          <w:szCs w:val="22"/>
          <w:shd w:val="clear" w:color="auto" w:fill="FFFFFF"/>
        </w:rPr>
      </w:pPr>
      <w:r w:rsidRPr="00C743FB">
        <w:rPr>
          <w:rFonts w:asciiTheme="minorHAnsi" w:hAnsiTheme="minorHAnsi" w:cstheme="minorHAnsi"/>
          <w:b w:val="0"/>
          <w:sz w:val="22"/>
          <w:szCs w:val="22"/>
          <w:shd w:val="clear" w:color="auto" w:fill="FFFFFF"/>
        </w:rPr>
        <w:t>R.J.Q. Klomp, ‘Bevoegdheid tot betaling en het afdwingen van de betaling van de vordering</w:t>
      </w:r>
      <w:r w:rsidRPr="00C743FB">
        <w:rPr>
          <w:rFonts w:asciiTheme="minorHAnsi" w:hAnsiTheme="minorHAnsi" w:cstheme="minorHAnsi"/>
          <w:b w:val="0"/>
          <w:sz w:val="22"/>
          <w:szCs w:val="22"/>
        </w:rPr>
        <w:t>’</w:t>
      </w:r>
      <w:r w:rsidRPr="00C743FB">
        <w:rPr>
          <w:rFonts w:asciiTheme="minorHAnsi" w:hAnsiTheme="minorHAnsi" w:cstheme="minorHAnsi"/>
          <w:b w:val="0"/>
          <w:sz w:val="22"/>
          <w:szCs w:val="22"/>
          <w:shd w:val="clear" w:color="auto" w:fill="FFFFFF"/>
        </w:rPr>
        <w:t xml:space="preserve">, </w:t>
      </w:r>
      <w:r w:rsidRPr="00C743FB">
        <w:rPr>
          <w:rFonts w:asciiTheme="minorHAnsi" w:hAnsiTheme="minorHAnsi" w:cstheme="minorHAnsi"/>
          <w:b w:val="0"/>
          <w:i/>
          <w:sz w:val="22"/>
          <w:szCs w:val="22"/>
          <w:shd w:val="clear" w:color="auto" w:fill="FFFFFF"/>
        </w:rPr>
        <w:t xml:space="preserve">GS Verbintenissenrecht, artikel 127 Boek 6 BW </w:t>
      </w:r>
      <w:r w:rsidRPr="00C743FB">
        <w:rPr>
          <w:rFonts w:asciiTheme="minorHAnsi" w:hAnsiTheme="minorHAnsi" w:cstheme="minorHAnsi"/>
          <w:b w:val="0"/>
          <w:sz w:val="22"/>
          <w:szCs w:val="22"/>
          <w:shd w:val="clear" w:color="auto" w:fill="FFFFFF"/>
        </w:rPr>
        <w:t xml:space="preserve">2009, </w:t>
      </w:r>
      <w:proofErr w:type="spellStart"/>
      <w:r w:rsidRPr="00C743FB">
        <w:rPr>
          <w:rFonts w:asciiTheme="minorHAnsi" w:hAnsiTheme="minorHAnsi" w:cstheme="minorHAnsi"/>
          <w:b w:val="0"/>
          <w:sz w:val="22"/>
          <w:szCs w:val="22"/>
          <w:shd w:val="clear" w:color="auto" w:fill="FFFFFF"/>
        </w:rPr>
        <w:t>aant</w:t>
      </w:r>
      <w:proofErr w:type="spellEnd"/>
      <w:r w:rsidRPr="00C743FB">
        <w:rPr>
          <w:rFonts w:asciiTheme="minorHAnsi" w:hAnsiTheme="minorHAnsi" w:cstheme="minorHAnsi"/>
          <w:b w:val="0"/>
          <w:sz w:val="22"/>
          <w:szCs w:val="22"/>
          <w:shd w:val="clear" w:color="auto" w:fill="FFFFFF"/>
        </w:rPr>
        <w:t>. 16.</w:t>
      </w:r>
    </w:p>
    <w:p w:rsidR="0025313E" w:rsidRPr="00C743FB" w:rsidRDefault="0025313E" w:rsidP="0025313E">
      <w:pPr>
        <w:pStyle w:val="Voetnoottekst"/>
        <w:numPr>
          <w:ilvl w:val="0"/>
          <w:numId w:val="16"/>
        </w:numPr>
        <w:jc w:val="left"/>
        <w:rPr>
          <w:rFonts w:asciiTheme="minorHAnsi" w:hAnsiTheme="minorHAnsi" w:cstheme="minorHAnsi"/>
          <w:b w:val="0"/>
          <w:sz w:val="22"/>
          <w:szCs w:val="22"/>
          <w:shd w:val="clear" w:color="auto" w:fill="FFFFFF"/>
        </w:rPr>
      </w:pPr>
      <w:r w:rsidRPr="00C743FB">
        <w:rPr>
          <w:rFonts w:asciiTheme="minorHAnsi" w:hAnsiTheme="minorHAnsi" w:cstheme="minorHAnsi"/>
          <w:sz w:val="22"/>
          <w:szCs w:val="22"/>
          <w:shd w:val="clear" w:color="auto" w:fill="FFFFFF"/>
        </w:rPr>
        <w:t xml:space="preserve">Klomp, </w:t>
      </w:r>
      <w:r w:rsidRPr="00C743FB">
        <w:rPr>
          <w:rFonts w:asciiTheme="minorHAnsi" w:hAnsiTheme="minorHAnsi" w:cstheme="minorHAnsi"/>
          <w:i/>
          <w:sz w:val="22"/>
          <w:szCs w:val="22"/>
          <w:shd w:val="clear" w:color="auto" w:fill="FFFFFF"/>
        </w:rPr>
        <w:t xml:space="preserve">GS </w:t>
      </w:r>
      <w:r w:rsidRPr="00C743FB">
        <w:rPr>
          <w:rFonts w:asciiTheme="minorHAnsi" w:hAnsiTheme="minorHAnsi" w:cstheme="minorHAnsi"/>
          <w:sz w:val="22"/>
          <w:szCs w:val="22"/>
          <w:shd w:val="clear" w:color="auto" w:fill="FFFFFF"/>
        </w:rPr>
        <w:t xml:space="preserve">2009, </w:t>
      </w:r>
      <w:proofErr w:type="spellStart"/>
      <w:r w:rsidRPr="00C743FB">
        <w:rPr>
          <w:rFonts w:asciiTheme="minorHAnsi" w:hAnsiTheme="minorHAnsi" w:cstheme="minorHAnsi"/>
          <w:sz w:val="22"/>
          <w:szCs w:val="22"/>
          <w:shd w:val="clear" w:color="auto" w:fill="FFFFFF"/>
        </w:rPr>
        <w:t>aant</w:t>
      </w:r>
      <w:proofErr w:type="spellEnd"/>
      <w:r w:rsidRPr="00C743FB">
        <w:rPr>
          <w:rFonts w:asciiTheme="minorHAnsi" w:hAnsiTheme="minorHAnsi" w:cstheme="minorHAnsi"/>
          <w:sz w:val="22"/>
          <w:szCs w:val="22"/>
          <w:shd w:val="clear" w:color="auto" w:fill="FFFFFF"/>
        </w:rPr>
        <w:t>. 17</w:t>
      </w:r>
    </w:p>
    <w:p w:rsidR="0025313E" w:rsidRPr="00C743FB" w:rsidRDefault="0025313E" w:rsidP="0025313E">
      <w:pPr>
        <w:pStyle w:val="Voetnoottekst"/>
        <w:ind w:left="720"/>
        <w:jc w:val="left"/>
        <w:rPr>
          <w:rFonts w:asciiTheme="minorHAnsi" w:hAnsiTheme="minorHAnsi" w:cstheme="minorHAnsi"/>
          <w:b w:val="0"/>
          <w:sz w:val="22"/>
          <w:szCs w:val="22"/>
          <w:shd w:val="clear" w:color="auto" w:fill="FFFFFF"/>
        </w:rPr>
      </w:pPr>
      <w:r w:rsidRPr="00C743FB">
        <w:rPr>
          <w:rFonts w:asciiTheme="minorHAnsi" w:hAnsiTheme="minorHAnsi" w:cstheme="minorHAnsi"/>
          <w:b w:val="0"/>
          <w:sz w:val="22"/>
          <w:szCs w:val="22"/>
          <w:shd w:val="clear" w:color="auto" w:fill="FFFFFF"/>
        </w:rPr>
        <w:t>R.J.Q. Klomp, ‘</w:t>
      </w:r>
      <w:r w:rsidRPr="00C743FB">
        <w:rPr>
          <w:rFonts w:asciiTheme="minorHAnsi" w:hAnsiTheme="minorHAnsi" w:cstheme="minorHAnsi"/>
          <w:b w:val="0"/>
          <w:sz w:val="22"/>
          <w:szCs w:val="22"/>
        </w:rPr>
        <w:t>Schuld en vordering in gescheiden vermogens</w:t>
      </w:r>
      <w:r w:rsidRPr="00C743FB">
        <w:rPr>
          <w:rFonts w:asciiTheme="minorHAnsi" w:hAnsiTheme="minorHAnsi" w:cstheme="minorHAnsi"/>
          <w:b w:val="0"/>
          <w:sz w:val="22"/>
          <w:szCs w:val="22"/>
          <w:shd w:val="clear" w:color="auto" w:fill="FFFFFF"/>
        </w:rPr>
        <w:t xml:space="preserve">’, </w:t>
      </w:r>
      <w:r w:rsidRPr="00C743FB">
        <w:rPr>
          <w:rFonts w:asciiTheme="minorHAnsi" w:hAnsiTheme="minorHAnsi" w:cstheme="minorHAnsi"/>
          <w:b w:val="0"/>
          <w:i/>
          <w:sz w:val="22"/>
          <w:szCs w:val="22"/>
          <w:shd w:val="clear" w:color="auto" w:fill="FFFFFF"/>
        </w:rPr>
        <w:t xml:space="preserve">GS Verbintenissenrecht, artikel 127 Boek 6 BW </w:t>
      </w:r>
      <w:r w:rsidRPr="00C743FB">
        <w:rPr>
          <w:rFonts w:asciiTheme="minorHAnsi" w:hAnsiTheme="minorHAnsi" w:cstheme="minorHAnsi"/>
          <w:b w:val="0"/>
          <w:sz w:val="22"/>
          <w:szCs w:val="22"/>
          <w:shd w:val="clear" w:color="auto" w:fill="FFFFFF"/>
        </w:rPr>
        <w:t xml:space="preserve">2009, </w:t>
      </w:r>
      <w:proofErr w:type="spellStart"/>
      <w:r w:rsidRPr="00C743FB">
        <w:rPr>
          <w:rFonts w:asciiTheme="minorHAnsi" w:hAnsiTheme="minorHAnsi" w:cstheme="minorHAnsi"/>
          <w:b w:val="0"/>
          <w:sz w:val="22"/>
          <w:szCs w:val="22"/>
          <w:shd w:val="clear" w:color="auto" w:fill="FFFFFF"/>
        </w:rPr>
        <w:t>aant</w:t>
      </w:r>
      <w:proofErr w:type="spellEnd"/>
      <w:r w:rsidRPr="00C743FB">
        <w:rPr>
          <w:rFonts w:asciiTheme="minorHAnsi" w:hAnsiTheme="minorHAnsi" w:cstheme="minorHAnsi"/>
          <w:b w:val="0"/>
          <w:sz w:val="22"/>
          <w:szCs w:val="22"/>
          <w:shd w:val="clear" w:color="auto" w:fill="FFFFFF"/>
        </w:rPr>
        <w:t>. 17.</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Kortmann</w:t>
      </w:r>
      <w:proofErr w:type="spellEnd"/>
      <w:r w:rsidRPr="00C743FB">
        <w:rPr>
          <w:rFonts w:asciiTheme="minorHAnsi" w:hAnsiTheme="minorHAnsi" w:cstheme="minorHAnsi"/>
          <w:sz w:val="22"/>
          <w:szCs w:val="22"/>
        </w:rPr>
        <w:t xml:space="preserve">, </w:t>
      </w:r>
      <w:r w:rsidRPr="00C743FB">
        <w:rPr>
          <w:rFonts w:asciiTheme="minorHAnsi" w:hAnsiTheme="minorHAnsi" w:cstheme="minorHAnsi"/>
          <w:i/>
          <w:sz w:val="22"/>
          <w:szCs w:val="22"/>
        </w:rPr>
        <w:t>Onderneming en Recht</w:t>
      </w:r>
      <w:r w:rsidRPr="00C743FB">
        <w:rPr>
          <w:rFonts w:asciiTheme="minorHAnsi" w:hAnsiTheme="minorHAnsi" w:cstheme="minorHAnsi"/>
          <w:sz w:val="22"/>
          <w:szCs w:val="22"/>
        </w:rPr>
        <w:t xml:space="preserve"> 2002, p. 389 – 407</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S.C.J.J. </w:t>
      </w:r>
      <w:proofErr w:type="spellStart"/>
      <w:r w:rsidRPr="00C743FB">
        <w:rPr>
          <w:rFonts w:asciiTheme="minorHAnsi" w:hAnsiTheme="minorHAnsi" w:cstheme="minorHAnsi"/>
          <w:b w:val="0"/>
          <w:sz w:val="22"/>
          <w:szCs w:val="22"/>
        </w:rPr>
        <w:t>Kortmann</w:t>
      </w:r>
      <w:proofErr w:type="spellEnd"/>
      <w:r w:rsidRPr="00C743FB">
        <w:rPr>
          <w:rFonts w:asciiTheme="minorHAnsi" w:hAnsiTheme="minorHAnsi" w:cstheme="minorHAnsi"/>
          <w:b w:val="0"/>
          <w:sz w:val="22"/>
          <w:szCs w:val="22"/>
        </w:rPr>
        <w:t xml:space="preserve">, ‘Verrekening door de bank/stil pandhouder vóór of tijdens het faillissement van de pandgever’, </w:t>
      </w:r>
      <w:r w:rsidRPr="00C743FB">
        <w:rPr>
          <w:rFonts w:asciiTheme="minorHAnsi" w:hAnsiTheme="minorHAnsi" w:cstheme="minorHAnsi"/>
          <w:b w:val="0"/>
          <w:i/>
          <w:sz w:val="22"/>
          <w:szCs w:val="22"/>
        </w:rPr>
        <w:t>Onderneming en Recht</w:t>
      </w:r>
      <w:r w:rsidRPr="00C743FB">
        <w:rPr>
          <w:rFonts w:asciiTheme="minorHAnsi" w:hAnsiTheme="minorHAnsi" w:cstheme="minorHAnsi"/>
          <w:b w:val="0"/>
          <w:sz w:val="22"/>
          <w:szCs w:val="22"/>
        </w:rPr>
        <w:t xml:space="preserve"> 2002, p. 389 – 407.</w:t>
      </w:r>
    </w:p>
    <w:p w:rsidR="0025313E" w:rsidRPr="00C743FB" w:rsidRDefault="0025313E" w:rsidP="0025313E">
      <w:pPr>
        <w:pStyle w:val="Lijstalinea"/>
        <w:numPr>
          <w:ilvl w:val="0"/>
          <w:numId w:val="21"/>
        </w:numPr>
        <w:jc w:val="left"/>
        <w:rPr>
          <w:rFonts w:asciiTheme="minorHAnsi" w:hAnsiTheme="minorHAnsi" w:cstheme="minorHAnsi"/>
          <w:b w:val="0"/>
          <w:sz w:val="22"/>
          <w:szCs w:val="22"/>
          <w:lang w:val="en-US"/>
        </w:rPr>
      </w:pPr>
      <w:r w:rsidRPr="00C743FB">
        <w:rPr>
          <w:rFonts w:asciiTheme="minorHAnsi" w:hAnsiTheme="minorHAnsi" w:cstheme="minorHAnsi"/>
          <w:sz w:val="22"/>
          <w:szCs w:val="22"/>
          <w:lang w:val="en-US"/>
        </w:rPr>
        <w:t xml:space="preserve">Out,  </w:t>
      </w:r>
      <w:r w:rsidRPr="00C743FB">
        <w:rPr>
          <w:rFonts w:asciiTheme="minorHAnsi" w:hAnsiTheme="minorHAnsi" w:cstheme="minorHAnsi"/>
          <w:i/>
          <w:sz w:val="22"/>
          <w:szCs w:val="22"/>
          <w:lang w:val="en-US"/>
        </w:rPr>
        <w:t>University of Groningen</w:t>
      </w:r>
      <w:r w:rsidRPr="00C743FB">
        <w:rPr>
          <w:rFonts w:asciiTheme="minorHAnsi" w:hAnsiTheme="minorHAnsi" w:cstheme="minorHAnsi"/>
          <w:sz w:val="22"/>
          <w:szCs w:val="22"/>
          <w:lang w:val="en-US"/>
        </w:rPr>
        <w:t xml:space="preserve"> 2003, p. </w:t>
      </w:r>
      <w:r w:rsidR="006D7814" w:rsidRPr="00C743FB">
        <w:rPr>
          <w:rFonts w:asciiTheme="minorHAnsi" w:hAnsiTheme="minorHAnsi" w:cstheme="minorHAnsi"/>
          <w:sz w:val="22"/>
          <w:szCs w:val="22"/>
          <w:lang w:val="en-US"/>
        </w:rPr>
        <w:t>85-</w:t>
      </w:r>
      <w:r w:rsidRPr="00C743FB">
        <w:rPr>
          <w:rFonts w:asciiTheme="minorHAnsi" w:hAnsiTheme="minorHAnsi" w:cstheme="minorHAnsi"/>
          <w:sz w:val="22"/>
          <w:szCs w:val="22"/>
          <w:lang w:val="en-US"/>
        </w:rPr>
        <w:t>87</w:t>
      </w:r>
    </w:p>
    <w:p w:rsidR="0025313E" w:rsidRPr="00C743FB" w:rsidRDefault="0025313E" w:rsidP="0025313E">
      <w:pPr>
        <w:pStyle w:val="Lijstalinea"/>
        <w:jc w:val="left"/>
        <w:rPr>
          <w:rStyle w:val="Voetnootmarkering"/>
          <w:rFonts w:asciiTheme="minorHAnsi" w:hAnsiTheme="minorHAnsi" w:cstheme="minorHAnsi"/>
          <w:b w:val="0"/>
          <w:sz w:val="22"/>
          <w:szCs w:val="22"/>
          <w:vertAlign w:val="baseline"/>
        </w:rPr>
      </w:pPr>
      <w:r w:rsidRPr="00C743FB">
        <w:rPr>
          <w:rFonts w:asciiTheme="minorHAnsi" w:hAnsiTheme="minorHAnsi" w:cstheme="minorHAnsi"/>
          <w:b w:val="0"/>
          <w:sz w:val="22"/>
          <w:szCs w:val="22"/>
        </w:rPr>
        <w:lastRenderedPageBreak/>
        <w:t xml:space="preserve">J.C. Out, ‘Bestaande en (nog) niet bestaande vorderingen’, </w:t>
      </w:r>
      <w:r w:rsidRPr="00C743FB">
        <w:rPr>
          <w:rFonts w:asciiTheme="minorHAnsi" w:hAnsiTheme="minorHAnsi" w:cstheme="minorHAnsi"/>
          <w:b w:val="0"/>
          <w:i/>
          <w:sz w:val="22"/>
          <w:szCs w:val="22"/>
        </w:rPr>
        <w:t xml:space="preserve">University of Groningen. </w:t>
      </w:r>
      <w:proofErr w:type="spellStart"/>
      <w:r w:rsidRPr="00C743FB">
        <w:rPr>
          <w:rFonts w:asciiTheme="minorHAnsi" w:hAnsiTheme="minorHAnsi" w:cstheme="minorHAnsi"/>
          <w:b w:val="0"/>
          <w:i/>
          <w:sz w:val="22"/>
          <w:szCs w:val="22"/>
        </w:rPr>
        <w:t>Faculty</w:t>
      </w:r>
      <w:proofErr w:type="spellEnd"/>
      <w:r w:rsidRPr="00C743FB">
        <w:rPr>
          <w:rFonts w:asciiTheme="minorHAnsi" w:hAnsiTheme="minorHAnsi" w:cstheme="minorHAnsi"/>
          <w:b w:val="0"/>
          <w:i/>
          <w:sz w:val="22"/>
          <w:szCs w:val="22"/>
        </w:rPr>
        <w:t xml:space="preserve"> of </w:t>
      </w:r>
      <w:proofErr w:type="spellStart"/>
      <w:r w:rsidRPr="00C743FB">
        <w:rPr>
          <w:rFonts w:asciiTheme="minorHAnsi" w:hAnsiTheme="minorHAnsi" w:cstheme="minorHAnsi"/>
          <w:b w:val="0"/>
          <w:i/>
          <w:sz w:val="22"/>
          <w:szCs w:val="22"/>
        </w:rPr>
        <w:t>Law</w:t>
      </w:r>
      <w:proofErr w:type="spellEnd"/>
      <w:r w:rsidRPr="00C743FB">
        <w:rPr>
          <w:rFonts w:asciiTheme="minorHAnsi" w:hAnsiTheme="minorHAnsi" w:cstheme="minorHAnsi"/>
          <w:b w:val="0"/>
          <w:sz w:val="22"/>
          <w:szCs w:val="22"/>
        </w:rPr>
        <w:t xml:space="preserve">, p. </w:t>
      </w:r>
      <w:r w:rsidR="005137EA" w:rsidRPr="00C743FB">
        <w:rPr>
          <w:rFonts w:asciiTheme="minorHAnsi" w:hAnsiTheme="minorHAnsi" w:cstheme="minorHAnsi"/>
          <w:b w:val="0"/>
          <w:sz w:val="22"/>
          <w:szCs w:val="22"/>
        </w:rPr>
        <w:t>85-</w:t>
      </w:r>
      <w:r w:rsidRPr="00C743FB">
        <w:rPr>
          <w:rFonts w:asciiTheme="minorHAnsi" w:hAnsiTheme="minorHAnsi" w:cstheme="minorHAnsi"/>
          <w:b w:val="0"/>
          <w:sz w:val="22"/>
          <w:szCs w:val="22"/>
        </w:rPr>
        <w:t>87.</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r w:rsidRPr="00C743FB">
        <w:rPr>
          <w:rFonts w:asciiTheme="minorHAnsi" w:hAnsiTheme="minorHAnsi" w:cstheme="minorHAnsi"/>
          <w:sz w:val="22"/>
          <w:szCs w:val="22"/>
        </w:rPr>
        <w:t xml:space="preserve">Rank, </w:t>
      </w:r>
      <w:r w:rsidRPr="00C743FB">
        <w:rPr>
          <w:rFonts w:asciiTheme="minorHAnsi" w:hAnsiTheme="minorHAnsi" w:cstheme="minorHAnsi"/>
          <w:i/>
          <w:sz w:val="22"/>
          <w:szCs w:val="22"/>
        </w:rPr>
        <w:t>GS</w:t>
      </w:r>
      <w:r w:rsidRPr="00C743FB">
        <w:rPr>
          <w:rFonts w:asciiTheme="minorHAnsi" w:hAnsiTheme="minorHAnsi" w:cstheme="minorHAnsi"/>
          <w:sz w:val="22"/>
          <w:szCs w:val="22"/>
        </w:rPr>
        <w:t xml:space="preserve"> 1993, </w:t>
      </w:r>
      <w:proofErr w:type="spellStart"/>
      <w:r w:rsidRPr="00C743FB">
        <w:rPr>
          <w:rFonts w:asciiTheme="minorHAnsi" w:hAnsiTheme="minorHAnsi" w:cstheme="minorHAnsi"/>
          <w:sz w:val="22"/>
          <w:szCs w:val="22"/>
        </w:rPr>
        <w:t>aant</w:t>
      </w:r>
      <w:proofErr w:type="spellEnd"/>
      <w:r w:rsidRPr="00C743FB">
        <w:rPr>
          <w:rFonts w:asciiTheme="minorHAnsi" w:hAnsiTheme="minorHAnsi" w:cstheme="minorHAnsi"/>
          <w:sz w:val="22"/>
          <w:szCs w:val="22"/>
        </w:rPr>
        <w:t>. 1</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W.A.K. Rank, ‘Art. 6:114 BW, Inleiding’, </w:t>
      </w:r>
      <w:r w:rsidRPr="00C743FB">
        <w:rPr>
          <w:rFonts w:asciiTheme="minorHAnsi" w:hAnsiTheme="minorHAnsi" w:cstheme="minorHAnsi"/>
          <w:b w:val="0"/>
          <w:i/>
          <w:sz w:val="22"/>
          <w:szCs w:val="22"/>
        </w:rPr>
        <w:t>GS Verbintenissenrecht</w:t>
      </w:r>
      <w:r w:rsidRPr="00C743FB">
        <w:rPr>
          <w:rFonts w:asciiTheme="minorHAnsi" w:hAnsiTheme="minorHAnsi" w:cstheme="minorHAnsi"/>
          <w:b w:val="0"/>
          <w:sz w:val="22"/>
          <w:szCs w:val="22"/>
        </w:rPr>
        <w:t xml:space="preserve"> 1993, </w:t>
      </w:r>
      <w:proofErr w:type="spellStart"/>
      <w:r w:rsidRPr="00C743FB">
        <w:rPr>
          <w:rFonts w:asciiTheme="minorHAnsi" w:hAnsiTheme="minorHAnsi" w:cstheme="minorHAnsi"/>
          <w:b w:val="0"/>
          <w:sz w:val="22"/>
          <w:szCs w:val="22"/>
        </w:rPr>
        <w:t>aant</w:t>
      </w:r>
      <w:proofErr w:type="spellEnd"/>
      <w:r w:rsidRPr="00C743FB">
        <w:rPr>
          <w:rFonts w:asciiTheme="minorHAnsi" w:hAnsiTheme="minorHAnsi" w:cstheme="minorHAnsi"/>
          <w:b w:val="0"/>
          <w:sz w:val="22"/>
          <w:szCs w:val="22"/>
        </w:rPr>
        <w:t>. 1.</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r w:rsidRPr="00C743FB">
        <w:rPr>
          <w:rFonts w:asciiTheme="minorHAnsi" w:hAnsiTheme="minorHAnsi" w:cstheme="minorHAnsi"/>
          <w:sz w:val="22"/>
          <w:szCs w:val="22"/>
        </w:rPr>
        <w:t xml:space="preserve">Roffel, </w:t>
      </w:r>
      <w:r w:rsidRPr="00C743FB">
        <w:rPr>
          <w:rFonts w:asciiTheme="minorHAnsi" w:hAnsiTheme="minorHAnsi" w:cstheme="minorHAnsi"/>
          <w:i/>
          <w:sz w:val="22"/>
          <w:szCs w:val="22"/>
        </w:rPr>
        <w:t>TVI</w:t>
      </w:r>
      <w:r w:rsidRPr="00C743FB">
        <w:rPr>
          <w:rFonts w:asciiTheme="minorHAnsi" w:hAnsiTheme="minorHAnsi" w:cstheme="minorHAnsi"/>
          <w:sz w:val="22"/>
          <w:szCs w:val="22"/>
        </w:rPr>
        <w:t xml:space="preserve"> 2012/16, </w:t>
      </w:r>
      <w:proofErr w:type="spellStart"/>
      <w:r w:rsidRPr="00C743FB">
        <w:rPr>
          <w:rFonts w:asciiTheme="minorHAnsi" w:hAnsiTheme="minorHAnsi" w:cstheme="minorHAnsi"/>
          <w:sz w:val="22"/>
          <w:szCs w:val="22"/>
        </w:rPr>
        <w:t>aant</w:t>
      </w:r>
      <w:proofErr w:type="spellEnd"/>
      <w:r w:rsidRPr="00C743FB">
        <w:rPr>
          <w:rFonts w:asciiTheme="minorHAnsi" w:hAnsiTheme="minorHAnsi" w:cstheme="minorHAnsi"/>
          <w:sz w:val="22"/>
          <w:szCs w:val="22"/>
        </w:rPr>
        <w:t>. 5</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D. Roffel, ‘De rechtsgeldigheid van de verzamelpandakte-constructie’, </w:t>
      </w:r>
      <w:r w:rsidRPr="00C743FB">
        <w:rPr>
          <w:rFonts w:asciiTheme="minorHAnsi" w:hAnsiTheme="minorHAnsi" w:cstheme="minorHAnsi"/>
          <w:b w:val="0"/>
          <w:i/>
          <w:sz w:val="22"/>
          <w:szCs w:val="22"/>
        </w:rPr>
        <w:t>Tijdschrift voor Insolventierecht</w:t>
      </w:r>
      <w:r w:rsidRPr="00C743FB">
        <w:rPr>
          <w:rFonts w:asciiTheme="minorHAnsi" w:hAnsiTheme="minorHAnsi" w:cstheme="minorHAnsi"/>
          <w:b w:val="0"/>
          <w:sz w:val="22"/>
          <w:szCs w:val="22"/>
        </w:rPr>
        <w:t xml:space="preserve"> 2012/16, </w:t>
      </w:r>
      <w:proofErr w:type="spellStart"/>
      <w:r w:rsidRPr="00C743FB">
        <w:rPr>
          <w:rFonts w:asciiTheme="minorHAnsi" w:hAnsiTheme="minorHAnsi" w:cstheme="minorHAnsi"/>
          <w:b w:val="0"/>
          <w:sz w:val="22"/>
          <w:szCs w:val="22"/>
        </w:rPr>
        <w:t>aant</w:t>
      </w:r>
      <w:proofErr w:type="spellEnd"/>
      <w:r w:rsidRPr="00C743FB">
        <w:rPr>
          <w:rFonts w:asciiTheme="minorHAnsi" w:hAnsiTheme="minorHAnsi" w:cstheme="minorHAnsi"/>
          <w:b w:val="0"/>
          <w:sz w:val="22"/>
          <w:szCs w:val="22"/>
        </w:rPr>
        <w:t>. 5.</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r w:rsidRPr="00C743FB">
        <w:rPr>
          <w:rFonts w:asciiTheme="minorHAnsi" w:hAnsiTheme="minorHAnsi" w:cstheme="minorHAnsi"/>
          <w:sz w:val="22"/>
          <w:szCs w:val="22"/>
        </w:rPr>
        <w:t xml:space="preserve">Stein, </w:t>
      </w:r>
      <w:r w:rsidRPr="00C743FB">
        <w:rPr>
          <w:rFonts w:asciiTheme="minorHAnsi" w:hAnsiTheme="minorHAnsi" w:cstheme="minorHAnsi"/>
          <w:i/>
          <w:sz w:val="22"/>
          <w:szCs w:val="22"/>
        </w:rPr>
        <w:t>GS</w:t>
      </w:r>
      <w:r w:rsidRPr="00C743FB">
        <w:rPr>
          <w:rFonts w:asciiTheme="minorHAnsi" w:hAnsiTheme="minorHAnsi" w:cstheme="minorHAnsi"/>
          <w:sz w:val="22"/>
          <w:szCs w:val="22"/>
        </w:rPr>
        <w:t xml:space="preserve"> 2016, </w:t>
      </w:r>
      <w:proofErr w:type="spellStart"/>
      <w:r w:rsidRPr="00C743FB">
        <w:rPr>
          <w:rFonts w:asciiTheme="minorHAnsi" w:hAnsiTheme="minorHAnsi" w:cstheme="minorHAnsi"/>
          <w:sz w:val="22"/>
          <w:szCs w:val="22"/>
        </w:rPr>
        <w:t>aant</w:t>
      </w:r>
      <w:proofErr w:type="spellEnd"/>
      <w:r w:rsidRPr="00C743FB">
        <w:rPr>
          <w:rFonts w:asciiTheme="minorHAnsi" w:hAnsiTheme="minorHAnsi" w:cstheme="minorHAnsi"/>
          <w:sz w:val="22"/>
          <w:szCs w:val="22"/>
        </w:rPr>
        <w:t>. 4.1.1</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P.A. Stein, ‘Art. 3:239 BW, Algemeen’, </w:t>
      </w:r>
      <w:r w:rsidRPr="00C743FB">
        <w:rPr>
          <w:rFonts w:asciiTheme="minorHAnsi" w:hAnsiTheme="minorHAnsi" w:cstheme="minorHAnsi"/>
          <w:b w:val="0"/>
          <w:i/>
          <w:sz w:val="22"/>
          <w:szCs w:val="22"/>
        </w:rPr>
        <w:t>GS Vermogensrecht</w:t>
      </w:r>
      <w:r w:rsidRPr="00C743FB">
        <w:rPr>
          <w:rFonts w:asciiTheme="minorHAnsi" w:hAnsiTheme="minorHAnsi" w:cstheme="minorHAnsi"/>
          <w:b w:val="0"/>
          <w:sz w:val="22"/>
          <w:szCs w:val="22"/>
        </w:rPr>
        <w:t xml:space="preserve"> 2016, </w:t>
      </w:r>
      <w:proofErr w:type="spellStart"/>
      <w:r w:rsidRPr="00C743FB">
        <w:rPr>
          <w:rFonts w:asciiTheme="minorHAnsi" w:hAnsiTheme="minorHAnsi" w:cstheme="minorHAnsi"/>
          <w:b w:val="0"/>
          <w:sz w:val="22"/>
          <w:szCs w:val="22"/>
        </w:rPr>
        <w:t>aant</w:t>
      </w:r>
      <w:proofErr w:type="spellEnd"/>
      <w:r w:rsidRPr="00C743FB">
        <w:rPr>
          <w:rFonts w:asciiTheme="minorHAnsi" w:hAnsiTheme="minorHAnsi" w:cstheme="minorHAnsi"/>
          <w:b w:val="0"/>
          <w:sz w:val="22"/>
          <w:szCs w:val="22"/>
        </w:rPr>
        <w:t>. 4.1.1.</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r w:rsidRPr="00C743FB">
        <w:rPr>
          <w:rFonts w:asciiTheme="minorHAnsi" w:hAnsiTheme="minorHAnsi" w:cstheme="minorHAnsi"/>
          <w:sz w:val="22"/>
          <w:szCs w:val="22"/>
        </w:rPr>
        <w:t xml:space="preserve">Stein, </w:t>
      </w:r>
      <w:r w:rsidRPr="00C743FB">
        <w:rPr>
          <w:rFonts w:asciiTheme="minorHAnsi" w:hAnsiTheme="minorHAnsi" w:cstheme="minorHAnsi"/>
          <w:i/>
          <w:sz w:val="22"/>
          <w:szCs w:val="22"/>
        </w:rPr>
        <w:t>GS</w:t>
      </w:r>
      <w:r w:rsidRPr="00C743FB">
        <w:rPr>
          <w:rFonts w:asciiTheme="minorHAnsi" w:hAnsiTheme="minorHAnsi" w:cstheme="minorHAnsi"/>
          <w:sz w:val="22"/>
          <w:szCs w:val="22"/>
        </w:rPr>
        <w:t xml:space="preserve"> 2016, </w:t>
      </w:r>
      <w:proofErr w:type="spellStart"/>
      <w:r w:rsidRPr="00C743FB">
        <w:rPr>
          <w:rFonts w:asciiTheme="minorHAnsi" w:hAnsiTheme="minorHAnsi" w:cstheme="minorHAnsi"/>
          <w:sz w:val="22"/>
          <w:szCs w:val="22"/>
        </w:rPr>
        <w:t>aant</w:t>
      </w:r>
      <w:proofErr w:type="spellEnd"/>
      <w:r w:rsidRPr="00C743FB">
        <w:rPr>
          <w:rFonts w:asciiTheme="minorHAnsi" w:hAnsiTheme="minorHAnsi" w:cstheme="minorHAnsi"/>
          <w:sz w:val="22"/>
          <w:szCs w:val="22"/>
        </w:rPr>
        <w:t>. 6.6</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P.A. Stein, ‘Verkoop’, </w:t>
      </w:r>
      <w:r w:rsidRPr="00C743FB">
        <w:rPr>
          <w:rFonts w:asciiTheme="minorHAnsi" w:hAnsiTheme="minorHAnsi" w:cstheme="minorHAnsi"/>
          <w:b w:val="0"/>
          <w:i/>
          <w:sz w:val="22"/>
          <w:szCs w:val="22"/>
        </w:rPr>
        <w:t>GS Vermogensrecht</w:t>
      </w:r>
      <w:r w:rsidRPr="00C743FB">
        <w:rPr>
          <w:rFonts w:asciiTheme="minorHAnsi" w:hAnsiTheme="minorHAnsi" w:cstheme="minorHAnsi"/>
          <w:b w:val="0"/>
          <w:sz w:val="22"/>
          <w:szCs w:val="22"/>
        </w:rPr>
        <w:t xml:space="preserve"> 2016, </w:t>
      </w:r>
      <w:proofErr w:type="spellStart"/>
      <w:r w:rsidRPr="00C743FB">
        <w:rPr>
          <w:rFonts w:asciiTheme="minorHAnsi" w:hAnsiTheme="minorHAnsi" w:cstheme="minorHAnsi"/>
          <w:b w:val="0"/>
          <w:sz w:val="22"/>
          <w:szCs w:val="22"/>
        </w:rPr>
        <w:t>aant</w:t>
      </w:r>
      <w:proofErr w:type="spellEnd"/>
      <w:r w:rsidRPr="00C743FB">
        <w:rPr>
          <w:rFonts w:asciiTheme="minorHAnsi" w:hAnsiTheme="minorHAnsi" w:cstheme="minorHAnsi"/>
          <w:b w:val="0"/>
          <w:sz w:val="22"/>
          <w:szCs w:val="22"/>
        </w:rPr>
        <w:t>. 6.6.</w:t>
      </w:r>
    </w:p>
    <w:p w:rsidR="0025313E" w:rsidRPr="00C743FB" w:rsidRDefault="0025313E" w:rsidP="0025313E">
      <w:pPr>
        <w:pStyle w:val="Voetnoottekst"/>
        <w:numPr>
          <w:ilvl w:val="0"/>
          <w:numId w:val="16"/>
        </w:numPr>
        <w:jc w:val="left"/>
        <w:rPr>
          <w:rFonts w:asciiTheme="minorHAnsi" w:hAnsiTheme="minorHAnsi" w:cstheme="minorHAnsi"/>
          <w:sz w:val="22"/>
          <w:szCs w:val="22"/>
        </w:rPr>
      </w:pPr>
      <w:r w:rsidRPr="00C743FB">
        <w:rPr>
          <w:rFonts w:asciiTheme="minorHAnsi" w:hAnsiTheme="minorHAnsi" w:cstheme="minorHAnsi"/>
          <w:sz w:val="22"/>
          <w:szCs w:val="22"/>
        </w:rPr>
        <w:t xml:space="preserve">Van Es, </w:t>
      </w:r>
      <w:r w:rsidRPr="00C743FB">
        <w:rPr>
          <w:rFonts w:asciiTheme="minorHAnsi" w:hAnsiTheme="minorHAnsi" w:cstheme="minorHAnsi"/>
          <w:i/>
          <w:sz w:val="22"/>
          <w:szCs w:val="22"/>
        </w:rPr>
        <w:t>GS</w:t>
      </w:r>
      <w:r w:rsidRPr="00C743FB">
        <w:rPr>
          <w:rFonts w:asciiTheme="minorHAnsi" w:hAnsiTheme="minorHAnsi" w:cstheme="minorHAnsi"/>
          <w:sz w:val="22"/>
          <w:szCs w:val="22"/>
        </w:rPr>
        <w:t xml:space="preserve"> 2013, </w:t>
      </w:r>
      <w:proofErr w:type="spellStart"/>
      <w:r w:rsidRPr="00C743FB">
        <w:rPr>
          <w:rFonts w:asciiTheme="minorHAnsi" w:hAnsiTheme="minorHAnsi" w:cstheme="minorHAnsi"/>
          <w:sz w:val="22"/>
          <w:szCs w:val="22"/>
        </w:rPr>
        <w:t>aant</w:t>
      </w:r>
      <w:proofErr w:type="spellEnd"/>
      <w:r w:rsidRPr="00C743FB">
        <w:rPr>
          <w:rFonts w:asciiTheme="minorHAnsi" w:hAnsiTheme="minorHAnsi" w:cstheme="minorHAnsi"/>
          <w:sz w:val="22"/>
          <w:szCs w:val="22"/>
        </w:rPr>
        <w:t>. 11</w:t>
      </w:r>
    </w:p>
    <w:p w:rsidR="0025313E" w:rsidRPr="00C743FB" w:rsidRDefault="0025313E" w:rsidP="0025313E">
      <w:pPr>
        <w:pStyle w:val="Voetnoottekst"/>
        <w:ind w:left="720"/>
        <w:jc w:val="left"/>
        <w:rPr>
          <w:rFonts w:asciiTheme="minorHAnsi" w:hAnsiTheme="minorHAnsi" w:cstheme="minorHAnsi"/>
          <w:b w:val="0"/>
          <w:sz w:val="22"/>
          <w:szCs w:val="22"/>
          <w:shd w:val="clear" w:color="auto" w:fill="FFFFFF"/>
        </w:rPr>
      </w:pPr>
      <w:r w:rsidRPr="00C743FB">
        <w:rPr>
          <w:rFonts w:asciiTheme="minorHAnsi" w:hAnsiTheme="minorHAnsi" w:cstheme="minorHAnsi"/>
          <w:b w:val="0"/>
          <w:sz w:val="22"/>
          <w:szCs w:val="22"/>
          <w:shd w:val="clear" w:color="auto" w:fill="FFFFFF"/>
        </w:rPr>
        <w:t xml:space="preserve">P.C. van Es, ‘Verband met art. 3:84 lid 1 BW’, </w:t>
      </w:r>
      <w:r w:rsidRPr="00C743FB">
        <w:rPr>
          <w:rFonts w:asciiTheme="minorHAnsi" w:hAnsiTheme="minorHAnsi" w:cstheme="minorHAnsi"/>
          <w:b w:val="0"/>
          <w:i/>
          <w:sz w:val="22"/>
          <w:szCs w:val="22"/>
          <w:shd w:val="clear" w:color="auto" w:fill="FFFFFF"/>
        </w:rPr>
        <w:t xml:space="preserve">GS Vermogensrecht </w:t>
      </w:r>
      <w:r w:rsidRPr="00C743FB">
        <w:rPr>
          <w:rFonts w:asciiTheme="minorHAnsi" w:hAnsiTheme="minorHAnsi" w:cstheme="minorHAnsi"/>
          <w:b w:val="0"/>
          <w:sz w:val="22"/>
          <w:szCs w:val="22"/>
          <w:shd w:val="clear" w:color="auto" w:fill="FFFFFF"/>
        </w:rPr>
        <w:t xml:space="preserve">2013, </w:t>
      </w:r>
      <w:proofErr w:type="spellStart"/>
      <w:r w:rsidRPr="00C743FB">
        <w:rPr>
          <w:rFonts w:asciiTheme="minorHAnsi" w:hAnsiTheme="minorHAnsi" w:cstheme="minorHAnsi"/>
          <w:b w:val="0"/>
          <w:sz w:val="22"/>
          <w:szCs w:val="22"/>
          <w:shd w:val="clear" w:color="auto" w:fill="FFFFFF"/>
        </w:rPr>
        <w:t>aant</w:t>
      </w:r>
      <w:proofErr w:type="spellEnd"/>
      <w:r w:rsidRPr="00C743FB">
        <w:rPr>
          <w:rFonts w:asciiTheme="minorHAnsi" w:hAnsiTheme="minorHAnsi" w:cstheme="minorHAnsi"/>
          <w:b w:val="0"/>
          <w:sz w:val="22"/>
          <w:szCs w:val="22"/>
          <w:shd w:val="clear" w:color="auto" w:fill="FFFFFF"/>
        </w:rPr>
        <w:t xml:space="preserve">. 11. </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r w:rsidRPr="00C743FB">
        <w:rPr>
          <w:rFonts w:asciiTheme="minorHAnsi" w:hAnsiTheme="minorHAnsi" w:cstheme="minorHAnsi"/>
          <w:sz w:val="22"/>
          <w:szCs w:val="22"/>
        </w:rPr>
        <w:t xml:space="preserve">Van Hees, </w:t>
      </w:r>
      <w:proofErr w:type="spellStart"/>
      <w:r w:rsidRPr="00C743FB">
        <w:rPr>
          <w:rFonts w:asciiTheme="minorHAnsi" w:hAnsiTheme="minorHAnsi" w:cstheme="minorHAnsi"/>
          <w:i/>
          <w:sz w:val="22"/>
          <w:szCs w:val="22"/>
        </w:rPr>
        <w:t>TvI</w:t>
      </w:r>
      <w:proofErr w:type="spellEnd"/>
      <w:r w:rsidRPr="00C743FB">
        <w:rPr>
          <w:rFonts w:asciiTheme="minorHAnsi" w:hAnsiTheme="minorHAnsi" w:cstheme="minorHAnsi"/>
          <w:sz w:val="22"/>
          <w:szCs w:val="22"/>
        </w:rPr>
        <w:t xml:space="preserve"> 2004, 45, afl. 5</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Van Hees, ‘Het doel van het faillissement en de taak van de curator’, </w:t>
      </w:r>
      <w:r w:rsidRPr="00C743FB">
        <w:rPr>
          <w:rFonts w:asciiTheme="minorHAnsi" w:hAnsiTheme="minorHAnsi" w:cstheme="minorHAnsi"/>
          <w:b w:val="0"/>
          <w:i/>
          <w:sz w:val="22"/>
          <w:szCs w:val="22"/>
        </w:rPr>
        <w:t>Tijdschrift voor Insolventierecht</w:t>
      </w:r>
      <w:r w:rsidRPr="00C743FB">
        <w:rPr>
          <w:rFonts w:asciiTheme="minorHAnsi" w:hAnsiTheme="minorHAnsi" w:cstheme="minorHAnsi"/>
          <w:b w:val="0"/>
          <w:sz w:val="22"/>
          <w:szCs w:val="22"/>
        </w:rPr>
        <w:t xml:space="preserve"> 2004, 45, afl. 5.</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r w:rsidRPr="00C743FB">
        <w:rPr>
          <w:rFonts w:asciiTheme="minorHAnsi" w:hAnsiTheme="minorHAnsi" w:cstheme="minorHAnsi"/>
          <w:sz w:val="22"/>
          <w:szCs w:val="22"/>
        </w:rPr>
        <w:t xml:space="preserve">Veder, </w:t>
      </w:r>
      <w:r w:rsidRPr="00C743FB">
        <w:rPr>
          <w:rFonts w:asciiTheme="minorHAnsi" w:hAnsiTheme="minorHAnsi" w:cstheme="minorHAnsi"/>
          <w:i/>
          <w:sz w:val="22"/>
          <w:szCs w:val="22"/>
        </w:rPr>
        <w:t xml:space="preserve">Ars </w:t>
      </w:r>
      <w:proofErr w:type="spellStart"/>
      <w:r w:rsidRPr="00C743FB">
        <w:rPr>
          <w:rFonts w:asciiTheme="minorHAnsi" w:hAnsiTheme="minorHAnsi" w:cstheme="minorHAnsi"/>
          <w:i/>
          <w:sz w:val="22"/>
          <w:szCs w:val="22"/>
        </w:rPr>
        <w:t>Aequi</w:t>
      </w:r>
      <w:proofErr w:type="spellEnd"/>
      <w:r w:rsidRPr="00C743FB">
        <w:rPr>
          <w:rFonts w:asciiTheme="minorHAnsi" w:hAnsiTheme="minorHAnsi" w:cstheme="minorHAnsi"/>
          <w:sz w:val="22"/>
          <w:szCs w:val="22"/>
        </w:rPr>
        <w:t xml:space="preserve"> 2012, p. 455 – 460</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P.M. Veder, ‘Verpanding made easy: verpanding van vorderingen door middel van een verzamelpandakte’, </w:t>
      </w:r>
      <w:r w:rsidRPr="00C743FB">
        <w:rPr>
          <w:rFonts w:asciiTheme="minorHAnsi" w:hAnsiTheme="minorHAnsi" w:cstheme="minorHAnsi"/>
          <w:b w:val="0"/>
          <w:i/>
          <w:sz w:val="22"/>
          <w:szCs w:val="22"/>
        </w:rPr>
        <w:t xml:space="preserve">Ars </w:t>
      </w:r>
      <w:proofErr w:type="spellStart"/>
      <w:r w:rsidRPr="00C743FB">
        <w:rPr>
          <w:rFonts w:asciiTheme="minorHAnsi" w:hAnsiTheme="minorHAnsi" w:cstheme="minorHAnsi"/>
          <w:b w:val="0"/>
          <w:i/>
          <w:sz w:val="22"/>
          <w:szCs w:val="22"/>
        </w:rPr>
        <w:t>Aequi</w:t>
      </w:r>
      <w:proofErr w:type="spellEnd"/>
      <w:r w:rsidRPr="00C743FB">
        <w:rPr>
          <w:rFonts w:asciiTheme="minorHAnsi" w:hAnsiTheme="minorHAnsi" w:cstheme="minorHAnsi"/>
          <w:b w:val="0"/>
          <w:i/>
          <w:sz w:val="22"/>
          <w:szCs w:val="22"/>
        </w:rPr>
        <w:t xml:space="preserve"> </w:t>
      </w:r>
      <w:r w:rsidRPr="00C743FB">
        <w:rPr>
          <w:rFonts w:asciiTheme="minorHAnsi" w:hAnsiTheme="minorHAnsi" w:cstheme="minorHAnsi"/>
          <w:b w:val="0"/>
          <w:sz w:val="22"/>
          <w:szCs w:val="22"/>
        </w:rPr>
        <w:t>2012, p. 455 – 460.</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Verdaas</w:t>
      </w:r>
      <w:proofErr w:type="spellEnd"/>
      <w:r w:rsidRPr="00C743FB">
        <w:rPr>
          <w:rFonts w:asciiTheme="minorHAnsi" w:hAnsiTheme="minorHAnsi" w:cstheme="minorHAnsi"/>
          <w:sz w:val="22"/>
          <w:szCs w:val="22"/>
        </w:rPr>
        <w:t xml:space="preserve">, </w:t>
      </w:r>
      <w:r w:rsidRPr="00C743FB">
        <w:rPr>
          <w:rFonts w:asciiTheme="minorHAnsi" w:hAnsiTheme="minorHAnsi" w:cstheme="minorHAnsi"/>
          <w:i/>
          <w:sz w:val="22"/>
          <w:szCs w:val="22"/>
        </w:rPr>
        <w:t>GS</w:t>
      </w:r>
      <w:r w:rsidRPr="00C743FB">
        <w:rPr>
          <w:rFonts w:asciiTheme="minorHAnsi" w:hAnsiTheme="minorHAnsi" w:cstheme="minorHAnsi"/>
          <w:sz w:val="22"/>
          <w:szCs w:val="22"/>
        </w:rPr>
        <w:t xml:space="preserve"> 2016, </w:t>
      </w:r>
      <w:proofErr w:type="spellStart"/>
      <w:r w:rsidRPr="00C743FB">
        <w:rPr>
          <w:rFonts w:asciiTheme="minorHAnsi" w:hAnsiTheme="minorHAnsi" w:cstheme="minorHAnsi"/>
          <w:sz w:val="22"/>
          <w:szCs w:val="22"/>
        </w:rPr>
        <w:t>aant</w:t>
      </w:r>
      <w:proofErr w:type="spellEnd"/>
      <w:r w:rsidRPr="00C743FB">
        <w:rPr>
          <w:rFonts w:asciiTheme="minorHAnsi" w:hAnsiTheme="minorHAnsi" w:cstheme="minorHAnsi"/>
          <w:sz w:val="22"/>
          <w:szCs w:val="22"/>
        </w:rPr>
        <w:t>. 2</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A.J. </w:t>
      </w:r>
      <w:proofErr w:type="spellStart"/>
      <w:r w:rsidRPr="00C743FB">
        <w:rPr>
          <w:rFonts w:asciiTheme="minorHAnsi" w:hAnsiTheme="minorHAnsi" w:cstheme="minorHAnsi"/>
          <w:b w:val="0"/>
          <w:sz w:val="22"/>
          <w:szCs w:val="22"/>
        </w:rPr>
        <w:t>Verdaas</w:t>
      </w:r>
      <w:proofErr w:type="spellEnd"/>
      <w:r w:rsidRPr="00C743FB">
        <w:rPr>
          <w:rFonts w:asciiTheme="minorHAnsi" w:hAnsiTheme="minorHAnsi" w:cstheme="minorHAnsi"/>
          <w:b w:val="0"/>
          <w:sz w:val="22"/>
          <w:szCs w:val="22"/>
        </w:rPr>
        <w:t xml:space="preserve">, ‘Art. 53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2 Ratio en reikwijdte’, </w:t>
      </w:r>
      <w:r w:rsidRPr="00C743FB">
        <w:rPr>
          <w:rFonts w:asciiTheme="minorHAnsi" w:hAnsiTheme="minorHAnsi" w:cstheme="minorHAnsi"/>
          <w:b w:val="0"/>
          <w:i/>
          <w:sz w:val="22"/>
          <w:szCs w:val="22"/>
        </w:rPr>
        <w:t>GS Insolventierecht</w:t>
      </w:r>
      <w:r w:rsidRPr="00C743FB">
        <w:rPr>
          <w:rFonts w:asciiTheme="minorHAnsi" w:hAnsiTheme="minorHAnsi" w:cstheme="minorHAnsi"/>
          <w:b w:val="0"/>
          <w:sz w:val="22"/>
          <w:szCs w:val="22"/>
        </w:rPr>
        <w:t xml:space="preserve"> 2016, </w:t>
      </w:r>
      <w:proofErr w:type="spellStart"/>
      <w:r w:rsidRPr="00C743FB">
        <w:rPr>
          <w:rFonts w:asciiTheme="minorHAnsi" w:hAnsiTheme="minorHAnsi" w:cstheme="minorHAnsi"/>
          <w:b w:val="0"/>
          <w:sz w:val="22"/>
          <w:szCs w:val="22"/>
        </w:rPr>
        <w:t>aant</w:t>
      </w:r>
      <w:proofErr w:type="spellEnd"/>
      <w:r w:rsidRPr="00C743FB">
        <w:rPr>
          <w:rFonts w:asciiTheme="minorHAnsi" w:hAnsiTheme="minorHAnsi" w:cstheme="minorHAnsi"/>
          <w:b w:val="0"/>
          <w:sz w:val="22"/>
          <w:szCs w:val="22"/>
        </w:rPr>
        <w:t>. 2.</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Verdaas</w:t>
      </w:r>
      <w:proofErr w:type="spellEnd"/>
      <w:r w:rsidRPr="00C743FB">
        <w:rPr>
          <w:rFonts w:asciiTheme="minorHAnsi" w:hAnsiTheme="minorHAnsi" w:cstheme="minorHAnsi"/>
          <w:sz w:val="22"/>
          <w:szCs w:val="22"/>
        </w:rPr>
        <w:t xml:space="preserve">, </w:t>
      </w:r>
      <w:r w:rsidRPr="00C743FB">
        <w:rPr>
          <w:rFonts w:asciiTheme="minorHAnsi" w:hAnsiTheme="minorHAnsi" w:cstheme="minorHAnsi"/>
          <w:i/>
          <w:sz w:val="22"/>
          <w:szCs w:val="22"/>
        </w:rPr>
        <w:t>GS</w:t>
      </w:r>
      <w:r w:rsidRPr="00C743FB">
        <w:rPr>
          <w:rFonts w:asciiTheme="minorHAnsi" w:hAnsiTheme="minorHAnsi" w:cstheme="minorHAnsi"/>
          <w:sz w:val="22"/>
          <w:szCs w:val="22"/>
        </w:rPr>
        <w:t xml:space="preserve"> 2016, </w:t>
      </w:r>
      <w:proofErr w:type="spellStart"/>
      <w:r w:rsidRPr="00C743FB">
        <w:rPr>
          <w:rFonts w:asciiTheme="minorHAnsi" w:hAnsiTheme="minorHAnsi" w:cstheme="minorHAnsi"/>
          <w:sz w:val="22"/>
          <w:szCs w:val="22"/>
        </w:rPr>
        <w:t>aant</w:t>
      </w:r>
      <w:proofErr w:type="spellEnd"/>
      <w:r w:rsidRPr="00C743FB">
        <w:rPr>
          <w:rFonts w:asciiTheme="minorHAnsi" w:hAnsiTheme="minorHAnsi" w:cstheme="minorHAnsi"/>
          <w:sz w:val="22"/>
          <w:szCs w:val="22"/>
        </w:rPr>
        <w:t>. 3</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A.J. </w:t>
      </w:r>
      <w:proofErr w:type="spellStart"/>
      <w:r w:rsidRPr="00C743FB">
        <w:rPr>
          <w:rFonts w:asciiTheme="minorHAnsi" w:hAnsiTheme="minorHAnsi" w:cstheme="minorHAnsi"/>
          <w:b w:val="0"/>
          <w:sz w:val="22"/>
          <w:szCs w:val="22"/>
        </w:rPr>
        <w:t>Verdaas</w:t>
      </w:r>
      <w:proofErr w:type="spellEnd"/>
      <w:r w:rsidRPr="00C743FB">
        <w:rPr>
          <w:rFonts w:asciiTheme="minorHAnsi" w:hAnsiTheme="minorHAnsi" w:cstheme="minorHAnsi"/>
          <w:b w:val="0"/>
          <w:sz w:val="22"/>
          <w:szCs w:val="22"/>
        </w:rPr>
        <w:t xml:space="preserve">, ‘Art.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3 Verhouding tot artikel 53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w:t>
      </w:r>
      <w:r w:rsidRPr="00C743FB">
        <w:rPr>
          <w:rFonts w:asciiTheme="minorHAnsi" w:hAnsiTheme="minorHAnsi" w:cstheme="minorHAnsi"/>
          <w:b w:val="0"/>
          <w:i/>
          <w:sz w:val="22"/>
          <w:szCs w:val="22"/>
        </w:rPr>
        <w:t>GS Insolventierecht</w:t>
      </w:r>
      <w:r w:rsidRPr="00C743FB">
        <w:rPr>
          <w:rFonts w:asciiTheme="minorHAnsi" w:hAnsiTheme="minorHAnsi" w:cstheme="minorHAnsi"/>
          <w:b w:val="0"/>
          <w:sz w:val="22"/>
          <w:szCs w:val="22"/>
        </w:rPr>
        <w:t xml:space="preserve"> 2016, </w:t>
      </w:r>
      <w:proofErr w:type="spellStart"/>
      <w:r w:rsidRPr="00C743FB">
        <w:rPr>
          <w:rFonts w:asciiTheme="minorHAnsi" w:hAnsiTheme="minorHAnsi" w:cstheme="minorHAnsi"/>
          <w:b w:val="0"/>
          <w:sz w:val="22"/>
          <w:szCs w:val="22"/>
        </w:rPr>
        <w:t>aant</w:t>
      </w:r>
      <w:proofErr w:type="spellEnd"/>
      <w:r w:rsidRPr="00C743FB">
        <w:rPr>
          <w:rFonts w:asciiTheme="minorHAnsi" w:hAnsiTheme="minorHAnsi" w:cstheme="minorHAnsi"/>
          <w:b w:val="0"/>
          <w:sz w:val="22"/>
          <w:szCs w:val="22"/>
        </w:rPr>
        <w:t>. 3.</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Verdaas</w:t>
      </w:r>
      <w:proofErr w:type="spellEnd"/>
      <w:r w:rsidRPr="00C743FB">
        <w:rPr>
          <w:rFonts w:asciiTheme="minorHAnsi" w:hAnsiTheme="minorHAnsi" w:cstheme="minorHAnsi"/>
          <w:sz w:val="22"/>
          <w:szCs w:val="22"/>
        </w:rPr>
        <w:t xml:space="preserve">, </w:t>
      </w:r>
      <w:r w:rsidRPr="00C743FB">
        <w:rPr>
          <w:rFonts w:asciiTheme="minorHAnsi" w:hAnsiTheme="minorHAnsi" w:cstheme="minorHAnsi"/>
          <w:i/>
          <w:sz w:val="22"/>
          <w:szCs w:val="22"/>
        </w:rPr>
        <w:t>GS</w:t>
      </w:r>
      <w:r w:rsidRPr="00C743FB">
        <w:rPr>
          <w:rFonts w:asciiTheme="minorHAnsi" w:hAnsiTheme="minorHAnsi" w:cstheme="minorHAnsi"/>
          <w:sz w:val="22"/>
          <w:szCs w:val="22"/>
        </w:rPr>
        <w:t xml:space="preserve"> 2016, </w:t>
      </w:r>
      <w:proofErr w:type="spellStart"/>
      <w:r w:rsidRPr="00C743FB">
        <w:rPr>
          <w:rFonts w:asciiTheme="minorHAnsi" w:hAnsiTheme="minorHAnsi" w:cstheme="minorHAnsi"/>
          <w:sz w:val="22"/>
          <w:szCs w:val="22"/>
        </w:rPr>
        <w:t>aant</w:t>
      </w:r>
      <w:proofErr w:type="spellEnd"/>
      <w:r w:rsidRPr="00C743FB">
        <w:rPr>
          <w:rFonts w:asciiTheme="minorHAnsi" w:hAnsiTheme="minorHAnsi" w:cstheme="minorHAnsi"/>
          <w:sz w:val="22"/>
          <w:szCs w:val="22"/>
        </w:rPr>
        <w:t>. 4</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A.J. </w:t>
      </w:r>
      <w:proofErr w:type="spellStart"/>
      <w:r w:rsidRPr="00C743FB">
        <w:rPr>
          <w:rFonts w:asciiTheme="minorHAnsi" w:hAnsiTheme="minorHAnsi" w:cstheme="minorHAnsi"/>
          <w:b w:val="0"/>
          <w:sz w:val="22"/>
          <w:szCs w:val="22"/>
        </w:rPr>
        <w:t>Verdaas</w:t>
      </w:r>
      <w:proofErr w:type="spellEnd"/>
      <w:r w:rsidRPr="00C743FB">
        <w:rPr>
          <w:rFonts w:asciiTheme="minorHAnsi" w:hAnsiTheme="minorHAnsi" w:cstheme="minorHAnsi"/>
          <w:b w:val="0"/>
          <w:sz w:val="22"/>
          <w:szCs w:val="22"/>
        </w:rPr>
        <w:t xml:space="preserve">, ‘Art.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4 Overneming ná faillietverklaring (lid 2)’, </w:t>
      </w:r>
      <w:r w:rsidRPr="00C743FB">
        <w:rPr>
          <w:rFonts w:asciiTheme="minorHAnsi" w:hAnsiTheme="minorHAnsi" w:cstheme="minorHAnsi"/>
          <w:b w:val="0"/>
          <w:i/>
          <w:sz w:val="22"/>
          <w:szCs w:val="22"/>
        </w:rPr>
        <w:t>GS Insolventierecht</w:t>
      </w:r>
      <w:r w:rsidRPr="00C743FB">
        <w:rPr>
          <w:rFonts w:asciiTheme="minorHAnsi" w:hAnsiTheme="minorHAnsi" w:cstheme="minorHAnsi"/>
          <w:b w:val="0"/>
          <w:sz w:val="22"/>
          <w:szCs w:val="22"/>
        </w:rPr>
        <w:t xml:space="preserve"> 2016, </w:t>
      </w:r>
      <w:proofErr w:type="spellStart"/>
      <w:r w:rsidRPr="00C743FB">
        <w:rPr>
          <w:rFonts w:asciiTheme="minorHAnsi" w:hAnsiTheme="minorHAnsi" w:cstheme="minorHAnsi"/>
          <w:b w:val="0"/>
          <w:sz w:val="22"/>
          <w:szCs w:val="22"/>
        </w:rPr>
        <w:t>aant</w:t>
      </w:r>
      <w:proofErr w:type="spellEnd"/>
      <w:r w:rsidRPr="00C743FB">
        <w:rPr>
          <w:rFonts w:asciiTheme="minorHAnsi" w:hAnsiTheme="minorHAnsi" w:cstheme="minorHAnsi"/>
          <w:b w:val="0"/>
          <w:sz w:val="22"/>
          <w:szCs w:val="22"/>
        </w:rPr>
        <w:t>. 4.</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Verdaas</w:t>
      </w:r>
      <w:proofErr w:type="spellEnd"/>
      <w:r w:rsidRPr="00C743FB">
        <w:rPr>
          <w:rFonts w:asciiTheme="minorHAnsi" w:hAnsiTheme="minorHAnsi" w:cstheme="minorHAnsi"/>
          <w:sz w:val="22"/>
          <w:szCs w:val="22"/>
        </w:rPr>
        <w:t xml:space="preserve">, </w:t>
      </w:r>
      <w:r w:rsidRPr="00C743FB">
        <w:rPr>
          <w:rFonts w:asciiTheme="minorHAnsi" w:hAnsiTheme="minorHAnsi" w:cstheme="minorHAnsi"/>
          <w:i/>
          <w:sz w:val="22"/>
          <w:szCs w:val="22"/>
        </w:rPr>
        <w:t>GS</w:t>
      </w:r>
      <w:r w:rsidRPr="00C743FB">
        <w:rPr>
          <w:rFonts w:asciiTheme="minorHAnsi" w:hAnsiTheme="minorHAnsi" w:cstheme="minorHAnsi"/>
          <w:sz w:val="22"/>
          <w:szCs w:val="22"/>
        </w:rPr>
        <w:t xml:space="preserve"> 2016, </w:t>
      </w:r>
      <w:proofErr w:type="spellStart"/>
      <w:r w:rsidRPr="00C743FB">
        <w:rPr>
          <w:rFonts w:asciiTheme="minorHAnsi" w:hAnsiTheme="minorHAnsi" w:cstheme="minorHAnsi"/>
          <w:sz w:val="22"/>
          <w:szCs w:val="22"/>
        </w:rPr>
        <w:t>aant</w:t>
      </w:r>
      <w:proofErr w:type="spellEnd"/>
      <w:r w:rsidRPr="00C743FB">
        <w:rPr>
          <w:rFonts w:asciiTheme="minorHAnsi" w:hAnsiTheme="minorHAnsi" w:cstheme="minorHAnsi"/>
          <w:sz w:val="22"/>
          <w:szCs w:val="22"/>
        </w:rPr>
        <w:t>. 5</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A.J. </w:t>
      </w:r>
      <w:proofErr w:type="spellStart"/>
      <w:r w:rsidRPr="00C743FB">
        <w:rPr>
          <w:rFonts w:asciiTheme="minorHAnsi" w:hAnsiTheme="minorHAnsi" w:cstheme="minorHAnsi"/>
          <w:b w:val="0"/>
          <w:sz w:val="22"/>
          <w:szCs w:val="22"/>
        </w:rPr>
        <w:t>Verdaas</w:t>
      </w:r>
      <w:proofErr w:type="spellEnd"/>
      <w:r w:rsidRPr="00C743FB">
        <w:rPr>
          <w:rFonts w:asciiTheme="minorHAnsi" w:hAnsiTheme="minorHAnsi" w:cstheme="minorHAnsi"/>
          <w:b w:val="0"/>
          <w:sz w:val="22"/>
          <w:szCs w:val="22"/>
        </w:rPr>
        <w:t xml:space="preserve">, ‘Art.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5 Verrekening vóór faillietverklaring’, </w:t>
      </w:r>
      <w:r w:rsidRPr="00C743FB">
        <w:rPr>
          <w:rFonts w:asciiTheme="minorHAnsi" w:hAnsiTheme="minorHAnsi" w:cstheme="minorHAnsi"/>
          <w:b w:val="0"/>
          <w:i/>
          <w:sz w:val="22"/>
          <w:szCs w:val="22"/>
        </w:rPr>
        <w:t>GS Insolventierecht</w:t>
      </w:r>
      <w:r w:rsidRPr="00C743FB">
        <w:rPr>
          <w:rFonts w:asciiTheme="minorHAnsi" w:hAnsiTheme="minorHAnsi" w:cstheme="minorHAnsi"/>
          <w:b w:val="0"/>
          <w:sz w:val="22"/>
          <w:szCs w:val="22"/>
        </w:rPr>
        <w:t xml:space="preserve"> 2016, </w:t>
      </w:r>
      <w:proofErr w:type="spellStart"/>
      <w:r w:rsidRPr="00C743FB">
        <w:rPr>
          <w:rFonts w:asciiTheme="minorHAnsi" w:hAnsiTheme="minorHAnsi" w:cstheme="minorHAnsi"/>
          <w:b w:val="0"/>
          <w:sz w:val="22"/>
          <w:szCs w:val="22"/>
        </w:rPr>
        <w:t>aant</w:t>
      </w:r>
      <w:proofErr w:type="spellEnd"/>
      <w:r w:rsidRPr="00C743FB">
        <w:rPr>
          <w:rFonts w:asciiTheme="minorHAnsi" w:hAnsiTheme="minorHAnsi" w:cstheme="minorHAnsi"/>
          <w:b w:val="0"/>
          <w:sz w:val="22"/>
          <w:szCs w:val="22"/>
        </w:rPr>
        <w:t>. 5.</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Verdaas</w:t>
      </w:r>
      <w:proofErr w:type="spellEnd"/>
      <w:r w:rsidRPr="00C743FB">
        <w:rPr>
          <w:rFonts w:asciiTheme="minorHAnsi" w:hAnsiTheme="minorHAnsi" w:cstheme="minorHAnsi"/>
          <w:sz w:val="22"/>
          <w:szCs w:val="22"/>
        </w:rPr>
        <w:t xml:space="preserve">, </w:t>
      </w:r>
      <w:r w:rsidRPr="00C743FB">
        <w:rPr>
          <w:rFonts w:asciiTheme="minorHAnsi" w:hAnsiTheme="minorHAnsi" w:cstheme="minorHAnsi"/>
          <w:i/>
          <w:sz w:val="22"/>
          <w:szCs w:val="22"/>
        </w:rPr>
        <w:t>GS</w:t>
      </w:r>
      <w:r w:rsidRPr="00C743FB">
        <w:rPr>
          <w:rFonts w:asciiTheme="minorHAnsi" w:hAnsiTheme="minorHAnsi" w:cstheme="minorHAnsi"/>
          <w:sz w:val="22"/>
          <w:szCs w:val="22"/>
        </w:rPr>
        <w:t xml:space="preserve"> 2016, </w:t>
      </w:r>
      <w:proofErr w:type="spellStart"/>
      <w:r w:rsidRPr="00C743FB">
        <w:rPr>
          <w:rFonts w:asciiTheme="minorHAnsi" w:hAnsiTheme="minorHAnsi" w:cstheme="minorHAnsi"/>
          <w:sz w:val="22"/>
          <w:szCs w:val="22"/>
        </w:rPr>
        <w:t>aant</w:t>
      </w:r>
      <w:proofErr w:type="spellEnd"/>
      <w:r w:rsidRPr="00C743FB">
        <w:rPr>
          <w:rFonts w:asciiTheme="minorHAnsi" w:hAnsiTheme="minorHAnsi" w:cstheme="minorHAnsi"/>
          <w:sz w:val="22"/>
          <w:szCs w:val="22"/>
        </w:rPr>
        <w:t>. 8</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A.J. </w:t>
      </w:r>
      <w:proofErr w:type="spellStart"/>
      <w:r w:rsidRPr="00C743FB">
        <w:rPr>
          <w:rFonts w:asciiTheme="minorHAnsi" w:hAnsiTheme="minorHAnsi" w:cstheme="minorHAnsi"/>
          <w:b w:val="0"/>
          <w:sz w:val="22"/>
          <w:szCs w:val="22"/>
        </w:rPr>
        <w:t>Verdaas</w:t>
      </w:r>
      <w:proofErr w:type="spellEnd"/>
      <w:r w:rsidRPr="00C743FB">
        <w:rPr>
          <w:rFonts w:asciiTheme="minorHAnsi" w:hAnsiTheme="minorHAnsi" w:cstheme="minorHAnsi"/>
          <w:b w:val="0"/>
          <w:sz w:val="22"/>
          <w:szCs w:val="22"/>
        </w:rPr>
        <w:t xml:space="preserve">, ‘Art.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8 Uitleg van het begrip overneming van een schuld of vordering’, </w:t>
      </w:r>
      <w:r w:rsidRPr="00C743FB">
        <w:rPr>
          <w:rFonts w:asciiTheme="minorHAnsi" w:hAnsiTheme="minorHAnsi" w:cstheme="minorHAnsi"/>
          <w:b w:val="0"/>
          <w:i/>
          <w:sz w:val="22"/>
          <w:szCs w:val="22"/>
        </w:rPr>
        <w:t>GS Insolventierecht</w:t>
      </w:r>
      <w:r w:rsidRPr="00C743FB">
        <w:rPr>
          <w:rFonts w:asciiTheme="minorHAnsi" w:hAnsiTheme="minorHAnsi" w:cstheme="minorHAnsi"/>
          <w:b w:val="0"/>
          <w:sz w:val="22"/>
          <w:szCs w:val="22"/>
        </w:rPr>
        <w:t xml:space="preserve"> 2016, </w:t>
      </w:r>
      <w:proofErr w:type="spellStart"/>
      <w:r w:rsidRPr="00C743FB">
        <w:rPr>
          <w:rFonts w:asciiTheme="minorHAnsi" w:hAnsiTheme="minorHAnsi" w:cstheme="minorHAnsi"/>
          <w:b w:val="0"/>
          <w:sz w:val="22"/>
          <w:szCs w:val="22"/>
        </w:rPr>
        <w:t>aant</w:t>
      </w:r>
      <w:proofErr w:type="spellEnd"/>
      <w:r w:rsidRPr="00C743FB">
        <w:rPr>
          <w:rFonts w:asciiTheme="minorHAnsi" w:hAnsiTheme="minorHAnsi" w:cstheme="minorHAnsi"/>
          <w:b w:val="0"/>
          <w:sz w:val="22"/>
          <w:szCs w:val="22"/>
        </w:rPr>
        <w:t>. 8.</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Verstijlen</w:t>
      </w:r>
      <w:proofErr w:type="spellEnd"/>
      <w:r w:rsidRPr="00C743FB">
        <w:rPr>
          <w:rFonts w:asciiTheme="minorHAnsi" w:hAnsiTheme="minorHAnsi" w:cstheme="minorHAnsi"/>
          <w:sz w:val="22"/>
          <w:szCs w:val="22"/>
        </w:rPr>
        <w:t xml:space="preserve">, </w:t>
      </w:r>
      <w:r w:rsidRPr="00C743FB">
        <w:rPr>
          <w:rFonts w:asciiTheme="minorHAnsi" w:hAnsiTheme="minorHAnsi" w:cstheme="minorHAnsi"/>
          <w:i/>
          <w:sz w:val="22"/>
          <w:szCs w:val="22"/>
        </w:rPr>
        <w:t xml:space="preserve">NJ </w:t>
      </w:r>
      <w:r w:rsidRPr="00C743FB">
        <w:rPr>
          <w:rFonts w:asciiTheme="minorHAnsi" w:hAnsiTheme="minorHAnsi" w:cstheme="minorHAnsi"/>
          <w:sz w:val="22"/>
          <w:szCs w:val="22"/>
        </w:rPr>
        <w:t>2013/156, noot 5</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F.M.J. </w:t>
      </w:r>
      <w:proofErr w:type="spellStart"/>
      <w:r w:rsidRPr="00C743FB">
        <w:rPr>
          <w:rFonts w:asciiTheme="minorHAnsi" w:hAnsiTheme="minorHAnsi" w:cstheme="minorHAnsi"/>
          <w:b w:val="0"/>
          <w:sz w:val="22"/>
          <w:szCs w:val="22"/>
        </w:rPr>
        <w:t>Verstijlen</w:t>
      </w:r>
      <w:proofErr w:type="spellEnd"/>
      <w:r w:rsidRPr="00C743FB">
        <w:rPr>
          <w:rFonts w:asciiTheme="minorHAnsi" w:hAnsiTheme="minorHAnsi" w:cstheme="minorHAnsi"/>
          <w:b w:val="0"/>
          <w:sz w:val="22"/>
          <w:szCs w:val="22"/>
        </w:rPr>
        <w:t xml:space="preserve"> ‘</w:t>
      </w:r>
      <w:proofErr w:type="spellStart"/>
      <w:r w:rsidRPr="00C743FB">
        <w:rPr>
          <w:rFonts w:asciiTheme="minorHAnsi" w:hAnsiTheme="minorHAnsi" w:cstheme="minorHAnsi"/>
          <w:b w:val="0"/>
          <w:sz w:val="22"/>
          <w:szCs w:val="22"/>
        </w:rPr>
        <w:t>Faillissementspauliana</w:t>
      </w:r>
      <w:proofErr w:type="spellEnd"/>
      <w:r w:rsidRPr="00C743FB">
        <w:rPr>
          <w:rFonts w:asciiTheme="minorHAnsi" w:hAnsiTheme="minorHAnsi" w:cstheme="minorHAnsi"/>
          <w:b w:val="0"/>
          <w:sz w:val="22"/>
          <w:szCs w:val="22"/>
        </w:rPr>
        <w:t xml:space="preserve"> en stille verpanding van toekomstige vorderingen d.m.v. verzamelpandakteconstructie. Rechtsgeldigheid constructie.’, </w:t>
      </w:r>
      <w:r w:rsidRPr="00C743FB">
        <w:rPr>
          <w:rFonts w:asciiTheme="minorHAnsi" w:hAnsiTheme="minorHAnsi" w:cstheme="minorHAnsi"/>
          <w:b w:val="0"/>
          <w:i/>
          <w:sz w:val="22"/>
          <w:szCs w:val="22"/>
        </w:rPr>
        <w:t xml:space="preserve">NJB </w:t>
      </w:r>
      <w:r w:rsidRPr="00C743FB">
        <w:rPr>
          <w:rFonts w:asciiTheme="minorHAnsi" w:hAnsiTheme="minorHAnsi" w:cstheme="minorHAnsi"/>
          <w:b w:val="0"/>
          <w:sz w:val="22"/>
          <w:szCs w:val="22"/>
        </w:rPr>
        <w:t>2013/156, noot 5.</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r w:rsidRPr="00C743FB">
        <w:rPr>
          <w:rFonts w:asciiTheme="minorHAnsi" w:hAnsiTheme="minorHAnsi" w:cstheme="minorHAnsi"/>
          <w:sz w:val="22"/>
          <w:szCs w:val="22"/>
        </w:rPr>
        <w:t xml:space="preserve">Wessels, </w:t>
      </w:r>
      <w:proofErr w:type="spellStart"/>
      <w:r w:rsidRPr="00C743FB">
        <w:rPr>
          <w:rFonts w:asciiTheme="minorHAnsi" w:hAnsiTheme="minorHAnsi" w:cstheme="minorHAnsi"/>
          <w:i/>
          <w:sz w:val="22"/>
          <w:szCs w:val="22"/>
        </w:rPr>
        <w:t>NTvH</w:t>
      </w:r>
      <w:proofErr w:type="spellEnd"/>
      <w:r w:rsidRPr="00C743FB">
        <w:rPr>
          <w:rFonts w:asciiTheme="minorHAnsi" w:hAnsiTheme="minorHAnsi" w:cstheme="minorHAnsi"/>
          <w:sz w:val="22"/>
          <w:szCs w:val="22"/>
        </w:rPr>
        <w:t xml:space="preserve"> 2015-5, p. 240 - 244</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B. Wessels, ‘Verrekening na faillissement’, </w:t>
      </w:r>
      <w:r w:rsidRPr="00C743FB">
        <w:rPr>
          <w:rFonts w:asciiTheme="minorHAnsi" w:hAnsiTheme="minorHAnsi" w:cstheme="minorHAnsi"/>
          <w:b w:val="0"/>
          <w:i/>
          <w:sz w:val="22"/>
          <w:szCs w:val="22"/>
        </w:rPr>
        <w:t xml:space="preserve">Nederlands Tijdschrift voor Handelsrecht </w:t>
      </w:r>
      <w:r w:rsidRPr="00C743FB">
        <w:rPr>
          <w:rFonts w:asciiTheme="minorHAnsi" w:hAnsiTheme="minorHAnsi" w:cstheme="minorHAnsi"/>
          <w:b w:val="0"/>
          <w:sz w:val="22"/>
          <w:szCs w:val="22"/>
        </w:rPr>
        <w:t>2015-5, p. 240 – 244.</w:t>
      </w:r>
    </w:p>
    <w:p w:rsidR="0025313E" w:rsidRPr="00C743FB" w:rsidRDefault="0025313E" w:rsidP="0025313E">
      <w:pPr>
        <w:pStyle w:val="Voetnoottekst"/>
        <w:numPr>
          <w:ilvl w:val="0"/>
          <w:numId w:val="16"/>
        </w:numPr>
        <w:jc w:val="left"/>
        <w:rPr>
          <w:rFonts w:asciiTheme="minorHAnsi" w:hAnsiTheme="minorHAnsi" w:cstheme="minorHAnsi"/>
          <w:b w:val="0"/>
          <w:sz w:val="22"/>
          <w:szCs w:val="22"/>
        </w:rPr>
      </w:pPr>
      <w:proofErr w:type="spellStart"/>
      <w:r w:rsidRPr="00C743FB">
        <w:rPr>
          <w:rFonts w:asciiTheme="minorHAnsi" w:hAnsiTheme="minorHAnsi" w:cstheme="minorHAnsi"/>
          <w:sz w:val="22"/>
          <w:szCs w:val="22"/>
        </w:rPr>
        <w:t>Wibier</w:t>
      </w:r>
      <w:proofErr w:type="spellEnd"/>
      <w:r w:rsidRPr="00C743FB">
        <w:rPr>
          <w:rFonts w:asciiTheme="minorHAnsi" w:hAnsiTheme="minorHAnsi" w:cstheme="minorHAnsi"/>
          <w:sz w:val="22"/>
          <w:szCs w:val="22"/>
        </w:rPr>
        <w:t xml:space="preserve"> en Tilburg, </w:t>
      </w:r>
      <w:proofErr w:type="spellStart"/>
      <w:r w:rsidRPr="00C743FB">
        <w:rPr>
          <w:rFonts w:asciiTheme="minorHAnsi" w:hAnsiTheme="minorHAnsi" w:cstheme="minorHAnsi"/>
          <w:i/>
          <w:sz w:val="22"/>
          <w:szCs w:val="22"/>
        </w:rPr>
        <w:t>NTvH</w:t>
      </w:r>
      <w:proofErr w:type="spellEnd"/>
      <w:r w:rsidRPr="00C743FB">
        <w:rPr>
          <w:rFonts w:asciiTheme="minorHAnsi" w:hAnsiTheme="minorHAnsi" w:cstheme="minorHAnsi"/>
          <w:i/>
          <w:sz w:val="22"/>
          <w:szCs w:val="22"/>
        </w:rPr>
        <w:t xml:space="preserve"> </w:t>
      </w:r>
      <w:r w:rsidRPr="00C743FB">
        <w:rPr>
          <w:rFonts w:asciiTheme="minorHAnsi" w:hAnsiTheme="minorHAnsi" w:cstheme="minorHAnsi"/>
          <w:sz w:val="22"/>
          <w:szCs w:val="22"/>
        </w:rPr>
        <w:t>2015-5, p. 249 - 252</w:t>
      </w:r>
    </w:p>
    <w:p w:rsidR="0025313E" w:rsidRPr="00C743FB" w:rsidRDefault="0025313E" w:rsidP="0025313E">
      <w:pPr>
        <w:pStyle w:val="Voetnoottekst"/>
        <w:ind w:left="720"/>
        <w:jc w:val="left"/>
        <w:rPr>
          <w:rFonts w:asciiTheme="minorHAnsi" w:hAnsiTheme="minorHAnsi" w:cstheme="minorHAnsi"/>
          <w:b w:val="0"/>
          <w:sz w:val="22"/>
          <w:szCs w:val="22"/>
        </w:rPr>
      </w:pPr>
      <w:r w:rsidRPr="00C743FB">
        <w:rPr>
          <w:rFonts w:asciiTheme="minorHAnsi" w:hAnsiTheme="minorHAnsi" w:cstheme="minorHAnsi"/>
          <w:b w:val="0"/>
          <w:sz w:val="22"/>
          <w:szCs w:val="22"/>
        </w:rPr>
        <w:t xml:space="preserve">R.M. </w:t>
      </w:r>
      <w:proofErr w:type="spellStart"/>
      <w:r w:rsidRPr="00C743FB">
        <w:rPr>
          <w:rFonts w:asciiTheme="minorHAnsi" w:hAnsiTheme="minorHAnsi" w:cstheme="minorHAnsi"/>
          <w:b w:val="0"/>
          <w:sz w:val="22"/>
          <w:szCs w:val="22"/>
        </w:rPr>
        <w:t>Wibier</w:t>
      </w:r>
      <w:proofErr w:type="spellEnd"/>
      <w:r w:rsidRPr="00C743FB">
        <w:rPr>
          <w:rFonts w:asciiTheme="minorHAnsi" w:hAnsiTheme="minorHAnsi" w:cstheme="minorHAnsi"/>
          <w:b w:val="0"/>
          <w:sz w:val="22"/>
          <w:szCs w:val="22"/>
        </w:rPr>
        <w:t xml:space="preserve"> en F.A. van Tilburg, ‘Verrekening en faillissement; artikel 54 </w:t>
      </w:r>
      <w:proofErr w:type="spellStart"/>
      <w:r w:rsidRPr="00C743FB">
        <w:rPr>
          <w:rFonts w:asciiTheme="minorHAnsi" w:hAnsiTheme="minorHAnsi" w:cstheme="minorHAnsi"/>
          <w:b w:val="0"/>
          <w:sz w:val="22"/>
          <w:szCs w:val="22"/>
        </w:rPr>
        <w:t>Fw</w:t>
      </w:r>
      <w:proofErr w:type="spellEnd"/>
      <w:r w:rsidRPr="00C743FB">
        <w:rPr>
          <w:rFonts w:asciiTheme="minorHAnsi" w:hAnsiTheme="minorHAnsi" w:cstheme="minorHAnsi"/>
          <w:b w:val="0"/>
          <w:sz w:val="22"/>
          <w:szCs w:val="22"/>
        </w:rPr>
        <w:t xml:space="preserve"> en de centrale positie van banken in het betalingsverkeer’, </w:t>
      </w:r>
      <w:r w:rsidRPr="00C743FB">
        <w:rPr>
          <w:rFonts w:asciiTheme="minorHAnsi" w:hAnsiTheme="minorHAnsi" w:cstheme="minorHAnsi"/>
          <w:b w:val="0"/>
          <w:i/>
          <w:sz w:val="22"/>
          <w:szCs w:val="22"/>
        </w:rPr>
        <w:t xml:space="preserve">Nederlands Tijdschrift voor Handelsrecht </w:t>
      </w:r>
      <w:r w:rsidRPr="00C743FB">
        <w:rPr>
          <w:rFonts w:asciiTheme="minorHAnsi" w:hAnsiTheme="minorHAnsi" w:cstheme="minorHAnsi"/>
          <w:b w:val="0"/>
          <w:sz w:val="22"/>
          <w:szCs w:val="22"/>
        </w:rPr>
        <w:t>2015-5, p. 249 – 251.</w:t>
      </w:r>
    </w:p>
    <w:p w:rsidR="00C7626E" w:rsidRPr="00C743FB" w:rsidRDefault="00C7626E" w:rsidP="00164E92">
      <w:pPr>
        <w:jc w:val="left"/>
        <w:rPr>
          <w:rFonts w:asciiTheme="minorHAnsi" w:hAnsiTheme="minorHAnsi" w:cstheme="minorHAnsi"/>
          <w:b w:val="0"/>
          <w:sz w:val="22"/>
          <w:szCs w:val="22"/>
        </w:rPr>
      </w:pPr>
    </w:p>
    <w:p w:rsidR="00825BC8" w:rsidRPr="00C743FB" w:rsidRDefault="00825BC8">
      <w:pPr>
        <w:rPr>
          <w:rFonts w:asciiTheme="minorHAnsi" w:hAnsiTheme="minorHAnsi" w:cstheme="minorHAnsi"/>
          <w:b w:val="0"/>
          <w:sz w:val="22"/>
          <w:szCs w:val="22"/>
        </w:rPr>
      </w:pPr>
      <w:r w:rsidRPr="00C743FB">
        <w:rPr>
          <w:rFonts w:asciiTheme="minorHAnsi" w:hAnsiTheme="minorHAnsi" w:cstheme="minorHAnsi"/>
          <w:b w:val="0"/>
          <w:sz w:val="22"/>
          <w:szCs w:val="22"/>
        </w:rPr>
        <w:br w:type="page"/>
      </w:r>
    </w:p>
    <w:p w:rsidR="002E7482" w:rsidRDefault="00825BC8" w:rsidP="00570D50">
      <w:pPr>
        <w:pStyle w:val="Kop1"/>
      </w:pPr>
      <w:bookmarkStart w:id="43" w:name="_Toc486246637"/>
      <w:r>
        <w:lastRenderedPageBreak/>
        <w:t>Jurisprudentielijst</w:t>
      </w:r>
      <w:bookmarkEnd w:id="43"/>
    </w:p>
    <w:p w:rsidR="00570D50" w:rsidRPr="00570D50" w:rsidRDefault="00570D50" w:rsidP="00570D50"/>
    <w:p w:rsidR="002E32D5" w:rsidRPr="00570D50" w:rsidRDefault="00D02972" w:rsidP="00570D50">
      <w:pPr>
        <w:pStyle w:val="Kop2"/>
        <w:spacing w:before="0" w:beforeAutospacing="0" w:after="0" w:afterAutospacing="0"/>
        <w:rPr>
          <w:rFonts w:asciiTheme="minorHAnsi" w:hAnsiTheme="minorHAnsi" w:cstheme="minorHAnsi"/>
          <w:sz w:val="24"/>
          <w:szCs w:val="24"/>
        </w:rPr>
      </w:pPr>
      <w:bookmarkStart w:id="44" w:name="_Toc486246638"/>
      <w:r w:rsidRPr="00570D50">
        <w:rPr>
          <w:rFonts w:asciiTheme="minorHAnsi" w:hAnsiTheme="minorHAnsi" w:cstheme="minorHAnsi"/>
          <w:sz w:val="24"/>
          <w:szCs w:val="24"/>
        </w:rPr>
        <w:t>§1</w:t>
      </w:r>
      <w:r w:rsidR="00C9265B" w:rsidRPr="00570D50">
        <w:rPr>
          <w:rFonts w:asciiTheme="minorHAnsi" w:hAnsiTheme="minorHAnsi" w:cstheme="minorHAnsi"/>
          <w:sz w:val="24"/>
          <w:szCs w:val="24"/>
        </w:rPr>
        <w:t xml:space="preserve"> Aangehaalde jurisprudentie (theoretisch kader)</w:t>
      </w:r>
      <w:bookmarkEnd w:id="44"/>
    </w:p>
    <w:p w:rsidR="00570D50" w:rsidRPr="00570D50" w:rsidRDefault="00570D50" w:rsidP="00570D50">
      <w:pPr>
        <w:pStyle w:val="Voetnoottekst"/>
        <w:ind w:left="720"/>
        <w:jc w:val="left"/>
        <w:rPr>
          <w:rFonts w:asciiTheme="minorHAnsi" w:hAnsiTheme="minorHAnsi" w:cstheme="minorHAnsi"/>
          <w:b w:val="0"/>
          <w:sz w:val="22"/>
        </w:rPr>
      </w:pPr>
    </w:p>
    <w:p w:rsidR="002E32D5" w:rsidRPr="00C743FB" w:rsidRDefault="002E32D5" w:rsidP="002E32D5">
      <w:pPr>
        <w:pStyle w:val="Voetnoottekst"/>
        <w:numPr>
          <w:ilvl w:val="0"/>
          <w:numId w:val="18"/>
        </w:numPr>
        <w:jc w:val="left"/>
        <w:rPr>
          <w:rFonts w:asciiTheme="minorHAnsi" w:hAnsiTheme="minorHAnsi" w:cstheme="minorHAnsi"/>
          <w:b w:val="0"/>
          <w:sz w:val="22"/>
        </w:rPr>
      </w:pPr>
      <w:r w:rsidRPr="00C743FB">
        <w:rPr>
          <w:rFonts w:asciiTheme="minorHAnsi" w:hAnsiTheme="minorHAnsi" w:cstheme="minorHAnsi"/>
          <w:sz w:val="22"/>
        </w:rPr>
        <w:t>ECLI:NL:HR:1994:ZC1488</w:t>
      </w:r>
    </w:p>
    <w:p w:rsidR="002E32D5" w:rsidRPr="00C743FB" w:rsidRDefault="002E32D5" w:rsidP="002E32D5">
      <w:pPr>
        <w:pStyle w:val="Voetnoottekst"/>
        <w:ind w:left="720"/>
        <w:jc w:val="left"/>
        <w:rPr>
          <w:rFonts w:asciiTheme="minorHAnsi" w:hAnsiTheme="minorHAnsi" w:cstheme="minorHAnsi"/>
          <w:b w:val="0"/>
          <w:sz w:val="22"/>
        </w:rPr>
      </w:pPr>
      <w:r w:rsidRPr="00C743FB">
        <w:rPr>
          <w:rFonts w:asciiTheme="minorHAnsi" w:hAnsiTheme="minorHAnsi" w:cstheme="minorHAnsi"/>
          <w:b w:val="0"/>
          <w:sz w:val="22"/>
        </w:rPr>
        <w:t>HR 14 oktober 1994, ECLI:NL:HR:1994:ZC1488.</w:t>
      </w:r>
    </w:p>
    <w:p w:rsidR="002E32D5" w:rsidRPr="00C743FB" w:rsidRDefault="002E32D5" w:rsidP="002E32D5">
      <w:pPr>
        <w:pStyle w:val="Voetnoottekst"/>
        <w:numPr>
          <w:ilvl w:val="0"/>
          <w:numId w:val="18"/>
        </w:numPr>
        <w:jc w:val="left"/>
        <w:rPr>
          <w:rFonts w:asciiTheme="minorHAnsi" w:hAnsiTheme="minorHAnsi" w:cstheme="minorHAnsi"/>
          <w:sz w:val="22"/>
        </w:rPr>
      </w:pPr>
      <w:r w:rsidRPr="00C743FB">
        <w:rPr>
          <w:rFonts w:asciiTheme="minorHAnsi" w:hAnsiTheme="minorHAnsi" w:cstheme="minorHAnsi"/>
          <w:sz w:val="22"/>
        </w:rPr>
        <w:t>ECLI:NL:HR:1995:ZC1641</w:t>
      </w:r>
    </w:p>
    <w:p w:rsidR="002E32D5" w:rsidRPr="00C743FB" w:rsidRDefault="002E32D5" w:rsidP="002E32D5">
      <w:pPr>
        <w:pStyle w:val="Voetnoottekst"/>
        <w:ind w:left="720"/>
        <w:jc w:val="left"/>
        <w:rPr>
          <w:rFonts w:asciiTheme="minorHAnsi" w:hAnsiTheme="minorHAnsi" w:cstheme="minorHAnsi"/>
          <w:b w:val="0"/>
          <w:sz w:val="22"/>
        </w:rPr>
      </w:pPr>
      <w:r w:rsidRPr="00C743FB">
        <w:rPr>
          <w:rFonts w:asciiTheme="minorHAnsi" w:hAnsiTheme="minorHAnsi" w:cstheme="minorHAnsi"/>
          <w:b w:val="0"/>
          <w:sz w:val="22"/>
        </w:rPr>
        <w:t>HR 17 februari 1995, ECLI:NL:HR:1995:ZC1641.</w:t>
      </w:r>
    </w:p>
    <w:p w:rsidR="002E32D5" w:rsidRPr="00C743FB" w:rsidRDefault="002E32D5" w:rsidP="002E32D5">
      <w:pPr>
        <w:pStyle w:val="Voetnoottekst"/>
        <w:numPr>
          <w:ilvl w:val="0"/>
          <w:numId w:val="18"/>
        </w:numPr>
        <w:jc w:val="left"/>
        <w:rPr>
          <w:rFonts w:asciiTheme="minorHAnsi" w:hAnsiTheme="minorHAnsi" w:cstheme="minorHAnsi"/>
          <w:sz w:val="22"/>
        </w:rPr>
      </w:pPr>
      <w:r w:rsidRPr="00C743FB">
        <w:rPr>
          <w:rFonts w:asciiTheme="minorHAnsi" w:hAnsiTheme="minorHAnsi" w:cstheme="minorHAnsi"/>
          <w:sz w:val="22"/>
        </w:rPr>
        <w:t>ECLI:NL:HR:2000:AA6234</w:t>
      </w:r>
    </w:p>
    <w:p w:rsidR="002E32D5" w:rsidRPr="00C743FB" w:rsidRDefault="002E32D5" w:rsidP="002E32D5">
      <w:pPr>
        <w:pStyle w:val="Voetnoottekst"/>
        <w:ind w:left="720"/>
        <w:jc w:val="left"/>
        <w:rPr>
          <w:rFonts w:asciiTheme="minorHAnsi" w:hAnsiTheme="minorHAnsi" w:cstheme="minorHAnsi"/>
          <w:b w:val="0"/>
          <w:sz w:val="22"/>
        </w:rPr>
      </w:pPr>
      <w:r w:rsidRPr="00C743FB">
        <w:rPr>
          <w:rFonts w:asciiTheme="minorHAnsi" w:hAnsiTheme="minorHAnsi" w:cstheme="minorHAnsi"/>
          <w:b w:val="0"/>
          <w:sz w:val="22"/>
        </w:rPr>
        <w:t>HR 16 juni 2000, ECLI:NL:HR:2000:AA6234.</w:t>
      </w:r>
    </w:p>
    <w:p w:rsidR="002E32D5" w:rsidRPr="00C743FB" w:rsidRDefault="002E32D5" w:rsidP="002E32D5">
      <w:pPr>
        <w:pStyle w:val="Voetnoottekst"/>
        <w:numPr>
          <w:ilvl w:val="0"/>
          <w:numId w:val="18"/>
        </w:numPr>
        <w:jc w:val="left"/>
        <w:rPr>
          <w:rFonts w:asciiTheme="minorHAnsi" w:hAnsiTheme="minorHAnsi" w:cstheme="minorHAnsi"/>
          <w:sz w:val="22"/>
        </w:rPr>
      </w:pPr>
      <w:r w:rsidRPr="00C743FB">
        <w:rPr>
          <w:rFonts w:asciiTheme="minorHAnsi" w:hAnsiTheme="minorHAnsi" w:cstheme="minorHAnsi"/>
          <w:sz w:val="22"/>
        </w:rPr>
        <w:t>ECLI:NL:HR:2001:AB2435</w:t>
      </w:r>
    </w:p>
    <w:p w:rsidR="002E32D5" w:rsidRPr="00C743FB" w:rsidRDefault="002E32D5" w:rsidP="002E32D5">
      <w:pPr>
        <w:pStyle w:val="Voetnoottekst"/>
        <w:ind w:left="720"/>
        <w:jc w:val="left"/>
        <w:rPr>
          <w:rFonts w:asciiTheme="minorHAnsi" w:hAnsiTheme="minorHAnsi" w:cstheme="minorHAnsi"/>
          <w:b w:val="0"/>
          <w:sz w:val="22"/>
        </w:rPr>
      </w:pPr>
      <w:r w:rsidRPr="00C743FB">
        <w:rPr>
          <w:rFonts w:asciiTheme="minorHAnsi" w:hAnsiTheme="minorHAnsi" w:cstheme="minorHAnsi"/>
          <w:b w:val="0"/>
          <w:sz w:val="22"/>
        </w:rPr>
        <w:t>HR 29 juni 2001, ECLI:NL:HR:2001:AB2435.</w:t>
      </w:r>
    </w:p>
    <w:p w:rsidR="002E32D5" w:rsidRPr="00C743FB" w:rsidRDefault="002E32D5" w:rsidP="002E32D5">
      <w:pPr>
        <w:pStyle w:val="Voetnoottekst"/>
        <w:numPr>
          <w:ilvl w:val="0"/>
          <w:numId w:val="18"/>
        </w:numPr>
        <w:jc w:val="left"/>
        <w:rPr>
          <w:rFonts w:asciiTheme="minorHAnsi" w:hAnsiTheme="minorHAnsi" w:cstheme="minorHAnsi"/>
          <w:sz w:val="22"/>
        </w:rPr>
      </w:pPr>
      <w:r w:rsidRPr="00C743FB">
        <w:rPr>
          <w:rFonts w:asciiTheme="minorHAnsi" w:hAnsiTheme="minorHAnsi" w:cstheme="minorHAnsi"/>
          <w:sz w:val="22"/>
        </w:rPr>
        <w:t>ECLI:NL:HR:2004:AQ3055</w:t>
      </w:r>
    </w:p>
    <w:p w:rsidR="002E32D5" w:rsidRPr="00C743FB" w:rsidRDefault="002E32D5" w:rsidP="002E32D5">
      <w:pPr>
        <w:pStyle w:val="Voetnoottekst"/>
        <w:ind w:left="720"/>
        <w:jc w:val="left"/>
        <w:rPr>
          <w:rFonts w:asciiTheme="minorHAnsi" w:hAnsiTheme="minorHAnsi" w:cstheme="minorHAnsi"/>
          <w:b w:val="0"/>
          <w:sz w:val="22"/>
        </w:rPr>
      </w:pPr>
      <w:r w:rsidRPr="00C743FB">
        <w:rPr>
          <w:rFonts w:asciiTheme="minorHAnsi" w:hAnsiTheme="minorHAnsi" w:cstheme="minorHAnsi"/>
          <w:b w:val="0"/>
          <w:sz w:val="22"/>
        </w:rPr>
        <w:t>HR 19 november 2004, ECLI:NL:HR:2004:AQ3055.</w:t>
      </w:r>
    </w:p>
    <w:p w:rsidR="002E32D5" w:rsidRPr="00C743FB" w:rsidRDefault="002E32D5" w:rsidP="002E32D5">
      <w:pPr>
        <w:pStyle w:val="Voetnoottekst"/>
        <w:numPr>
          <w:ilvl w:val="0"/>
          <w:numId w:val="18"/>
        </w:numPr>
        <w:jc w:val="left"/>
        <w:rPr>
          <w:rFonts w:asciiTheme="minorHAnsi" w:hAnsiTheme="minorHAnsi" w:cstheme="minorHAnsi"/>
          <w:sz w:val="22"/>
        </w:rPr>
      </w:pPr>
      <w:r w:rsidRPr="00C743FB">
        <w:rPr>
          <w:rFonts w:asciiTheme="minorHAnsi" w:hAnsiTheme="minorHAnsi" w:cstheme="minorHAnsi"/>
          <w:sz w:val="22"/>
        </w:rPr>
        <w:t>ECLI:NL:HR:2007:BA2511</w:t>
      </w:r>
    </w:p>
    <w:p w:rsidR="002E32D5" w:rsidRPr="00C743FB" w:rsidRDefault="002E32D5" w:rsidP="002E32D5">
      <w:pPr>
        <w:pStyle w:val="Voetnoottekst"/>
        <w:ind w:left="720"/>
        <w:jc w:val="left"/>
        <w:rPr>
          <w:rFonts w:asciiTheme="minorHAnsi" w:hAnsiTheme="minorHAnsi" w:cstheme="minorHAnsi"/>
          <w:b w:val="0"/>
          <w:sz w:val="22"/>
        </w:rPr>
      </w:pPr>
      <w:r w:rsidRPr="00C743FB">
        <w:rPr>
          <w:rFonts w:asciiTheme="minorHAnsi" w:hAnsiTheme="minorHAnsi" w:cstheme="minorHAnsi"/>
          <w:b w:val="0"/>
          <w:sz w:val="22"/>
        </w:rPr>
        <w:t>HR 22 juni 2007, ECLI:NL:HR:2007:BA2511.</w:t>
      </w:r>
    </w:p>
    <w:p w:rsidR="002E32D5" w:rsidRPr="00C743FB" w:rsidRDefault="002E32D5" w:rsidP="002E32D5">
      <w:pPr>
        <w:pStyle w:val="Voetnoottekst"/>
        <w:numPr>
          <w:ilvl w:val="0"/>
          <w:numId w:val="18"/>
        </w:numPr>
        <w:jc w:val="left"/>
        <w:rPr>
          <w:rFonts w:asciiTheme="minorHAnsi" w:hAnsiTheme="minorHAnsi" w:cstheme="minorHAnsi"/>
          <w:b w:val="0"/>
          <w:sz w:val="22"/>
        </w:rPr>
      </w:pPr>
      <w:r w:rsidRPr="00C743FB">
        <w:rPr>
          <w:rFonts w:asciiTheme="minorHAnsi" w:hAnsiTheme="minorHAnsi" w:cstheme="minorHAnsi"/>
          <w:sz w:val="22"/>
        </w:rPr>
        <w:t>ECLI:NL:HR:2012:BT6947</w:t>
      </w:r>
    </w:p>
    <w:p w:rsidR="002E32D5" w:rsidRPr="00C743FB" w:rsidRDefault="002E32D5" w:rsidP="002E32D5">
      <w:pPr>
        <w:pStyle w:val="Voetnoottekst"/>
        <w:ind w:left="720"/>
        <w:jc w:val="left"/>
        <w:rPr>
          <w:rFonts w:asciiTheme="minorHAnsi" w:hAnsiTheme="minorHAnsi" w:cstheme="minorHAnsi"/>
          <w:b w:val="0"/>
          <w:sz w:val="22"/>
        </w:rPr>
      </w:pPr>
      <w:r w:rsidRPr="00C743FB">
        <w:rPr>
          <w:rFonts w:asciiTheme="minorHAnsi" w:hAnsiTheme="minorHAnsi" w:cstheme="minorHAnsi"/>
          <w:b w:val="0"/>
          <w:sz w:val="22"/>
        </w:rPr>
        <w:t>HR 3 februari 2012, ECLI:NL:HR:2012:BT6947.</w:t>
      </w:r>
    </w:p>
    <w:p w:rsidR="002E32D5" w:rsidRPr="00C743FB" w:rsidRDefault="002E32D5" w:rsidP="002E32D5">
      <w:pPr>
        <w:pStyle w:val="Voetnoottekst"/>
        <w:numPr>
          <w:ilvl w:val="0"/>
          <w:numId w:val="18"/>
        </w:numPr>
        <w:jc w:val="left"/>
        <w:rPr>
          <w:rFonts w:asciiTheme="minorHAnsi" w:hAnsiTheme="minorHAnsi" w:cstheme="minorHAnsi"/>
          <w:sz w:val="22"/>
        </w:rPr>
      </w:pPr>
      <w:r w:rsidRPr="00C743FB">
        <w:rPr>
          <w:rFonts w:asciiTheme="minorHAnsi" w:hAnsiTheme="minorHAnsi" w:cstheme="minorHAnsi"/>
          <w:sz w:val="22"/>
        </w:rPr>
        <w:t>ECLI:NL:HR:2012:BU6552</w:t>
      </w:r>
    </w:p>
    <w:p w:rsidR="002E32D5" w:rsidRPr="00C743FB" w:rsidRDefault="002E32D5" w:rsidP="002E32D5">
      <w:pPr>
        <w:pStyle w:val="Voetnoottekst"/>
        <w:ind w:left="720"/>
        <w:jc w:val="left"/>
        <w:rPr>
          <w:rFonts w:asciiTheme="minorHAnsi" w:hAnsiTheme="minorHAnsi" w:cstheme="minorHAnsi"/>
          <w:b w:val="0"/>
          <w:sz w:val="22"/>
        </w:rPr>
      </w:pPr>
      <w:r w:rsidRPr="00C743FB">
        <w:rPr>
          <w:rFonts w:asciiTheme="minorHAnsi" w:hAnsiTheme="minorHAnsi" w:cstheme="minorHAnsi"/>
          <w:b w:val="0"/>
          <w:sz w:val="22"/>
        </w:rPr>
        <w:t>HR 17 februari 2012, ECLI:NL:HR:2012:BU6552.</w:t>
      </w:r>
    </w:p>
    <w:p w:rsidR="002E32D5" w:rsidRPr="00C743FB" w:rsidRDefault="002E32D5" w:rsidP="002E32D5">
      <w:pPr>
        <w:pStyle w:val="Voetnoottekst"/>
        <w:numPr>
          <w:ilvl w:val="0"/>
          <w:numId w:val="18"/>
        </w:numPr>
        <w:jc w:val="left"/>
        <w:rPr>
          <w:rFonts w:asciiTheme="minorHAnsi" w:hAnsiTheme="minorHAnsi" w:cstheme="minorHAnsi"/>
          <w:sz w:val="22"/>
        </w:rPr>
      </w:pPr>
      <w:r w:rsidRPr="00C743FB">
        <w:rPr>
          <w:rFonts w:asciiTheme="minorHAnsi" w:hAnsiTheme="minorHAnsi" w:cstheme="minorHAnsi"/>
          <w:sz w:val="22"/>
          <w:lang w:val="en-US"/>
        </w:rPr>
        <w:t>ECLI:NL:HR:2013:BY4134</w:t>
      </w:r>
    </w:p>
    <w:p w:rsidR="002E32D5" w:rsidRPr="00C743FB" w:rsidRDefault="002E32D5" w:rsidP="002E32D5">
      <w:pPr>
        <w:pStyle w:val="Voetnoottekst"/>
        <w:ind w:left="720"/>
        <w:jc w:val="left"/>
        <w:rPr>
          <w:rFonts w:asciiTheme="minorHAnsi" w:hAnsiTheme="minorHAnsi" w:cstheme="minorHAnsi"/>
          <w:b w:val="0"/>
          <w:sz w:val="22"/>
          <w:lang w:val="en-US"/>
        </w:rPr>
      </w:pPr>
      <w:r w:rsidRPr="00C743FB">
        <w:rPr>
          <w:rFonts w:asciiTheme="minorHAnsi" w:hAnsiTheme="minorHAnsi" w:cstheme="minorHAnsi"/>
          <w:b w:val="0"/>
          <w:sz w:val="22"/>
          <w:lang w:val="en-US"/>
        </w:rPr>
        <w:t xml:space="preserve">HR 1 </w:t>
      </w:r>
      <w:proofErr w:type="spellStart"/>
      <w:r w:rsidRPr="00C743FB">
        <w:rPr>
          <w:rFonts w:asciiTheme="minorHAnsi" w:hAnsiTheme="minorHAnsi" w:cstheme="minorHAnsi"/>
          <w:b w:val="0"/>
          <w:sz w:val="22"/>
          <w:lang w:val="en-US"/>
        </w:rPr>
        <w:t>februari</w:t>
      </w:r>
      <w:proofErr w:type="spellEnd"/>
      <w:r w:rsidRPr="00C743FB">
        <w:rPr>
          <w:rFonts w:asciiTheme="minorHAnsi" w:hAnsiTheme="minorHAnsi" w:cstheme="minorHAnsi"/>
          <w:b w:val="0"/>
          <w:sz w:val="22"/>
          <w:lang w:val="en-US"/>
        </w:rPr>
        <w:t xml:space="preserve"> 2013, ECLI:NL:HR:2013:BY4134.</w:t>
      </w:r>
    </w:p>
    <w:p w:rsidR="002E32D5" w:rsidRPr="00C743FB" w:rsidRDefault="002E32D5" w:rsidP="002E32D5">
      <w:pPr>
        <w:pStyle w:val="Voetnoottekst"/>
        <w:numPr>
          <w:ilvl w:val="0"/>
          <w:numId w:val="18"/>
        </w:numPr>
        <w:jc w:val="left"/>
        <w:rPr>
          <w:rFonts w:asciiTheme="minorHAnsi" w:hAnsiTheme="minorHAnsi" w:cstheme="minorHAnsi"/>
          <w:sz w:val="22"/>
        </w:rPr>
      </w:pPr>
      <w:r w:rsidRPr="00C743FB">
        <w:rPr>
          <w:rFonts w:asciiTheme="minorHAnsi" w:hAnsiTheme="minorHAnsi" w:cstheme="minorHAnsi"/>
          <w:sz w:val="22"/>
        </w:rPr>
        <w:t>ECLI:NL:HR:2015:689</w:t>
      </w:r>
    </w:p>
    <w:p w:rsidR="002E32D5" w:rsidRPr="00C743FB" w:rsidRDefault="002E32D5" w:rsidP="002E32D5">
      <w:pPr>
        <w:pStyle w:val="Voetnoottekst"/>
        <w:ind w:left="720"/>
        <w:jc w:val="left"/>
        <w:rPr>
          <w:rFonts w:asciiTheme="minorHAnsi" w:hAnsiTheme="minorHAnsi" w:cstheme="minorHAnsi"/>
          <w:b w:val="0"/>
          <w:sz w:val="22"/>
        </w:rPr>
      </w:pPr>
      <w:r w:rsidRPr="00C743FB">
        <w:rPr>
          <w:rFonts w:asciiTheme="minorHAnsi" w:hAnsiTheme="minorHAnsi" w:cstheme="minorHAnsi"/>
          <w:b w:val="0"/>
          <w:sz w:val="22"/>
        </w:rPr>
        <w:t>HR 20 maart 2015, ECLI:NL:HR:2015:689.</w:t>
      </w:r>
    </w:p>
    <w:p w:rsidR="002E32D5" w:rsidRPr="00C743FB" w:rsidRDefault="002E32D5" w:rsidP="002E32D5">
      <w:pPr>
        <w:pStyle w:val="Voetnoottekst"/>
        <w:numPr>
          <w:ilvl w:val="0"/>
          <w:numId w:val="18"/>
        </w:numPr>
        <w:jc w:val="left"/>
        <w:rPr>
          <w:sz w:val="22"/>
        </w:rPr>
      </w:pPr>
      <w:r w:rsidRPr="00C743FB">
        <w:rPr>
          <w:sz w:val="22"/>
        </w:rPr>
        <w:t>NJ 1988, 104</w:t>
      </w:r>
    </w:p>
    <w:p w:rsidR="002E32D5" w:rsidRPr="00C743FB" w:rsidRDefault="002E32D5" w:rsidP="002E32D5">
      <w:pPr>
        <w:pStyle w:val="Voetnoottekst"/>
        <w:ind w:left="720"/>
        <w:jc w:val="left"/>
        <w:rPr>
          <w:b w:val="0"/>
          <w:sz w:val="22"/>
        </w:rPr>
      </w:pPr>
      <w:r w:rsidRPr="00C743FB">
        <w:rPr>
          <w:b w:val="0"/>
          <w:sz w:val="22"/>
        </w:rPr>
        <w:t>HR 8 juli 1987, NJ 1988, 104.</w:t>
      </w:r>
    </w:p>
    <w:p w:rsidR="002E32D5" w:rsidRPr="00C743FB" w:rsidRDefault="002E32D5" w:rsidP="002E32D5">
      <w:pPr>
        <w:pStyle w:val="Voetnoottekst"/>
        <w:numPr>
          <w:ilvl w:val="0"/>
          <w:numId w:val="18"/>
        </w:numPr>
        <w:jc w:val="left"/>
        <w:rPr>
          <w:sz w:val="22"/>
        </w:rPr>
      </w:pPr>
      <w:r w:rsidRPr="00C743FB">
        <w:rPr>
          <w:sz w:val="22"/>
        </w:rPr>
        <w:t>NJ 1989, 449</w:t>
      </w:r>
    </w:p>
    <w:p w:rsidR="002E32D5" w:rsidRPr="00C743FB" w:rsidRDefault="002E32D5" w:rsidP="002E32D5">
      <w:pPr>
        <w:pStyle w:val="Voetnoottekst"/>
        <w:ind w:left="720"/>
        <w:jc w:val="left"/>
        <w:rPr>
          <w:b w:val="0"/>
          <w:sz w:val="22"/>
        </w:rPr>
      </w:pPr>
      <w:r w:rsidRPr="00C743FB">
        <w:rPr>
          <w:b w:val="0"/>
          <w:sz w:val="22"/>
        </w:rPr>
        <w:t>HR 7 oktober 1988, NJ 1989, 449.</w:t>
      </w:r>
    </w:p>
    <w:p w:rsidR="002E32D5" w:rsidRPr="00C743FB" w:rsidRDefault="002E32D5" w:rsidP="002E32D5">
      <w:pPr>
        <w:jc w:val="left"/>
        <w:rPr>
          <w:rFonts w:asciiTheme="minorHAnsi" w:hAnsiTheme="minorHAnsi" w:cstheme="minorHAnsi"/>
          <w:b w:val="0"/>
          <w:sz w:val="22"/>
          <w:u w:val="single"/>
        </w:rPr>
      </w:pPr>
    </w:p>
    <w:p w:rsidR="002E32D5" w:rsidRDefault="002E32D5" w:rsidP="002E32D5">
      <w:pPr>
        <w:jc w:val="left"/>
        <w:rPr>
          <w:rFonts w:asciiTheme="minorHAnsi" w:hAnsiTheme="minorHAnsi" w:cstheme="minorHAnsi"/>
          <w:b w:val="0"/>
          <w:sz w:val="20"/>
          <w:u w:val="single"/>
        </w:rPr>
      </w:pPr>
    </w:p>
    <w:p w:rsidR="002E32D5" w:rsidRPr="00570D50" w:rsidRDefault="002E7482" w:rsidP="00570D50">
      <w:pPr>
        <w:pStyle w:val="Kop2"/>
        <w:spacing w:before="0" w:beforeAutospacing="0" w:after="0" w:afterAutospacing="0"/>
        <w:rPr>
          <w:rFonts w:asciiTheme="minorHAnsi" w:hAnsiTheme="minorHAnsi" w:cstheme="minorHAnsi"/>
          <w:sz w:val="24"/>
          <w:szCs w:val="24"/>
        </w:rPr>
      </w:pPr>
      <w:bookmarkStart w:id="45" w:name="_Toc486246639"/>
      <w:r w:rsidRPr="00570D50">
        <w:rPr>
          <w:rFonts w:asciiTheme="minorHAnsi" w:hAnsiTheme="minorHAnsi" w:cstheme="minorHAnsi"/>
          <w:sz w:val="24"/>
          <w:szCs w:val="24"/>
        </w:rPr>
        <w:t xml:space="preserve">§2 </w:t>
      </w:r>
      <w:r w:rsidR="006B44F1" w:rsidRPr="00570D50">
        <w:rPr>
          <w:rFonts w:asciiTheme="minorHAnsi" w:hAnsiTheme="minorHAnsi" w:cstheme="minorHAnsi"/>
          <w:sz w:val="24"/>
          <w:szCs w:val="24"/>
        </w:rPr>
        <w:t>Onderzo</w:t>
      </w:r>
      <w:r w:rsidRPr="00570D50">
        <w:rPr>
          <w:rFonts w:asciiTheme="minorHAnsi" w:hAnsiTheme="minorHAnsi" w:cstheme="minorHAnsi"/>
          <w:sz w:val="24"/>
          <w:szCs w:val="24"/>
        </w:rPr>
        <w:t>chte jurisprudentie (onderzoek)</w:t>
      </w:r>
      <w:bookmarkEnd w:id="45"/>
    </w:p>
    <w:p w:rsidR="002E32D5" w:rsidRDefault="002E32D5" w:rsidP="002E32D5">
      <w:pPr>
        <w:jc w:val="left"/>
        <w:rPr>
          <w:rFonts w:asciiTheme="minorHAnsi" w:hAnsiTheme="minorHAnsi" w:cstheme="minorHAnsi"/>
          <w:b w:val="0"/>
          <w:sz w:val="20"/>
          <w:u w:val="single"/>
        </w:rPr>
      </w:pP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ECLI:NL:GHARL:2014:6338</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Hof Arnhem-Leeuwarden 12 augustus 2014, ECLI:NL:GHARL:2014:6338.</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ECLI:NL:GHARN:2011:BU3293</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Hof Arnhem 1 november 2011, ECLI:NL:GHARN:2011:BU3293.</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ECLI:NL:GHSGR:2007:BB6934</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Hof Den Haag 25 september 2007, ECLI:NL:GHSGR:2007:BB6934.</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ECLI:NL:GHSHE:2008:BG4528</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Hof 's-Hertogenbosch 16 september 2008, ECLI:NL:GHSHE:2008:BG4528.</w:t>
      </w:r>
    </w:p>
    <w:p w:rsidR="00825BC8" w:rsidRPr="00C743FB" w:rsidRDefault="00825BC8" w:rsidP="00825BC8">
      <w:pPr>
        <w:pStyle w:val="Voetnoottekst"/>
        <w:ind w:left="720"/>
        <w:jc w:val="left"/>
        <w:rPr>
          <w:rFonts w:asciiTheme="minorHAnsi" w:hAnsiTheme="minorHAnsi" w:cstheme="minorHAnsi"/>
          <w:b w:val="0"/>
          <w:sz w:val="22"/>
        </w:rPr>
      </w:pPr>
    </w:p>
    <w:p w:rsidR="00127710" w:rsidRPr="00C743FB" w:rsidRDefault="00127710" w:rsidP="00127710">
      <w:pPr>
        <w:pStyle w:val="Voetnoottekst"/>
        <w:numPr>
          <w:ilvl w:val="0"/>
          <w:numId w:val="18"/>
        </w:numPr>
        <w:jc w:val="left"/>
        <w:rPr>
          <w:rFonts w:asciiTheme="minorHAnsi" w:hAnsiTheme="minorHAnsi" w:cstheme="minorHAnsi"/>
          <w:sz w:val="22"/>
        </w:rPr>
      </w:pPr>
      <w:r w:rsidRPr="00C743FB">
        <w:rPr>
          <w:rFonts w:asciiTheme="minorHAnsi" w:hAnsiTheme="minorHAnsi" w:cstheme="minorHAnsi"/>
          <w:sz w:val="22"/>
        </w:rPr>
        <w:t>ECLI:NL:HR:2007:BA2511</w:t>
      </w:r>
    </w:p>
    <w:p w:rsidR="00127710" w:rsidRPr="00C743FB" w:rsidRDefault="00127710" w:rsidP="00127710">
      <w:pPr>
        <w:pStyle w:val="Voetnoottekst"/>
        <w:ind w:left="720"/>
        <w:jc w:val="left"/>
        <w:rPr>
          <w:rFonts w:asciiTheme="minorHAnsi" w:hAnsiTheme="minorHAnsi" w:cstheme="minorHAnsi"/>
          <w:b w:val="0"/>
          <w:sz w:val="22"/>
        </w:rPr>
      </w:pPr>
      <w:r w:rsidRPr="00C743FB">
        <w:rPr>
          <w:rFonts w:asciiTheme="minorHAnsi" w:hAnsiTheme="minorHAnsi" w:cstheme="minorHAnsi"/>
          <w:b w:val="0"/>
          <w:sz w:val="22"/>
        </w:rPr>
        <w:t>HR 22 juni 2007, ECLI:NL:HR:2007:BA2511.</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ECLI:NL:HR:2009:BJ0861</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HR 30 oktober 2009, ECLI:NL:HR:2009:BJ0861.</w:t>
      </w:r>
    </w:p>
    <w:p w:rsidR="00BA6AED" w:rsidRPr="00C743FB" w:rsidRDefault="00BA6AED" w:rsidP="00BA6AED">
      <w:pPr>
        <w:pStyle w:val="Voetnoottekst"/>
        <w:numPr>
          <w:ilvl w:val="0"/>
          <w:numId w:val="18"/>
        </w:numPr>
        <w:jc w:val="left"/>
        <w:rPr>
          <w:rFonts w:asciiTheme="minorHAnsi" w:hAnsiTheme="minorHAnsi" w:cstheme="minorHAnsi"/>
          <w:sz w:val="22"/>
        </w:rPr>
      </w:pPr>
      <w:r w:rsidRPr="00C743FB">
        <w:rPr>
          <w:rFonts w:asciiTheme="minorHAnsi" w:hAnsiTheme="minorHAnsi" w:cstheme="minorHAnsi"/>
          <w:sz w:val="22"/>
        </w:rPr>
        <w:t>ECLI:NL:HR:2012:BU6552</w:t>
      </w:r>
    </w:p>
    <w:p w:rsidR="00BA6AED" w:rsidRPr="00C743FB" w:rsidRDefault="00BA6AED" w:rsidP="00BA6AED">
      <w:pPr>
        <w:pStyle w:val="Voetnoottekst"/>
        <w:ind w:left="720"/>
        <w:jc w:val="left"/>
        <w:rPr>
          <w:rFonts w:asciiTheme="minorHAnsi" w:hAnsiTheme="minorHAnsi" w:cstheme="minorHAnsi"/>
          <w:b w:val="0"/>
          <w:sz w:val="22"/>
        </w:rPr>
      </w:pPr>
      <w:r w:rsidRPr="00C743FB">
        <w:rPr>
          <w:rFonts w:asciiTheme="minorHAnsi" w:hAnsiTheme="minorHAnsi" w:cstheme="minorHAnsi"/>
          <w:b w:val="0"/>
          <w:sz w:val="22"/>
        </w:rPr>
        <w:t>HR 17 februari 2012, ECLI:NL:HR:2012:BU6552.</w:t>
      </w:r>
    </w:p>
    <w:p w:rsidR="00825BC8" w:rsidRPr="00C743FB" w:rsidRDefault="00825BC8" w:rsidP="00825BC8">
      <w:pPr>
        <w:pStyle w:val="Voetnoottekst"/>
        <w:numPr>
          <w:ilvl w:val="0"/>
          <w:numId w:val="18"/>
        </w:numPr>
        <w:jc w:val="left"/>
        <w:rPr>
          <w:rFonts w:asciiTheme="minorHAnsi" w:hAnsiTheme="minorHAnsi" w:cstheme="minorHAnsi"/>
          <w:sz w:val="22"/>
        </w:rPr>
      </w:pPr>
      <w:r w:rsidRPr="00C743FB">
        <w:rPr>
          <w:rFonts w:asciiTheme="minorHAnsi" w:hAnsiTheme="minorHAnsi" w:cstheme="minorHAnsi"/>
          <w:sz w:val="22"/>
          <w:lang w:val="en-US"/>
        </w:rPr>
        <w:t>ECLI:NL:HR:2013:BY4134</w:t>
      </w:r>
    </w:p>
    <w:p w:rsidR="00825BC8" w:rsidRPr="00C743FB" w:rsidRDefault="00825BC8" w:rsidP="00825BC8">
      <w:pPr>
        <w:pStyle w:val="Voetnoottekst"/>
        <w:ind w:left="720"/>
        <w:jc w:val="left"/>
        <w:rPr>
          <w:rFonts w:asciiTheme="minorHAnsi" w:hAnsiTheme="minorHAnsi" w:cstheme="minorHAnsi"/>
          <w:b w:val="0"/>
          <w:sz w:val="22"/>
          <w:lang w:val="en-US"/>
        </w:rPr>
      </w:pPr>
      <w:r w:rsidRPr="00C743FB">
        <w:rPr>
          <w:rFonts w:asciiTheme="minorHAnsi" w:hAnsiTheme="minorHAnsi" w:cstheme="minorHAnsi"/>
          <w:b w:val="0"/>
          <w:sz w:val="22"/>
          <w:lang w:val="en-US"/>
        </w:rPr>
        <w:t xml:space="preserve">HR 1 </w:t>
      </w:r>
      <w:proofErr w:type="spellStart"/>
      <w:r w:rsidRPr="00C743FB">
        <w:rPr>
          <w:rFonts w:asciiTheme="minorHAnsi" w:hAnsiTheme="minorHAnsi" w:cstheme="minorHAnsi"/>
          <w:b w:val="0"/>
          <w:sz w:val="22"/>
          <w:lang w:val="en-US"/>
        </w:rPr>
        <w:t>februari</w:t>
      </w:r>
      <w:proofErr w:type="spellEnd"/>
      <w:r w:rsidRPr="00C743FB">
        <w:rPr>
          <w:rFonts w:asciiTheme="minorHAnsi" w:hAnsiTheme="minorHAnsi" w:cstheme="minorHAnsi"/>
          <w:b w:val="0"/>
          <w:sz w:val="22"/>
          <w:lang w:val="en-US"/>
        </w:rPr>
        <w:t xml:space="preserve"> 2013, ECLI:NL:HR:2013:BY4134.</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ECLI:NL:HR:2013:BZ5663</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lastRenderedPageBreak/>
        <w:t>HR 14 juni 2013, ECLI:NL:HR:2013:BZ5663.</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ECLI:NL:HR:2013:BZ7199</w:t>
      </w:r>
    </w:p>
    <w:p w:rsidR="00825BC8" w:rsidRPr="00C743FB" w:rsidRDefault="00825BC8" w:rsidP="00825BC8">
      <w:pPr>
        <w:pStyle w:val="Lijstalinea"/>
        <w:jc w:val="left"/>
        <w:rPr>
          <w:rFonts w:asciiTheme="minorHAnsi" w:hAnsiTheme="minorHAnsi" w:cstheme="minorHAnsi"/>
          <w:sz w:val="22"/>
        </w:rPr>
      </w:pPr>
      <w:r w:rsidRPr="00C743FB">
        <w:rPr>
          <w:rFonts w:asciiTheme="minorHAnsi" w:hAnsiTheme="minorHAnsi" w:cstheme="minorHAnsi"/>
          <w:b w:val="0"/>
          <w:sz w:val="22"/>
        </w:rPr>
        <w:t>HR 21 juni 2013, ECLI:NL:HR:2013:BZ7199.</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ECLI:NL:HR:2014:319</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HR 14 februari 2014, ECLI:NL:HR:2014:319.</w:t>
      </w:r>
    </w:p>
    <w:p w:rsidR="00825BC8" w:rsidRPr="00C743FB" w:rsidRDefault="00825BC8" w:rsidP="00825BC8">
      <w:pPr>
        <w:pStyle w:val="Lijstalinea"/>
        <w:jc w:val="left"/>
        <w:rPr>
          <w:rFonts w:asciiTheme="minorHAnsi" w:hAnsiTheme="minorHAnsi" w:cstheme="minorHAnsi"/>
          <w:sz w:val="22"/>
        </w:rPr>
      </w:pP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ECLI:NL:RBAMS:2012:BX2300</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Rb. Amsterdam 9 mei 2012, ECLI:NL:RBAMS:2012:BX2300.</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ECLI:NL:RBBRE:2010:BO0941</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Rb. Breda 4 augustus 2010, ECLI:NL:RBBRE:2010:BO0941.</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ECLI:NL:RBLIM:2016:1936</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Rb. Limburg 9 maart 2016, ECLI:NL:RBLIM:2016:1936.</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ECLI:NL:RBOBR:2015:995</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Rb. Oost-Brabant 19 februari 2015, ECLI:NL:RBOBR:2015:995.</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ECLI:NL:RBOBR:2016:5618</w:t>
      </w:r>
    </w:p>
    <w:p w:rsidR="00825BC8" w:rsidRPr="00C743FB" w:rsidRDefault="00825BC8" w:rsidP="00825BC8">
      <w:pPr>
        <w:pStyle w:val="Lijstalinea"/>
        <w:jc w:val="left"/>
        <w:rPr>
          <w:rFonts w:asciiTheme="minorHAnsi" w:hAnsiTheme="minorHAnsi" w:cstheme="minorHAnsi"/>
          <w:sz w:val="22"/>
        </w:rPr>
      </w:pPr>
      <w:r w:rsidRPr="00C743FB">
        <w:rPr>
          <w:rFonts w:asciiTheme="minorHAnsi" w:hAnsiTheme="minorHAnsi" w:cstheme="minorHAnsi"/>
          <w:b w:val="0"/>
          <w:sz w:val="22"/>
        </w:rPr>
        <w:t>Rb. Oost-Brabant 12 oktober 2016, ECLI:NL:RBOBR:2016:5618.</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ECLI:NL:RBOVE:2016:2381</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Rb. Overijssel 15 juni 2016, ECLI:NL:RBOVE:2016:2381.</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ECLI:NL:RBROT:2013:10417</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Rb. Rotterdam 16 oktober 2013, ECLI:NL:RBROT:2013:10417.</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ECLI:NL:RBSHE:2007:BB1660</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Rb. ’s-Hertogenbosch 14 juni 2007, ECLI:NL:RBSHE:2007:BB1660.</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ECLI:NL:RBSHE:2010:BY9833</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Rb. 's-Hertogenbosch 23 juni 2010, ECLI:NL:RBSHE:2010:BY9833.</w:t>
      </w:r>
    </w:p>
    <w:p w:rsidR="00825BC8" w:rsidRPr="00C743FB" w:rsidRDefault="00825BC8" w:rsidP="00825BC8">
      <w:pPr>
        <w:pStyle w:val="Lijstalinea"/>
        <w:numPr>
          <w:ilvl w:val="0"/>
          <w:numId w:val="18"/>
        </w:numPr>
        <w:jc w:val="left"/>
        <w:rPr>
          <w:rFonts w:asciiTheme="minorHAnsi" w:hAnsiTheme="minorHAnsi" w:cstheme="minorHAnsi"/>
          <w:sz w:val="22"/>
        </w:rPr>
      </w:pPr>
      <w:r w:rsidRPr="00C743FB">
        <w:rPr>
          <w:rFonts w:asciiTheme="minorHAnsi" w:hAnsiTheme="minorHAnsi" w:cstheme="minorHAnsi"/>
          <w:sz w:val="22"/>
        </w:rPr>
        <w:t>ECLI:NL:RBZLY:2009:BI6124</w:t>
      </w:r>
    </w:p>
    <w:p w:rsidR="00825BC8" w:rsidRPr="00C743FB" w:rsidRDefault="00825BC8" w:rsidP="00825BC8">
      <w:pPr>
        <w:pStyle w:val="Lijstalinea"/>
        <w:jc w:val="left"/>
        <w:rPr>
          <w:rFonts w:asciiTheme="minorHAnsi" w:hAnsiTheme="minorHAnsi" w:cstheme="minorHAnsi"/>
          <w:b w:val="0"/>
          <w:sz w:val="22"/>
        </w:rPr>
      </w:pPr>
      <w:r w:rsidRPr="00C743FB">
        <w:rPr>
          <w:rFonts w:asciiTheme="minorHAnsi" w:hAnsiTheme="minorHAnsi" w:cstheme="minorHAnsi"/>
          <w:b w:val="0"/>
          <w:sz w:val="22"/>
        </w:rPr>
        <w:t>Rb. Zwolle-Lelystad 8 april 2009, ECLI:NL:RBZLY:2009:BI6124.</w:t>
      </w:r>
    </w:p>
    <w:p w:rsidR="00825BC8" w:rsidRPr="00C743FB" w:rsidRDefault="00825BC8" w:rsidP="00825BC8">
      <w:pPr>
        <w:pStyle w:val="Voetnoottekst"/>
        <w:ind w:left="720"/>
        <w:jc w:val="left"/>
        <w:rPr>
          <w:rFonts w:asciiTheme="minorHAnsi" w:hAnsiTheme="minorHAnsi" w:cstheme="minorHAnsi"/>
          <w:b w:val="0"/>
          <w:sz w:val="22"/>
        </w:rPr>
      </w:pPr>
    </w:p>
    <w:p w:rsidR="00825BC8" w:rsidRPr="00C743FB" w:rsidRDefault="00825BC8" w:rsidP="00825BC8">
      <w:pPr>
        <w:jc w:val="left"/>
        <w:rPr>
          <w:rFonts w:asciiTheme="minorHAnsi" w:hAnsiTheme="minorHAnsi" w:cstheme="minorHAnsi"/>
          <w:b w:val="0"/>
          <w:sz w:val="22"/>
        </w:rPr>
      </w:pPr>
    </w:p>
    <w:p w:rsidR="00825BC8" w:rsidRPr="00C743FB" w:rsidRDefault="00825BC8" w:rsidP="00164E92">
      <w:pPr>
        <w:jc w:val="left"/>
        <w:rPr>
          <w:rFonts w:asciiTheme="minorHAnsi" w:hAnsiTheme="minorHAnsi" w:cstheme="minorHAnsi"/>
          <w:b w:val="0"/>
          <w:sz w:val="22"/>
        </w:rPr>
      </w:pPr>
    </w:p>
    <w:p w:rsidR="002E2014" w:rsidRPr="00C743FB" w:rsidRDefault="002E2014" w:rsidP="00164E92">
      <w:pPr>
        <w:jc w:val="left"/>
        <w:rPr>
          <w:rFonts w:asciiTheme="minorHAnsi" w:hAnsiTheme="minorHAnsi" w:cstheme="minorHAnsi"/>
          <w:b w:val="0"/>
          <w:sz w:val="22"/>
        </w:rPr>
      </w:pPr>
    </w:p>
    <w:p w:rsidR="002E2014" w:rsidRPr="00C743FB" w:rsidRDefault="002E2014" w:rsidP="00164E92">
      <w:pPr>
        <w:jc w:val="left"/>
        <w:rPr>
          <w:rFonts w:asciiTheme="minorHAnsi" w:hAnsiTheme="minorHAnsi" w:cstheme="minorHAnsi"/>
          <w:b w:val="0"/>
          <w:sz w:val="22"/>
        </w:rPr>
      </w:pPr>
    </w:p>
    <w:p w:rsidR="002E2014" w:rsidRPr="00C743FB" w:rsidRDefault="002E2014" w:rsidP="00164E92">
      <w:pPr>
        <w:jc w:val="left"/>
        <w:rPr>
          <w:rFonts w:asciiTheme="minorHAnsi" w:hAnsiTheme="minorHAnsi" w:cstheme="minorHAnsi"/>
          <w:b w:val="0"/>
          <w:sz w:val="22"/>
        </w:rPr>
      </w:pPr>
    </w:p>
    <w:p w:rsidR="002E2014" w:rsidRPr="00C743FB" w:rsidRDefault="002E2014" w:rsidP="00164E92">
      <w:pPr>
        <w:jc w:val="left"/>
        <w:rPr>
          <w:rFonts w:asciiTheme="minorHAnsi" w:hAnsiTheme="minorHAnsi" w:cstheme="minorHAnsi"/>
          <w:b w:val="0"/>
          <w:sz w:val="22"/>
        </w:rPr>
      </w:pPr>
    </w:p>
    <w:p w:rsidR="002E2014" w:rsidRPr="00C743FB" w:rsidRDefault="002E2014" w:rsidP="00164E92">
      <w:pPr>
        <w:jc w:val="left"/>
        <w:rPr>
          <w:rFonts w:asciiTheme="minorHAnsi" w:hAnsiTheme="minorHAnsi" w:cstheme="minorHAnsi"/>
          <w:b w:val="0"/>
          <w:sz w:val="22"/>
        </w:rPr>
      </w:pPr>
    </w:p>
    <w:p w:rsidR="002E2014" w:rsidRPr="00C743FB" w:rsidRDefault="002E2014" w:rsidP="00164E92">
      <w:pPr>
        <w:jc w:val="left"/>
        <w:rPr>
          <w:rFonts w:asciiTheme="minorHAnsi" w:hAnsiTheme="minorHAnsi" w:cstheme="minorHAnsi"/>
          <w:b w:val="0"/>
          <w:sz w:val="22"/>
        </w:rPr>
      </w:pPr>
    </w:p>
    <w:p w:rsidR="002E2014" w:rsidRPr="00C743FB" w:rsidRDefault="002E2014" w:rsidP="00164E92">
      <w:pPr>
        <w:jc w:val="left"/>
        <w:rPr>
          <w:rFonts w:asciiTheme="minorHAnsi" w:hAnsiTheme="minorHAnsi" w:cstheme="minorHAnsi"/>
          <w:b w:val="0"/>
          <w:sz w:val="22"/>
        </w:rPr>
      </w:pPr>
    </w:p>
    <w:p w:rsidR="002E2014" w:rsidRPr="00C743FB" w:rsidRDefault="002E2014" w:rsidP="00164E92">
      <w:pPr>
        <w:jc w:val="left"/>
        <w:rPr>
          <w:rFonts w:asciiTheme="minorHAnsi" w:hAnsiTheme="minorHAnsi" w:cstheme="minorHAnsi"/>
          <w:b w:val="0"/>
          <w:sz w:val="22"/>
        </w:rPr>
      </w:pPr>
    </w:p>
    <w:p w:rsidR="002E2014" w:rsidRPr="00C743FB" w:rsidRDefault="002E2014" w:rsidP="00164E92">
      <w:pPr>
        <w:jc w:val="left"/>
        <w:rPr>
          <w:rFonts w:asciiTheme="minorHAnsi" w:hAnsiTheme="minorHAnsi" w:cstheme="minorHAnsi"/>
          <w:b w:val="0"/>
          <w:sz w:val="22"/>
        </w:rPr>
      </w:pPr>
    </w:p>
    <w:p w:rsidR="002E2014" w:rsidRPr="00C743FB" w:rsidRDefault="002E2014" w:rsidP="00164E92">
      <w:pPr>
        <w:jc w:val="left"/>
        <w:rPr>
          <w:rFonts w:asciiTheme="minorHAnsi" w:hAnsiTheme="minorHAnsi" w:cstheme="minorHAnsi"/>
          <w:b w:val="0"/>
          <w:sz w:val="22"/>
        </w:rPr>
      </w:pPr>
    </w:p>
    <w:p w:rsidR="002E2014" w:rsidRPr="00C743FB" w:rsidRDefault="002E2014" w:rsidP="00164E92">
      <w:pPr>
        <w:jc w:val="left"/>
        <w:rPr>
          <w:rFonts w:asciiTheme="minorHAnsi" w:hAnsiTheme="minorHAnsi" w:cstheme="minorHAnsi"/>
          <w:b w:val="0"/>
          <w:sz w:val="22"/>
        </w:rPr>
      </w:pPr>
    </w:p>
    <w:p w:rsidR="002E2014" w:rsidRPr="00C743FB" w:rsidRDefault="002E2014" w:rsidP="00164E92">
      <w:pPr>
        <w:jc w:val="left"/>
        <w:rPr>
          <w:rFonts w:asciiTheme="minorHAnsi" w:hAnsiTheme="minorHAnsi" w:cstheme="minorHAnsi"/>
          <w:b w:val="0"/>
          <w:sz w:val="22"/>
        </w:rPr>
      </w:pPr>
    </w:p>
    <w:p w:rsidR="002E2014" w:rsidRDefault="002E2014" w:rsidP="00164E92">
      <w:pPr>
        <w:jc w:val="left"/>
        <w:rPr>
          <w:rFonts w:asciiTheme="minorHAnsi" w:hAnsiTheme="minorHAnsi" w:cstheme="minorHAnsi"/>
          <w:b w:val="0"/>
          <w:sz w:val="20"/>
        </w:rPr>
      </w:pPr>
    </w:p>
    <w:p w:rsidR="002E2014" w:rsidRDefault="002E2014" w:rsidP="00164E92">
      <w:pPr>
        <w:jc w:val="left"/>
        <w:rPr>
          <w:rFonts w:asciiTheme="minorHAnsi" w:hAnsiTheme="minorHAnsi" w:cstheme="minorHAnsi"/>
          <w:b w:val="0"/>
          <w:sz w:val="20"/>
        </w:rPr>
      </w:pPr>
    </w:p>
    <w:p w:rsidR="002E2014" w:rsidRDefault="002E2014" w:rsidP="00164E92">
      <w:pPr>
        <w:jc w:val="left"/>
        <w:rPr>
          <w:rFonts w:asciiTheme="minorHAnsi" w:hAnsiTheme="minorHAnsi" w:cstheme="minorHAnsi"/>
          <w:b w:val="0"/>
          <w:sz w:val="20"/>
        </w:rPr>
      </w:pPr>
    </w:p>
    <w:p w:rsidR="002E2014" w:rsidRDefault="002E2014" w:rsidP="00164E92">
      <w:pPr>
        <w:jc w:val="left"/>
        <w:rPr>
          <w:rFonts w:asciiTheme="minorHAnsi" w:hAnsiTheme="minorHAnsi" w:cstheme="minorHAnsi"/>
          <w:b w:val="0"/>
          <w:sz w:val="20"/>
        </w:rPr>
      </w:pPr>
    </w:p>
    <w:p w:rsidR="002E2014" w:rsidRDefault="002E2014" w:rsidP="00164E92">
      <w:pPr>
        <w:jc w:val="left"/>
        <w:rPr>
          <w:rFonts w:asciiTheme="minorHAnsi" w:hAnsiTheme="minorHAnsi" w:cstheme="minorHAnsi"/>
          <w:b w:val="0"/>
          <w:sz w:val="20"/>
        </w:rPr>
      </w:pPr>
    </w:p>
    <w:p w:rsidR="002E2014" w:rsidRDefault="002E2014" w:rsidP="00164E92">
      <w:pPr>
        <w:jc w:val="left"/>
        <w:rPr>
          <w:rFonts w:asciiTheme="minorHAnsi" w:hAnsiTheme="minorHAnsi" w:cstheme="minorHAnsi"/>
          <w:b w:val="0"/>
          <w:sz w:val="20"/>
        </w:rPr>
      </w:pPr>
    </w:p>
    <w:p w:rsidR="002E2014" w:rsidRDefault="002E2014" w:rsidP="00164E92">
      <w:pPr>
        <w:jc w:val="left"/>
        <w:rPr>
          <w:rFonts w:asciiTheme="minorHAnsi" w:hAnsiTheme="minorHAnsi" w:cstheme="minorHAnsi"/>
          <w:b w:val="0"/>
          <w:sz w:val="20"/>
        </w:rPr>
      </w:pPr>
    </w:p>
    <w:p w:rsidR="002E2014" w:rsidRDefault="002E2014" w:rsidP="00164E92">
      <w:pPr>
        <w:jc w:val="left"/>
        <w:rPr>
          <w:rFonts w:asciiTheme="minorHAnsi" w:hAnsiTheme="minorHAnsi" w:cstheme="minorHAnsi"/>
          <w:b w:val="0"/>
          <w:sz w:val="20"/>
        </w:rPr>
      </w:pPr>
    </w:p>
    <w:p w:rsidR="002E2014" w:rsidRDefault="002E2014" w:rsidP="00164E92">
      <w:pPr>
        <w:jc w:val="left"/>
        <w:rPr>
          <w:rFonts w:asciiTheme="minorHAnsi" w:hAnsiTheme="minorHAnsi" w:cstheme="minorHAnsi"/>
          <w:b w:val="0"/>
          <w:sz w:val="20"/>
        </w:rPr>
      </w:pPr>
    </w:p>
    <w:p w:rsidR="00C10431" w:rsidRDefault="00C10431">
      <w:pPr>
        <w:rPr>
          <w:rFonts w:asciiTheme="majorHAnsi" w:eastAsiaTheme="majorEastAsia" w:hAnsiTheme="majorHAnsi" w:cstheme="majorBidi"/>
          <w:b w:val="0"/>
          <w:bCs w:val="0"/>
          <w:color w:val="365F91" w:themeColor="accent1" w:themeShade="BF"/>
          <w:sz w:val="36"/>
          <w:szCs w:val="28"/>
        </w:rPr>
      </w:pPr>
      <w:bookmarkStart w:id="46" w:name="_Toc486246640"/>
      <w:r>
        <w:rPr>
          <w:sz w:val="36"/>
        </w:rPr>
        <w:br w:type="page"/>
      </w:r>
    </w:p>
    <w:p w:rsidR="00C10431" w:rsidRDefault="00C10431">
      <w:pPr>
        <w:rPr>
          <w:rFonts w:asciiTheme="majorHAnsi" w:eastAsiaTheme="majorEastAsia" w:hAnsiTheme="majorHAnsi" w:cstheme="majorBidi"/>
          <w:b w:val="0"/>
          <w:bCs w:val="0"/>
          <w:color w:val="365F91" w:themeColor="accent1" w:themeShade="BF"/>
          <w:sz w:val="36"/>
          <w:szCs w:val="28"/>
        </w:rPr>
      </w:pPr>
      <w:r>
        <w:rPr>
          <w:sz w:val="36"/>
        </w:rPr>
        <w:lastRenderedPageBreak/>
        <w:br w:type="page"/>
      </w:r>
    </w:p>
    <w:p w:rsidR="002E2014" w:rsidRDefault="002E2014" w:rsidP="00CA68A0">
      <w:pPr>
        <w:pStyle w:val="Kop1"/>
        <w:rPr>
          <w:sz w:val="36"/>
        </w:rPr>
      </w:pPr>
      <w:r>
        <w:rPr>
          <w:sz w:val="36"/>
        </w:rPr>
        <w:lastRenderedPageBreak/>
        <w:t>Bijlage 1</w:t>
      </w:r>
      <w:bookmarkEnd w:id="46"/>
    </w:p>
    <w:p w:rsidR="00570D50" w:rsidRPr="00570D50" w:rsidRDefault="00570D50" w:rsidP="00570D50"/>
    <w:p w:rsidR="002E2014" w:rsidRPr="00570D50" w:rsidRDefault="00570D50" w:rsidP="00570D50">
      <w:pPr>
        <w:pStyle w:val="Kop2"/>
        <w:spacing w:before="0" w:beforeAutospacing="0" w:after="0" w:afterAutospacing="0"/>
        <w:rPr>
          <w:rFonts w:asciiTheme="minorHAnsi" w:hAnsiTheme="minorHAnsi" w:cstheme="minorHAnsi"/>
          <w:sz w:val="24"/>
          <w:szCs w:val="24"/>
        </w:rPr>
      </w:pPr>
      <w:bookmarkStart w:id="47" w:name="_Toc486246641"/>
      <w:r w:rsidRPr="00570D50">
        <w:rPr>
          <w:rFonts w:asciiTheme="minorHAnsi" w:hAnsiTheme="minorHAnsi" w:cstheme="minorHAnsi"/>
          <w:sz w:val="24"/>
          <w:szCs w:val="24"/>
        </w:rPr>
        <w:t xml:space="preserve">§1 </w:t>
      </w:r>
      <w:r w:rsidR="002E2014" w:rsidRPr="00570D50">
        <w:rPr>
          <w:rFonts w:asciiTheme="minorHAnsi" w:hAnsiTheme="minorHAnsi" w:cstheme="minorHAnsi"/>
          <w:sz w:val="24"/>
          <w:szCs w:val="24"/>
        </w:rPr>
        <w:t>T</w:t>
      </w:r>
      <w:r w:rsidRPr="00570D50">
        <w:rPr>
          <w:rFonts w:asciiTheme="minorHAnsi" w:hAnsiTheme="minorHAnsi" w:cstheme="minorHAnsi"/>
          <w:sz w:val="24"/>
          <w:szCs w:val="24"/>
        </w:rPr>
        <w:t>abel onderzoek bij hoofdstuk 6</w:t>
      </w:r>
      <w:bookmarkEnd w:id="47"/>
    </w:p>
    <w:p w:rsidR="002E2014" w:rsidRPr="00210AA1" w:rsidRDefault="002E2014" w:rsidP="002E2014">
      <w:pPr>
        <w:rPr>
          <w:sz w:val="22"/>
          <w:szCs w:val="22"/>
        </w:rPr>
      </w:pPr>
    </w:p>
    <w:p w:rsidR="002E2014" w:rsidRPr="00210AA1" w:rsidRDefault="002E2014" w:rsidP="002E2014">
      <w:pPr>
        <w:jc w:val="left"/>
        <w:rPr>
          <w:b w:val="0"/>
          <w:sz w:val="22"/>
          <w:szCs w:val="22"/>
        </w:rPr>
      </w:pPr>
      <w:r w:rsidRPr="00210AA1">
        <w:rPr>
          <w:b w:val="0"/>
          <w:sz w:val="22"/>
          <w:szCs w:val="22"/>
        </w:rPr>
        <w:t>In deze  bijlage is mijn jurisprudentieonderzoek terug te vinden. Hierin zijn de zaken waarin een belangrijke of interessante rechtsoverweging naar voren kwam omtrent verrekenen in het zicht van een faillissement  opgenomen in de onderstaande tabel. In de eerste kolom is het zaaknummer terug te vinden, overeenkomend met één van de jurisprudentiezaken onderaan deze bijlage. De interessante rechtsoverweging is daarbij opgenomen in de tweede kolom. Tot slot is in de derde kolom terug te vinden wat de rechtsoverweging betekent en bepaalt die kolom in combinatie met paragraaf 2 van hoofdstuk 6 waarom de rechtsoverweging van belang is voor mijn onderzoek.</w:t>
      </w:r>
    </w:p>
    <w:p w:rsidR="002E2014" w:rsidRPr="00210AA1" w:rsidRDefault="002E2014" w:rsidP="002E2014">
      <w:pPr>
        <w:rPr>
          <w:sz w:val="22"/>
          <w:szCs w:val="22"/>
        </w:rPr>
      </w:pPr>
    </w:p>
    <w:tbl>
      <w:tblPr>
        <w:tblStyle w:val="Tabelraster"/>
        <w:tblW w:w="11340" w:type="dxa"/>
        <w:tblInd w:w="-1026" w:type="dxa"/>
        <w:tblLook w:val="04A0" w:firstRow="1" w:lastRow="0" w:firstColumn="1" w:lastColumn="0" w:noHBand="0" w:noVBand="1"/>
      </w:tblPr>
      <w:tblGrid>
        <w:gridCol w:w="2877"/>
        <w:gridCol w:w="5544"/>
        <w:gridCol w:w="2919"/>
      </w:tblGrid>
      <w:tr w:rsidR="002E2014" w:rsidRPr="00210AA1" w:rsidTr="008B73CA">
        <w:trPr>
          <w:trHeight w:val="345"/>
        </w:trPr>
        <w:tc>
          <w:tcPr>
            <w:tcW w:w="2635" w:type="dxa"/>
          </w:tcPr>
          <w:p w:rsidR="002E2014" w:rsidRPr="00210AA1" w:rsidRDefault="002E2014" w:rsidP="008B73CA">
            <w:pPr>
              <w:rPr>
                <w:rFonts w:cstheme="minorHAnsi"/>
                <w:b w:val="0"/>
                <w:sz w:val="22"/>
                <w:szCs w:val="22"/>
              </w:rPr>
            </w:pPr>
            <w:r w:rsidRPr="00210AA1">
              <w:rPr>
                <w:rFonts w:cstheme="minorHAnsi"/>
                <w:sz w:val="22"/>
                <w:szCs w:val="22"/>
              </w:rPr>
              <w:t>Zaak</w:t>
            </w:r>
          </w:p>
        </w:tc>
        <w:tc>
          <w:tcPr>
            <w:tcW w:w="5761" w:type="dxa"/>
          </w:tcPr>
          <w:p w:rsidR="002E2014" w:rsidRPr="00210AA1" w:rsidRDefault="002E2014" w:rsidP="00DB488F">
            <w:pPr>
              <w:rPr>
                <w:rFonts w:cstheme="minorHAnsi"/>
                <w:b w:val="0"/>
                <w:sz w:val="22"/>
                <w:szCs w:val="22"/>
              </w:rPr>
            </w:pPr>
            <w:r w:rsidRPr="00210AA1">
              <w:rPr>
                <w:rFonts w:cstheme="minorHAnsi"/>
                <w:sz w:val="22"/>
                <w:szCs w:val="22"/>
              </w:rPr>
              <w:t xml:space="preserve">Interessante </w:t>
            </w:r>
            <w:r w:rsidR="00DB488F">
              <w:rPr>
                <w:rFonts w:cstheme="minorHAnsi"/>
                <w:sz w:val="22"/>
                <w:szCs w:val="22"/>
              </w:rPr>
              <w:t>rechtsoverweging</w:t>
            </w:r>
            <w:r w:rsidRPr="00210AA1">
              <w:rPr>
                <w:rFonts w:cstheme="minorHAnsi"/>
                <w:sz w:val="22"/>
                <w:szCs w:val="22"/>
              </w:rPr>
              <w:t xml:space="preserve"> voor onderzoek</w:t>
            </w:r>
          </w:p>
        </w:tc>
        <w:tc>
          <w:tcPr>
            <w:tcW w:w="2944" w:type="dxa"/>
          </w:tcPr>
          <w:p w:rsidR="002E2014" w:rsidRPr="00210AA1" w:rsidRDefault="002E2014" w:rsidP="008B73CA">
            <w:pPr>
              <w:rPr>
                <w:rFonts w:cstheme="minorHAnsi"/>
                <w:b w:val="0"/>
                <w:sz w:val="22"/>
                <w:szCs w:val="22"/>
              </w:rPr>
            </w:pPr>
            <w:r w:rsidRPr="00210AA1">
              <w:rPr>
                <w:rFonts w:cstheme="minorHAnsi"/>
                <w:sz w:val="22"/>
                <w:szCs w:val="22"/>
              </w:rPr>
              <w:t>Leerstuk</w:t>
            </w:r>
          </w:p>
        </w:tc>
      </w:tr>
      <w:tr w:rsidR="002E2014" w:rsidRPr="00210AA1" w:rsidTr="008B73CA">
        <w:trPr>
          <w:trHeight w:val="365"/>
        </w:trPr>
        <w:tc>
          <w:tcPr>
            <w:tcW w:w="2445" w:type="dxa"/>
          </w:tcPr>
          <w:p w:rsidR="002E2014" w:rsidRPr="00210AA1" w:rsidRDefault="002E2014" w:rsidP="002E2014">
            <w:pPr>
              <w:jc w:val="left"/>
              <w:rPr>
                <w:rFonts w:cstheme="minorHAnsi"/>
                <w:b w:val="0"/>
                <w:sz w:val="22"/>
                <w:szCs w:val="22"/>
              </w:rPr>
            </w:pPr>
            <w:r w:rsidRPr="00210AA1">
              <w:rPr>
                <w:rFonts w:cstheme="minorHAnsi"/>
                <w:b w:val="0"/>
                <w:sz w:val="22"/>
                <w:szCs w:val="22"/>
              </w:rPr>
              <w:t>1. ECLI:NL:RBOVE:2016:2381</w:t>
            </w:r>
          </w:p>
        </w:tc>
        <w:tc>
          <w:tcPr>
            <w:tcW w:w="591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5.1 In deze zaak doet zich de situatie voor dat de bank er pas na openbare verkoop van de voorraden en inventaris in opdracht van de curator achter komt, dat zij toch een rechtsgeldig pandrecht op deze roerende zaken heeft.</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5.4 Aan de orde is het antwoord op de vraag of de bank haar recht op voorrang heeft behouden. De rechtbank is van oordeel dat deze vraag voor de bank positief moet worden beantwoord. De rechtbank verwijst hiervoor naar de arresten Mulder q.q./CLBN (HR 17 februari 1995, ECLI:NL:HR:1995:ZC1641), NBC/Sisal (HR 23 april 1999, ECLI:NL:HR:1999:ZC2896) en [B] / KBC (HR 28 februari 2014, ECLI:NL:HR:2014:440) en motiveert dat als volgt.</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5.5 In het arrest Mulder q.q./CLBN (HR 17 februari 1995, ECLI:NL:HR:1995:ZC1641) ging het om een aan CLBN stil verpande vordering, die door de curator tijdens het faillissement werd geïnd. Door de betaling aan de inningsbevoegde curator is de vordering en daarmee het pandrecht van CLBN teniet gegaan.</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5.10 In bovenstaande arresten ging het om verpande vorderingen. In de onderhavige kwestie gaat het om een stil pandrecht op roerende zaken. De rechtbank is van oordeel dat bovenstaande arresten ook op de onderhavige situatie kunnen worden toegepast.</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5.15 Dat het pandrecht op roerende zaken niet een zelfde geschiedenis kent als het (stil) pandrecht op vorderingen, doet aan het bovenstaande niet af. Wel bestaat er een verschil in verrekening tussen het pandrecht op roerende zaken en (stil) pandrecht op vorderingen. Verrekening speelt hier echter niet.</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5.26 Uit het bovenstaande volgt dat de vordering van de bank met de voorrang die daaraan verbonden is, ad € 72.730,27 in het faillissement van [A] dient te worden </w:t>
            </w:r>
            <w:r w:rsidR="002E2014" w:rsidRPr="00210AA1">
              <w:rPr>
                <w:rFonts w:cstheme="minorHAnsi"/>
                <w:b w:val="0"/>
                <w:sz w:val="22"/>
                <w:szCs w:val="22"/>
              </w:rPr>
              <w:lastRenderedPageBreak/>
              <w:t>erkend, in die zin dat zij zich boven andere schuldeisers in het faillissement kan verhalen op de opbrengst van de voorraad en inventaris, na omslag van de algemene faillissementskosten.</w:t>
            </w:r>
            <w:r>
              <w:rPr>
                <w:rFonts w:cstheme="minorHAnsi"/>
                <w:b w:val="0"/>
                <w:sz w:val="22"/>
                <w:szCs w:val="22"/>
              </w:rPr>
              <w:t>”</w:t>
            </w:r>
          </w:p>
        </w:tc>
        <w:tc>
          <w:tcPr>
            <w:tcW w:w="2976" w:type="dxa"/>
          </w:tcPr>
          <w:p w:rsidR="002E2014" w:rsidRPr="00210AA1" w:rsidRDefault="002E2014" w:rsidP="002E2014">
            <w:pPr>
              <w:jc w:val="left"/>
              <w:rPr>
                <w:rFonts w:cstheme="minorHAnsi"/>
                <w:b w:val="0"/>
                <w:sz w:val="22"/>
                <w:szCs w:val="22"/>
                <w:u w:val="single"/>
              </w:rPr>
            </w:pPr>
            <w:r w:rsidRPr="00210AA1">
              <w:rPr>
                <w:rFonts w:cstheme="minorHAnsi"/>
                <w:b w:val="0"/>
                <w:sz w:val="22"/>
                <w:szCs w:val="22"/>
                <w:u w:val="single"/>
              </w:rPr>
              <w:lastRenderedPageBreak/>
              <w:t>Voorrang na verkoop boedel door curator</w:t>
            </w:r>
          </w:p>
          <w:p w:rsidR="002E2014" w:rsidRPr="00210AA1" w:rsidRDefault="002E2014" w:rsidP="002E2014">
            <w:pPr>
              <w:jc w:val="left"/>
              <w:rPr>
                <w:rFonts w:cstheme="minorHAnsi"/>
                <w:b w:val="0"/>
                <w:sz w:val="22"/>
                <w:szCs w:val="22"/>
              </w:rPr>
            </w:pPr>
            <w:r w:rsidRPr="00210AA1">
              <w:rPr>
                <w:rFonts w:cstheme="minorHAnsi"/>
                <w:b w:val="0"/>
                <w:sz w:val="22"/>
                <w:szCs w:val="22"/>
              </w:rPr>
              <w:t>De bank heeft na verkoop van de vorderingen/goederen, door de curator, waarop zij haar pandrechten gevestigd had, nog steeds voorrang op de opbrengst. De bank kan zich zodoende boven andere schuldeisers op de opbrengst van de verkochte boedel verhalen indien zij pandrechten had die in de boedel vielen. Dit geldt zowel voor pandrechten op roerende zaken als voor pandrechten op vorderingen.</w:t>
            </w:r>
          </w:p>
        </w:tc>
      </w:tr>
      <w:tr w:rsidR="002E2014" w:rsidRPr="00210AA1" w:rsidTr="008B73CA">
        <w:trPr>
          <w:trHeight w:val="345"/>
        </w:trPr>
        <w:tc>
          <w:tcPr>
            <w:tcW w:w="244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2. ECLI:NL:HR:2009:BJ0861</w:t>
            </w:r>
          </w:p>
        </w:tc>
        <w:tc>
          <w:tcPr>
            <w:tcW w:w="591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4.1.2 De curator is in het belang van de boedel bevoegd voldoening van door de gefailleerde stil verpande vorderingen te eisen en betalingen van die vorderingen in ontvangst te nemen, zolang de stille pandhouder aan de betrokken debiteuren niet de in art. 3:246 lid 1, tweede volzin, BW bedoelde mededeling heeft gedaan.</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4.1.3 Echter, omdat de curator niet de vrijheid heeft de bevoegdheid van de stille pandhouder tot het doen van de genoemde mededeling te frustreren door zijnerzijds aanstonds aan die debiteuren mede te delen dat zij de stil verpande vorderingen op de rekening van de boedel moeten voldoen in plaats van op die van de stille pandhouder, heeft de Hoge Raad tevens beslist dat de curator een redelijke termijn - die aanvangt daags na de faillietverklaring en ten aanzien van een professionele stille pandhouder als een bank in het algemeen is te stellen op veertien dagen - in acht neemt alvorens een dergelijke (op incasso van de verpande vorderingen gerichte) mededeling aan de debiteuren te doen, teneinde de stille pandhouder in de gelegenheid te stellen de bevoegdheid tot inning op zich te doen overgaan door de bedoelde mededeling aan de debiteuren te doen. Een en ander impliceert dat voldoende is dat de curator gedurende genoemde termijn zich onthoudt van op inning van de verpande vorderingen gerichte activiteiten; hij is dus niet verplicht de stille pandhouder een redelijke termijn te stellen om jegens de debiteuren van de verpande vorderingen over te gaan tot uitoefening van zijn rechten overeenkomstig art. 57 F.</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4.1.4 Zodra de stille pandhouder de curator heeft meegedeeld dat hij overeenkomstig art. 57 F. wenst over te gaan tot het uitoefenen van zijn rechten, dient de curator elke verdere activiteit achterwege te laten welke is gericht op inning ten behoeve van de boedel van de verpande vorderingen. Dit geldt niet alleen wanneer deze mededeling wordt gedaan binnen de hiervoor genoemde termijn, maar ook wanneer zij daarna plaatsvindt. Door het verstrijken van de genoemde termijn verliest de stille pandhouder immers niet zijn aan het pandrecht ontleende rechten.</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4.2.1 Zoals uit het </w:t>
            </w:r>
            <w:proofErr w:type="spellStart"/>
            <w:r w:rsidR="002E2014" w:rsidRPr="00210AA1">
              <w:rPr>
                <w:rFonts w:cstheme="minorHAnsi"/>
                <w:b w:val="0"/>
                <w:sz w:val="22"/>
                <w:szCs w:val="22"/>
              </w:rPr>
              <w:t>vorenoverwogene</w:t>
            </w:r>
            <w:proofErr w:type="spellEnd"/>
            <w:r w:rsidR="002E2014" w:rsidRPr="00210AA1">
              <w:rPr>
                <w:rFonts w:cstheme="minorHAnsi"/>
                <w:b w:val="0"/>
                <w:sz w:val="22"/>
                <w:szCs w:val="22"/>
              </w:rPr>
              <w:t xml:space="preserve"> blijkt, kan enerzijds van de curator niet verlangd worden dat hij initiatieven ontplooit teneinde de stille pandhouder in staat te stellen zijn uit art. 57 F. in verbinding met art. 3:246 lid 1 BW voortvloeiende rechten uit te oefenen, maar mag anderzijds de curator die uitoefening niet frustreren, net zo </w:t>
            </w:r>
            <w:r w:rsidR="002E2014" w:rsidRPr="00210AA1">
              <w:rPr>
                <w:rFonts w:cstheme="minorHAnsi"/>
                <w:b w:val="0"/>
                <w:sz w:val="22"/>
                <w:szCs w:val="22"/>
              </w:rPr>
              <w:lastRenderedPageBreak/>
              <w:t>min als de pandgever dat buiten faillissement mag. Dit betekent dat de curator, zoals buiten faillissement de pandgever, de pandhouder op diens verlangen alle informatie verstrekt aangaande (de debiteuren van) de verpande vorderingen waarover hij de beschikking heeft en die de pandhouder nodig heeft teneinde de in art. 3:246 lid 1, tweede volzin, genoemde mededeling te doen en de inning van de betrokken vorderingen ter hand te nemen. Deze verplichting inlichtingen te verschaffen vloeit voort uit de aard en strekking van het stil pandrecht op vorderingen op naam in verband met de in art. 3:246 lid 1 en 4 BW genoemde rechtsgevolgen die zijn verbonden aan mededeling van het stil pandrecht door de pandhouder aan de debiteur van de verpande vordering, te weten het ontstaan van de nagenoeg exclusieve bevoegdheid van de pandhouder om in en buiten rechte - en ingeval van faillissement van de pandgever: alsof dit er niet was (art. 57 F.) - voldoening van de verpande vordering te eisen en betalingen in ontvangst te nemen. Zou immers de genoemde verplichting van de gefailleerde pandgever en van de curator inlichtingen te verschaffen niet worden aangenomen dan zou de uitoefening van die bevoegdheden grotendeels illusoir worden, met als gevolg dat de mogelijkheid om overeenkomstig art. 3:239 stil pandrecht te vestigen in de kern zou worden aangetast.</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4.2.2 De curator (en buiten faillissement de pandgever) dient de hiervoor bedoelde informatie te verschaffen door de stille pandhouder de nodige gegevens uit de administratie van de gefailleerde te verstrekken, dan wel door hem daarin genoegzaam inzage te geven. Anders dan wanneer het gaat om nakoming van deze verplichting door de pandgever zelf buiten faillissement, is in geval van diens faillissement de curator gerechtigd om van de stille pandhouder te verlangen dat hij de boedel de kosten vergoedt die de curator in redelijkheid heeft gemaakt voor het verschaffen van de bedoelde gegevens of het verlenen van inzage.</w:t>
            </w:r>
            <w:r>
              <w:rPr>
                <w:rFonts w:cstheme="minorHAnsi"/>
                <w:b w:val="0"/>
                <w:sz w:val="22"/>
                <w:szCs w:val="22"/>
              </w:rPr>
              <w:t>”</w:t>
            </w:r>
          </w:p>
        </w:tc>
        <w:tc>
          <w:tcPr>
            <w:tcW w:w="2976" w:type="dxa"/>
          </w:tcPr>
          <w:p w:rsidR="002E2014" w:rsidRPr="00210AA1" w:rsidRDefault="002E2014" w:rsidP="002E2014">
            <w:pPr>
              <w:jc w:val="left"/>
              <w:rPr>
                <w:rFonts w:cstheme="minorHAnsi"/>
                <w:b w:val="0"/>
                <w:sz w:val="22"/>
                <w:szCs w:val="22"/>
                <w:u w:val="single"/>
              </w:rPr>
            </w:pPr>
            <w:r w:rsidRPr="00210AA1">
              <w:rPr>
                <w:rFonts w:cstheme="minorHAnsi"/>
                <w:b w:val="0"/>
                <w:sz w:val="22"/>
                <w:szCs w:val="22"/>
                <w:u w:val="single"/>
              </w:rPr>
              <w:lastRenderedPageBreak/>
              <w:t>Uitoefening stil pandrecht</w:t>
            </w:r>
          </w:p>
          <w:p w:rsidR="002E2014" w:rsidRPr="00210AA1" w:rsidRDefault="002E2014" w:rsidP="002E2014">
            <w:pPr>
              <w:jc w:val="left"/>
              <w:rPr>
                <w:rFonts w:cstheme="minorHAnsi"/>
                <w:b w:val="0"/>
                <w:sz w:val="22"/>
                <w:szCs w:val="22"/>
              </w:rPr>
            </w:pPr>
            <w:r w:rsidRPr="00210AA1">
              <w:rPr>
                <w:rFonts w:cstheme="minorHAnsi"/>
                <w:b w:val="0"/>
                <w:sz w:val="22"/>
                <w:szCs w:val="22"/>
              </w:rPr>
              <w:t>Er is bepaald dat een curator verplicht is informatie te verstrekken aan een stille pandhouder op basis waarvan hij mededeling van zijn pandrecht kan doen.</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Tevens is besloten dat een curator pas na twee weken mag overgaan tot inning van de verpande vorderingen. De pandhouder behoudt echter wel voorrang op de opbrengst.</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 xml:space="preserve">Tot slot dient de curator iedere activiteit tot inning van de verpande vorderingen achterwege te laten zodra de stille pandhouder op grond van artikel 57 </w:t>
            </w:r>
            <w:proofErr w:type="spellStart"/>
            <w:r w:rsidRPr="00210AA1">
              <w:rPr>
                <w:rFonts w:cstheme="minorHAnsi"/>
                <w:b w:val="0"/>
                <w:sz w:val="22"/>
                <w:szCs w:val="22"/>
              </w:rPr>
              <w:t>Fw</w:t>
            </w:r>
            <w:proofErr w:type="spellEnd"/>
            <w:r w:rsidRPr="00210AA1">
              <w:rPr>
                <w:rFonts w:cstheme="minorHAnsi"/>
                <w:b w:val="0"/>
                <w:sz w:val="22"/>
                <w:szCs w:val="22"/>
              </w:rPr>
              <w:t xml:space="preserve"> over gaat tot uitoefening van zijn stille pandrechten.</w:t>
            </w:r>
          </w:p>
        </w:tc>
      </w:tr>
      <w:tr w:rsidR="002E2014" w:rsidRPr="00210AA1" w:rsidTr="008B73CA">
        <w:trPr>
          <w:trHeight w:val="365"/>
        </w:trPr>
        <w:tc>
          <w:tcPr>
            <w:tcW w:w="244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3. ECLI:NL:RBOBR:2016:5618</w:t>
            </w:r>
          </w:p>
        </w:tc>
        <w:tc>
          <w:tcPr>
            <w:tcW w:w="591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4.16 De rechtbank stelt bij de beoordeling van de standpunten van partijen voorop dat voor vestiging van pandrecht is vereist dat tussen de pandgever en de pandnemer wilsovereenstemming bestaat die strekt tot de vestiging van het pandrecht. Voorts is voor de vestiging van stil pandrecht vereist: een akte die doet blijken dat zij tot verpanding van de erin bedoelde vordering(en) is bestemd. Daarbij geldt dat een tot verpanding strekkende verklaring van de pandgever niet met zoveel woorden in de akte behoeft te zijn opgenomen. Voldoende is dat de akte zodanige gegevens bevat dat, eventueel in onderling verband en samenhang met andere akten of andere feiten, kan worden vastgesteld dat de akte is bestemd tot verpanding van de erin bedoelde vorderingen. Zie onder </w:t>
            </w:r>
            <w:r w:rsidR="002E2014" w:rsidRPr="00210AA1">
              <w:rPr>
                <w:rFonts w:cstheme="minorHAnsi"/>
                <w:b w:val="0"/>
                <w:sz w:val="22"/>
                <w:szCs w:val="22"/>
              </w:rPr>
              <w:lastRenderedPageBreak/>
              <w:t>meer HR 29 juni 2001 (ECLI:NL:HR:2001:AB2435, Bank of Tokyo). Hoewel voorts bij de interpretatie van een akte tussen professionele partijen waarbij een goederenrechtelijk zekerheidsrecht wordt gevestigd relatief groot belang moet worden gehecht aan de taalkundige uitleg van die akte, ziet de rechtbank in het feit dat alle tussen partijen bediscussieerde aktes met medewerking van dezelfde natuurlijke personen en op dezelfde datum tot stand gekomen zijn, reden om de akte met opschrift “Kredietovereenkomst” te interpreteren in samenhang met de andere op 31 december 2010 ondertekende en op 27 januari 2010 geregistreerde aktes.</w:t>
            </w:r>
            <w:r>
              <w:rPr>
                <w:rFonts w:cstheme="minorHAnsi"/>
                <w:b w:val="0"/>
                <w:sz w:val="22"/>
                <w:szCs w:val="22"/>
              </w:rPr>
              <w:t>”</w:t>
            </w:r>
          </w:p>
        </w:tc>
        <w:tc>
          <w:tcPr>
            <w:tcW w:w="2976" w:type="dxa"/>
          </w:tcPr>
          <w:p w:rsidR="002E2014" w:rsidRPr="00210AA1" w:rsidRDefault="002E2014" w:rsidP="002E2014">
            <w:pPr>
              <w:jc w:val="left"/>
              <w:rPr>
                <w:rFonts w:cstheme="minorHAnsi"/>
                <w:b w:val="0"/>
                <w:sz w:val="22"/>
                <w:szCs w:val="22"/>
              </w:rPr>
            </w:pPr>
            <w:r w:rsidRPr="00210AA1">
              <w:rPr>
                <w:rFonts w:cstheme="minorHAnsi"/>
                <w:b w:val="0"/>
                <w:sz w:val="22"/>
                <w:szCs w:val="22"/>
                <w:u w:val="single"/>
              </w:rPr>
              <w:lastRenderedPageBreak/>
              <w:t>Vestigen stil pandrecht</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Om een pandrecht rechtsgeldig te kunnen vestigen is vereist dat tussen de pandnemer en de pandgever wilsovereenstemming is bereikt omtrent het vestigen van het pandrecht. Daarnaast dient er een akte te worden opgesteld met daarin de voor verpanding bedoelde vorderingen. Er hoeft niet gespecificeerd te worden wat </w:t>
            </w:r>
            <w:r w:rsidRPr="00210AA1">
              <w:rPr>
                <w:rFonts w:cstheme="minorHAnsi"/>
                <w:b w:val="0"/>
                <w:sz w:val="22"/>
                <w:szCs w:val="22"/>
              </w:rPr>
              <w:lastRenderedPageBreak/>
              <w:t>er precies verpand wordt. Voldoende is dat uit de akte afgeleid kan worden, of in samenhang met andere gegevens of akten vastgesteld kan worden, wat er via de akte verpand wordt en dat de akte tot verpanding bestemd is.</w:t>
            </w:r>
          </w:p>
        </w:tc>
      </w:tr>
      <w:tr w:rsidR="002E2014" w:rsidRPr="00210AA1" w:rsidTr="008B73CA">
        <w:trPr>
          <w:trHeight w:val="365"/>
        </w:trPr>
        <w:tc>
          <w:tcPr>
            <w:tcW w:w="244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5. ECLI:NL:RBLIM:2016:1936</w:t>
            </w:r>
          </w:p>
        </w:tc>
        <w:tc>
          <w:tcPr>
            <w:tcW w:w="591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4.31 De rechtbank oordeelt als volgt. De curatoren hebben aan [eiser sub 1] (en de Stichting) een termijn gegeven van 7 dagen voor de uitoefening van hun pandrechten. Een dergelijke termijn kan naar het oordeel van de rechtbank niet als een redelijke termijn worden beschouwd, nu het naar haar oordeel niet mogelijk is om binnen een dergelijke periode tot inning van de verpande vorderingen over te gaan of daar zelfs maar een aanvang mee te maken: reeds met de enkele aanschrijving van de debiteuren zal immers doorgaans al een termijn van 7 dagen gemoeid zijn. Ook in de jurisprudentie wordt als een redelijke termijn algemeen aangenomen een termijn van 14 dagen. De door de curatoren gestelde termijn is daarvan een halvering die niet begrijpelijk is in het licht van de geschetste omstandigheden. Daarmee heeft de termijn te gelden als een onredelijke termijn. De vraag is vervolgens aan de orde of de onredelijke termijn is gesauveerd door de beslissing van de </w:t>
            </w:r>
            <w:proofErr w:type="spellStart"/>
            <w:r w:rsidR="002E2014" w:rsidRPr="00210AA1">
              <w:rPr>
                <w:rFonts w:cstheme="minorHAnsi"/>
                <w:b w:val="0"/>
                <w:sz w:val="22"/>
                <w:szCs w:val="22"/>
              </w:rPr>
              <w:t>rechter˗commissaris</w:t>
            </w:r>
            <w:proofErr w:type="spellEnd"/>
            <w:r w:rsidR="002E2014" w:rsidRPr="00210AA1">
              <w:rPr>
                <w:rFonts w:cstheme="minorHAnsi"/>
                <w:b w:val="0"/>
                <w:sz w:val="22"/>
                <w:szCs w:val="22"/>
              </w:rPr>
              <w:t xml:space="preserve"> om de termijn te verlengen tot 1 juli 2013.</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4.32 Naar het oordeel van de rechtbank vloeit uit het vonnis van de rechtbank Haarlem van 9 december 2010 (ECLI:NL:RBHAA:2010:BO8119) en de daarin vermelde rechtspraak voort dat, indien de door een curator gestelde termijn geen redelijke termijn is, deze termijn dan (in het geheel) niet kan worden aangemerkt als een termijn als bedoeld in artikel 58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Dit leidt ertoe dat de rechtbank ervan uitgaat dat door de curatoren geen termijn is gesteld. De beslissing van de </w:t>
            </w:r>
            <w:proofErr w:type="spellStart"/>
            <w:r w:rsidR="002E2014" w:rsidRPr="00210AA1">
              <w:rPr>
                <w:rFonts w:cstheme="minorHAnsi"/>
                <w:b w:val="0"/>
                <w:sz w:val="22"/>
                <w:szCs w:val="22"/>
              </w:rPr>
              <w:t>rechter˗commissaris</w:t>
            </w:r>
            <w:proofErr w:type="spellEnd"/>
            <w:r w:rsidR="002E2014" w:rsidRPr="00210AA1">
              <w:rPr>
                <w:rFonts w:cstheme="minorHAnsi"/>
                <w:b w:val="0"/>
                <w:sz w:val="22"/>
                <w:szCs w:val="22"/>
              </w:rPr>
              <w:t xml:space="preserve"> kan dan ook niet leiden tot het herstel van de onredelijke termijn in een redelijke termijn, reeds omdat is besloten tot een verlenging van een niet bestaande termijn. De rechtbank overweegt daarbij weliswaar dat door A-G Wuisman onder nr. 2.7.1. van zijn conclusie vóór HR 1 maart 2013 (ECLI:NL:HR:2013:BZ2776) is betoogd dat ook een niet redelijke termijn geacht moet worden te zijn een termijn als bedoeld in artikel 58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nu een dergelijke termijn immers, indien de gegunde termijn te kort en dus niet redelijk blijkt te zijn, verlengd kan worden, maar deze opvatting heeft (nog) niet geleid tot een wijziging van de in </w:t>
            </w:r>
            <w:r w:rsidR="002E2014" w:rsidRPr="00210AA1">
              <w:rPr>
                <w:rFonts w:cstheme="minorHAnsi"/>
                <w:b w:val="0"/>
                <w:sz w:val="22"/>
                <w:szCs w:val="22"/>
              </w:rPr>
              <w:lastRenderedPageBreak/>
              <w:t xml:space="preserve">de jurisprudentie heersende leer omtrent de in artikel 58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bedoelde termijn. De verwijzing door de curatoren naar het arrest van de Hoge Raad van 20 december 2013 (</w:t>
            </w:r>
            <w:proofErr w:type="spellStart"/>
            <w:r w:rsidR="002E2014" w:rsidRPr="00210AA1">
              <w:rPr>
                <w:rFonts w:cstheme="minorHAnsi"/>
                <w:b w:val="0"/>
                <w:sz w:val="22"/>
                <w:szCs w:val="22"/>
              </w:rPr>
              <w:t>Glencore</w:t>
            </w:r>
            <w:proofErr w:type="spellEnd"/>
            <w:r w:rsidR="002E2014" w:rsidRPr="00210AA1">
              <w:rPr>
                <w:rFonts w:cstheme="minorHAnsi"/>
                <w:b w:val="0"/>
                <w:sz w:val="22"/>
                <w:szCs w:val="22"/>
              </w:rPr>
              <w:t>/Van Leeuwen q.q., NJ 2014, 151) kan hen naar het oordeel van de rechtbank niet baten, nu dat arrest ziet op de verlenging van een in beginsel als redelijk geoordeelde termijn. Zoals daarin overwogen voorziet de wet erin dat een curator aan een separatist een redelijke termijn stelt voor de uitoefening van zijn recht van parate executie waarmee hij een bevoegdheid in handen heeft de pand- en hypotheekhouders tot handelen te dwingen binnen een termijn die in beginsel lang genoeg moet zijn om dit recht onder normale omstandigheden uit te oefenen. Zoals geoordeeld is in het onderhavige geval van een dergelijke redelijke termijn geen sprake.</w:t>
            </w:r>
            <w:r>
              <w:rPr>
                <w:rFonts w:cstheme="minorHAnsi"/>
                <w:b w:val="0"/>
                <w:sz w:val="22"/>
                <w:szCs w:val="22"/>
              </w:rPr>
              <w:t>”</w:t>
            </w:r>
          </w:p>
        </w:tc>
        <w:tc>
          <w:tcPr>
            <w:tcW w:w="2976" w:type="dxa"/>
          </w:tcPr>
          <w:p w:rsidR="002E2014" w:rsidRPr="00210AA1" w:rsidRDefault="002E2014" w:rsidP="002E2014">
            <w:pPr>
              <w:jc w:val="left"/>
              <w:rPr>
                <w:rFonts w:cstheme="minorHAnsi"/>
                <w:b w:val="0"/>
                <w:sz w:val="22"/>
                <w:szCs w:val="22"/>
              </w:rPr>
            </w:pPr>
            <w:r w:rsidRPr="00210AA1">
              <w:rPr>
                <w:rFonts w:cstheme="minorHAnsi"/>
                <w:b w:val="0"/>
                <w:sz w:val="22"/>
                <w:szCs w:val="22"/>
                <w:u w:val="single"/>
              </w:rPr>
              <w:lastRenderedPageBreak/>
              <w:t xml:space="preserve">Redelijke termijn artikel 58 </w:t>
            </w:r>
            <w:proofErr w:type="spellStart"/>
            <w:r w:rsidRPr="00210AA1">
              <w:rPr>
                <w:rFonts w:cstheme="minorHAnsi"/>
                <w:b w:val="0"/>
                <w:sz w:val="22"/>
                <w:szCs w:val="22"/>
                <w:u w:val="single"/>
              </w:rPr>
              <w:t>Fw</w:t>
            </w:r>
            <w:proofErr w:type="spellEnd"/>
          </w:p>
          <w:p w:rsidR="002E2014" w:rsidRPr="00210AA1" w:rsidRDefault="002E2014" w:rsidP="002E2014">
            <w:pPr>
              <w:jc w:val="left"/>
              <w:rPr>
                <w:rFonts w:cstheme="minorHAnsi"/>
                <w:b w:val="0"/>
                <w:sz w:val="22"/>
                <w:szCs w:val="22"/>
              </w:rPr>
            </w:pPr>
            <w:r w:rsidRPr="00210AA1">
              <w:rPr>
                <w:rFonts w:cstheme="minorHAnsi"/>
                <w:b w:val="0"/>
                <w:sz w:val="22"/>
                <w:szCs w:val="22"/>
              </w:rPr>
              <w:t xml:space="preserve">De curator dient de pandhouder in het faillissement een redelijke termijn te geven om zijn pandrechten te kunnen uitoefenen. Dit is te herleiden tot artikel 58 </w:t>
            </w:r>
            <w:proofErr w:type="spellStart"/>
            <w:r w:rsidRPr="00210AA1">
              <w:rPr>
                <w:rFonts w:cstheme="minorHAnsi"/>
                <w:b w:val="0"/>
                <w:sz w:val="22"/>
                <w:szCs w:val="22"/>
              </w:rPr>
              <w:t>Fw</w:t>
            </w:r>
            <w:proofErr w:type="spellEnd"/>
            <w:r w:rsidRPr="00210AA1">
              <w:rPr>
                <w:rFonts w:cstheme="minorHAnsi"/>
                <w:b w:val="0"/>
                <w:sz w:val="22"/>
                <w:szCs w:val="22"/>
              </w:rPr>
              <w:t xml:space="preserve">. Binnen deze termijn zou de pandhouder zijn recht van executie moeten kunnen uitvoeren. </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 xml:space="preserve">Volgens de rechtbank is een redelijke termijn geen zeven dagen. Indien een curator een dergelijke onredelijke termijn stelt, is dit in strijd met artikel 58 </w:t>
            </w:r>
            <w:proofErr w:type="spellStart"/>
            <w:r w:rsidRPr="00210AA1">
              <w:rPr>
                <w:rFonts w:cstheme="minorHAnsi"/>
                <w:b w:val="0"/>
                <w:sz w:val="22"/>
                <w:szCs w:val="22"/>
              </w:rPr>
              <w:t>Fw</w:t>
            </w:r>
            <w:proofErr w:type="spellEnd"/>
            <w:r w:rsidRPr="00210AA1">
              <w:rPr>
                <w:rFonts w:cstheme="minorHAnsi"/>
                <w:b w:val="0"/>
                <w:sz w:val="22"/>
                <w:szCs w:val="22"/>
              </w:rPr>
              <w:t>. Zodoende acht de rechtbank dat er geen termijn is gesteld door de curator. Nu het wordt gezien alsof er geen termijn is gesteld, kan tevens verlenging van de termijn niet plaatsvinden. Alleen een termijn die al redelijk is kan eventueel verlengd worden. Wat wel als redelijke termijn wordt gezien is een termijn van veertien dagen.</w:t>
            </w: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7. ECLI:NL:RBOBR:2015:995</w:t>
            </w:r>
          </w:p>
        </w:tc>
        <w:tc>
          <w:tcPr>
            <w:tcW w:w="575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4.9.3 De vraag of Rabobank in dat geval bevoegd is tot verrekening van haar vordering op </w:t>
            </w:r>
            <w:proofErr w:type="spellStart"/>
            <w:r w:rsidR="002E2014" w:rsidRPr="00210AA1">
              <w:rPr>
                <w:rFonts w:cstheme="minorHAnsi"/>
                <w:b w:val="0"/>
                <w:sz w:val="22"/>
                <w:szCs w:val="22"/>
              </w:rPr>
              <w:t>Werkteam</w:t>
            </w:r>
            <w:proofErr w:type="spellEnd"/>
            <w:r w:rsidR="002E2014" w:rsidRPr="00210AA1">
              <w:rPr>
                <w:rFonts w:cstheme="minorHAnsi"/>
                <w:b w:val="0"/>
                <w:sz w:val="22"/>
                <w:szCs w:val="22"/>
              </w:rPr>
              <w:t xml:space="preserve"> met de na datum faillissement ontvangen betaling van de Belastingdienst vormt geen onderwerp van discussie tussen partijen. De curator erkent in de dagvaarding dat Rabobank alsdan op grond van het arrest Mulder q.q./CLBN — waarin de Hoge Raad heeft overwogen dat in de rechtspraak weliswaar is aanvaard dat bankinstellingen zich ter zake van op een rekening van hun debiteur gedane girale betalingen niet op verrekening kunnen beroepen indien deze betalingen zijn ontvangen op een tijdstip waarop de bankinstelling wist dat diens faillissement was te verwachten dan wel na diens faillietverklaring, maar dat geen goede grond bestaat deze strenge regels mede van toepassing te oordelen op de mogelijkheid van verrekening door een bankinstelling van girale betalingen die op deze tijdstippen zijn gedaan ter voldoening van aan haar stil verpande vorderingen ter zake waarvan zij nog geen mededeling heeft gedaan — bevoegd is tot verrekening.</w:t>
            </w:r>
            <w:r>
              <w:rPr>
                <w:rFonts w:cstheme="minorHAnsi"/>
                <w:b w:val="0"/>
                <w:sz w:val="22"/>
                <w:szCs w:val="22"/>
              </w:rPr>
              <w:t>”</w:t>
            </w:r>
          </w:p>
        </w:tc>
        <w:tc>
          <w:tcPr>
            <w:tcW w:w="2946" w:type="dxa"/>
          </w:tcPr>
          <w:p w:rsidR="002E2014" w:rsidRPr="00210AA1" w:rsidRDefault="002E2014" w:rsidP="002E2014">
            <w:pPr>
              <w:jc w:val="left"/>
              <w:rPr>
                <w:rFonts w:cstheme="minorHAnsi"/>
                <w:b w:val="0"/>
                <w:sz w:val="22"/>
                <w:szCs w:val="22"/>
              </w:rPr>
            </w:pPr>
            <w:r w:rsidRPr="00210AA1">
              <w:rPr>
                <w:rFonts w:cstheme="minorHAnsi"/>
                <w:b w:val="0"/>
                <w:sz w:val="22"/>
                <w:szCs w:val="22"/>
                <w:u w:val="single"/>
              </w:rPr>
              <w:t>Mulder</w:t>
            </w:r>
          </w:p>
          <w:p w:rsidR="002E2014" w:rsidRPr="00210AA1" w:rsidRDefault="002E2014" w:rsidP="002E2014">
            <w:pPr>
              <w:jc w:val="left"/>
              <w:rPr>
                <w:rFonts w:cstheme="minorHAnsi"/>
                <w:b w:val="0"/>
                <w:sz w:val="22"/>
                <w:szCs w:val="22"/>
              </w:rPr>
            </w:pPr>
            <w:r w:rsidRPr="00210AA1">
              <w:rPr>
                <w:rFonts w:cstheme="minorHAnsi"/>
                <w:b w:val="0"/>
                <w:sz w:val="22"/>
                <w:szCs w:val="22"/>
              </w:rPr>
              <w:t>Het arrest Mulder q.q./CLBN is nog steeds toonaangevende jurisprudentie. Het arrest toont wederom aan dat men als pandhouder van stil verpande vorderingen mag verrekenen in het zicht van een faillissement.</w:t>
            </w: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t>9. ECLI:NL:HR:2014:319</w:t>
            </w:r>
          </w:p>
        </w:tc>
        <w:tc>
          <w:tcPr>
            <w:tcW w:w="575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3.4.2 Zoals volgt uit het hiervoor in 3.3.2 weergegeven arrest ING/</w:t>
            </w:r>
            <w:proofErr w:type="spellStart"/>
            <w:r w:rsidR="002E2014" w:rsidRPr="00210AA1">
              <w:rPr>
                <w:rFonts w:cstheme="minorHAnsi"/>
                <w:b w:val="0"/>
                <w:sz w:val="22"/>
                <w:szCs w:val="22"/>
              </w:rPr>
              <w:t>Hielkema</w:t>
            </w:r>
            <w:proofErr w:type="spellEnd"/>
            <w:r w:rsidR="002E2014" w:rsidRPr="00210AA1">
              <w:rPr>
                <w:rFonts w:cstheme="minorHAnsi"/>
                <w:b w:val="0"/>
                <w:sz w:val="22"/>
                <w:szCs w:val="22"/>
              </w:rPr>
              <w:t xml:space="preserve"> q.q., heeft een verkoop die plaatsvindt op een op de voet van art. 3:251 lid 2 BW overeengekomen wijze, een executoriaal karakter. Dat geldt derhalve in het onderhavige geval ook voor de verkoop door R. van zijn verpande winkelvoorraad ten behoeve van de bank als pandhouder. Door middel van deze (wijze van) executoriale verkoop oefent de bank haar recht uit zich met voorrang op de executieopbrengst van de winkelvoorraad te verhalen. Bij deze executie mag de bank, ingevolge art. 3:253 lid 1 BW, als pandhouder het door R. als pandgever verschuldigde bedrag waarvoor het pandrecht geldt, van de netto executieopbrengst afhouden; pas daarmee komt – in voorkomend geval na uitkering van een eventueel overschot aan de pandgever – de executie tot een einde.</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 xml:space="preserve">In het onderhavige geval heeft de bank (een gedeelte van) de schuld van R. uit hoofde van de kredietovereenkomst, waarvoor het pandrecht was gevestigd, van de executieopbrengst afgehouden door middel van de hiervoor in 3.1 onder (iv) vermelde ‘verrekening’. Die handeling maakte nog onderdeel uit van de executoriale verkoop, en kan niet worden aangemerkt als een verrekening in de zin van art. 54 </w:t>
            </w:r>
            <w:proofErr w:type="spellStart"/>
            <w:r w:rsidRPr="00210AA1">
              <w:rPr>
                <w:rFonts w:cstheme="minorHAnsi"/>
                <w:b w:val="0"/>
                <w:sz w:val="22"/>
                <w:szCs w:val="22"/>
              </w:rPr>
              <w:t>Fw</w:t>
            </w:r>
            <w:proofErr w:type="spellEnd"/>
            <w:r w:rsidRPr="00210AA1">
              <w:rPr>
                <w:rFonts w:cstheme="minorHAnsi"/>
                <w:b w:val="0"/>
                <w:sz w:val="22"/>
                <w:szCs w:val="22"/>
              </w:rPr>
              <w:t>. Dat is niet anders doordat de opbrengst van de executoriale verkoop is gestort op een door R. bij de bank aangehouden bankrekening. Voor zover die opbrengst de vordering van de bank op R. niet overtreft, hetgeen hier het geval is, is de bank immers niet tot schuldenaar van R. geworden, nu zij op grond van art. 3:253 lid 1 BW in zoverre zelf tot die executieopbrengst gerechtigd is. Een andere opvatting zou zonder goede grond een doelmatige uitoefening van het verhaalsrecht van de bank als pandhouder belemmeren.</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 xml:space="preserve">Hierbij verdient opmerking dat het voorgaande ook niet in strijd is met de strekking van art. 54 </w:t>
            </w:r>
            <w:proofErr w:type="spellStart"/>
            <w:r w:rsidRPr="00210AA1">
              <w:rPr>
                <w:rFonts w:cstheme="minorHAnsi"/>
                <w:b w:val="0"/>
                <w:sz w:val="22"/>
                <w:szCs w:val="22"/>
              </w:rPr>
              <w:t>Fw</w:t>
            </w:r>
            <w:proofErr w:type="spellEnd"/>
            <w:r w:rsidRPr="00210AA1">
              <w:rPr>
                <w:rFonts w:cstheme="minorHAnsi"/>
                <w:b w:val="0"/>
                <w:sz w:val="22"/>
                <w:szCs w:val="22"/>
              </w:rPr>
              <w:t xml:space="preserve">. De bank heeft zich immers niet ten </w:t>
            </w:r>
            <w:proofErr w:type="spellStart"/>
            <w:r w:rsidRPr="00210AA1">
              <w:rPr>
                <w:rFonts w:cstheme="minorHAnsi"/>
                <w:b w:val="0"/>
                <w:sz w:val="22"/>
                <w:szCs w:val="22"/>
              </w:rPr>
              <w:t>nadele</w:t>
            </w:r>
            <w:proofErr w:type="spellEnd"/>
            <w:r w:rsidRPr="00210AA1">
              <w:rPr>
                <w:rFonts w:cstheme="minorHAnsi"/>
                <w:b w:val="0"/>
                <w:sz w:val="22"/>
                <w:szCs w:val="22"/>
              </w:rPr>
              <w:t xml:space="preserve"> van de overige schuldeisers van R. in een betere positie gebracht, nu zij op grond van haar pandrecht bij voorrang gerechtigd is tot de opbrengst van de verpande winkelvoorraad. De bank heeft evenmin misbruik gemaakt van haar bijzondere positie in het girale betalingsverkeer, zoals bedoeld in (onder meer) het arrest HR 8 juli 1987, ECLI:NL:HR:1987:AC0457, NJ 1988/104 (Loeffen q.q./Bank Mees en Hope), nu de storting van de verkoopopbrengst op de door R. bij de bank aangehouden bankrekening niet het gevolg is van ‘toevallige’ betalingen door derden op die bankrekening, maar plaatsvindt in het kader van de executie door de bank van haar pandrecht op de winkelvoorraad.</w:t>
            </w:r>
            <w:r w:rsidR="000D0BD0">
              <w:rPr>
                <w:rFonts w:cstheme="minorHAnsi"/>
                <w:b w:val="0"/>
                <w:sz w:val="22"/>
                <w:szCs w:val="22"/>
              </w:rPr>
              <w:t>”</w:t>
            </w:r>
          </w:p>
        </w:tc>
        <w:tc>
          <w:tcPr>
            <w:tcW w:w="2946" w:type="dxa"/>
          </w:tcPr>
          <w:p w:rsidR="002E2014" w:rsidRPr="00210AA1" w:rsidRDefault="002E2014" w:rsidP="002E2014">
            <w:pPr>
              <w:jc w:val="left"/>
              <w:rPr>
                <w:rFonts w:cstheme="minorHAnsi"/>
                <w:b w:val="0"/>
                <w:sz w:val="22"/>
                <w:szCs w:val="22"/>
              </w:rPr>
            </w:pPr>
            <w:r w:rsidRPr="00210AA1">
              <w:rPr>
                <w:rFonts w:cstheme="minorHAnsi"/>
                <w:b w:val="0"/>
                <w:sz w:val="22"/>
                <w:szCs w:val="22"/>
                <w:u w:val="single"/>
              </w:rPr>
              <w:lastRenderedPageBreak/>
              <w:t xml:space="preserve">Artikel 54 </w:t>
            </w:r>
            <w:proofErr w:type="spellStart"/>
            <w:r w:rsidRPr="00210AA1">
              <w:rPr>
                <w:rFonts w:cstheme="minorHAnsi"/>
                <w:b w:val="0"/>
                <w:sz w:val="22"/>
                <w:szCs w:val="22"/>
                <w:u w:val="single"/>
              </w:rPr>
              <w:t>Fw</w:t>
            </w:r>
            <w:proofErr w:type="spellEnd"/>
          </w:p>
          <w:p w:rsidR="002E2014" w:rsidRPr="00210AA1" w:rsidRDefault="002E2014" w:rsidP="002E2014">
            <w:pPr>
              <w:jc w:val="left"/>
              <w:rPr>
                <w:rFonts w:cstheme="minorHAnsi"/>
                <w:b w:val="0"/>
                <w:sz w:val="22"/>
                <w:szCs w:val="22"/>
              </w:rPr>
            </w:pPr>
            <w:r w:rsidRPr="00210AA1">
              <w:rPr>
                <w:rFonts w:cstheme="minorHAnsi"/>
                <w:b w:val="0"/>
                <w:sz w:val="22"/>
                <w:szCs w:val="22"/>
              </w:rPr>
              <w:t xml:space="preserve">Artikel 54 </w:t>
            </w:r>
            <w:proofErr w:type="spellStart"/>
            <w:r w:rsidRPr="00210AA1">
              <w:rPr>
                <w:rFonts w:cstheme="minorHAnsi"/>
                <w:b w:val="0"/>
                <w:sz w:val="22"/>
                <w:szCs w:val="22"/>
              </w:rPr>
              <w:t>Fw</w:t>
            </w:r>
            <w:proofErr w:type="spellEnd"/>
            <w:r w:rsidRPr="00210AA1">
              <w:rPr>
                <w:rFonts w:cstheme="minorHAnsi"/>
                <w:b w:val="0"/>
                <w:sz w:val="22"/>
                <w:szCs w:val="22"/>
              </w:rPr>
              <w:t xml:space="preserve"> is niet van toepassing indien er sprake is van een executoriale verkoop in de zin van artikel 3:251 lid 2 BW. Dat de opbrengst van de executoriale verkoop op de rekening wordt gestort die de schuldenaar bij de bank heeft brengt hier geen verandering in.</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 xml:space="preserve">De bank brengt zichzelf immers niet in een betere positie ten opzichte van andere schuldeisers. De bank was door haar pandrecht </w:t>
            </w:r>
            <w:r w:rsidRPr="00210AA1">
              <w:rPr>
                <w:rFonts w:cstheme="minorHAnsi"/>
                <w:b w:val="0"/>
                <w:sz w:val="22"/>
                <w:szCs w:val="22"/>
              </w:rPr>
              <w:lastRenderedPageBreak/>
              <w:t xml:space="preserve">namelijk al gerechtigd zich bij voorrang te verhalen op de opbrengst van de verpande winkelvoorraad. </w:t>
            </w: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lang w:val="en-US"/>
              </w:rPr>
              <w:lastRenderedPageBreak/>
              <w:t>10. ECLI:NL:RBZLY:2009:BI6124</w:t>
            </w:r>
          </w:p>
        </w:tc>
        <w:tc>
          <w:tcPr>
            <w:tcW w:w="575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3.1.4 Doordat de bank de koopsom heeft ontvangen zonder dat daaraan een opdracht van </w:t>
            </w:r>
            <w:proofErr w:type="spellStart"/>
            <w:r w:rsidR="002E2014" w:rsidRPr="00210AA1">
              <w:rPr>
                <w:rFonts w:cstheme="minorHAnsi"/>
                <w:b w:val="0"/>
                <w:sz w:val="22"/>
                <w:szCs w:val="22"/>
              </w:rPr>
              <w:t>Calluna</w:t>
            </w:r>
            <w:proofErr w:type="spellEnd"/>
            <w:r w:rsidR="002E2014" w:rsidRPr="00210AA1">
              <w:rPr>
                <w:rFonts w:cstheme="minorHAnsi"/>
                <w:b w:val="0"/>
                <w:sz w:val="22"/>
                <w:szCs w:val="22"/>
              </w:rPr>
              <w:t xml:space="preserve"> ten grondslag lag, is de bank debiteur geworden van </w:t>
            </w:r>
            <w:proofErr w:type="spellStart"/>
            <w:r w:rsidR="002E2014" w:rsidRPr="00210AA1">
              <w:rPr>
                <w:rFonts w:cstheme="minorHAnsi"/>
                <w:b w:val="0"/>
                <w:sz w:val="22"/>
                <w:szCs w:val="22"/>
              </w:rPr>
              <w:t>Calluna</w:t>
            </w:r>
            <w:proofErr w:type="spellEnd"/>
            <w:r w:rsidR="002E2014" w:rsidRPr="00210AA1">
              <w:rPr>
                <w:rFonts w:cstheme="minorHAnsi"/>
                <w:b w:val="0"/>
                <w:sz w:val="22"/>
                <w:szCs w:val="22"/>
              </w:rPr>
              <w:t xml:space="preserve">. Zij heeft de schuld van de koper </w:t>
            </w:r>
            <w:proofErr w:type="spellStart"/>
            <w:r w:rsidR="002E2014" w:rsidRPr="00210AA1">
              <w:rPr>
                <w:rFonts w:cstheme="minorHAnsi"/>
                <w:b w:val="0"/>
                <w:sz w:val="22"/>
                <w:szCs w:val="22"/>
              </w:rPr>
              <w:t>Likon</w:t>
            </w:r>
            <w:proofErr w:type="spellEnd"/>
            <w:r w:rsidR="002E2014" w:rsidRPr="00210AA1">
              <w:rPr>
                <w:rFonts w:cstheme="minorHAnsi"/>
                <w:b w:val="0"/>
                <w:sz w:val="22"/>
                <w:szCs w:val="22"/>
              </w:rPr>
              <w:t xml:space="preserve"> BV tot betaling van de koopprijs overgenomen. Op deze situatie is art. 54 Faillissementswet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van toepassing, dat bepaalt dat de bevoegdheid tot verrekening vervalt als bij de schuldoverneming voor faillissement niet te goede trouw is gehandeld. Verwezen wordt naar HR 19 november 2004, NJ 2005, 119 (ING/Gunning q.q.). Nu de bank wist dat na de verkoop van het park direct het faillissement zou volgen, hetgeen ook is gebeurd, was zij niet te goede trouw, zodat zij niet bevoegd was tot verrekening.</w:t>
            </w:r>
          </w:p>
          <w:p w:rsidR="002E2014" w:rsidRPr="00210AA1" w:rsidRDefault="002E2014" w:rsidP="002E2014">
            <w:pPr>
              <w:jc w:val="left"/>
              <w:rPr>
                <w:rFonts w:cstheme="minorHAnsi"/>
                <w:b w:val="0"/>
                <w:sz w:val="22"/>
                <w:szCs w:val="22"/>
              </w:rPr>
            </w:pPr>
            <w:r w:rsidRPr="00210AA1">
              <w:rPr>
                <w:rFonts w:cstheme="minorHAnsi"/>
                <w:b w:val="0"/>
                <w:sz w:val="22"/>
                <w:szCs w:val="22"/>
              </w:rPr>
              <w:t>Door de onrechtmatige verrekening van de koopsom met de schuld aan de bank is de boedel benadeeld, hetgeen een onrechtmatige daad oplevert ex art. 6:162 Burgerlijk Wetboek (BW). De schade is gelijk aan de koopsom.</w:t>
            </w:r>
            <w:r w:rsidR="000D0BD0">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3.1.5 De bank heeft in het zicht van faillissement met de </w:t>
            </w:r>
            <w:r w:rsidR="002E2014" w:rsidRPr="00210AA1">
              <w:rPr>
                <w:rFonts w:cstheme="minorHAnsi"/>
                <w:b w:val="0"/>
                <w:sz w:val="22"/>
                <w:szCs w:val="22"/>
              </w:rPr>
              <w:lastRenderedPageBreak/>
              <w:t xml:space="preserve">bestuurders van </w:t>
            </w:r>
            <w:proofErr w:type="spellStart"/>
            <w:r w:rsidR="002E2014" w:rsidRPr="00210AA1">
              <w:rPr>
                <w:rFonts w:cstheme="minorHAnsi"/>
                <w:b w:val="0"/>
                <w:sz w:val="22"/>
                <w:szCs w:val="22"/>
              </w:rPr>
              <w:t>Calluna</w:t>
            </w:r>
            <w:proofErr w:type="spellEnd"/>
            <w:r w:rsidR="002E2014" w:rsidRPr="00210AA1">
              <w:rPr>
                <w:rFonts w:cstheme="minorHAnsi"/>
                <w:b w:val="0"/>
                <w:sz w:val="22"/>
                <w:szCs w:val="22"/>
              </w:rPr>
              <w:t xml:space="preserve"> samengespannen om bij voorrang boven andere schuldeisers betaling te verkrijgen op haar vordering. Door de koopsom op haar rekening te laten storten en deze vervolgens te verrekenen terwijl zij wist dat het faillissement aanstaande was, heeft de bank onrechtmatig gehandeld jegens de gezamenlijke schuldeisers. De schade is gelijk aan de koopsom.</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4.1.1 Uit het arrest van de Hoge Raad waarnaar de curator heeft verwezen (HR 19 november 2004, NJ 2005, 199, ING/Gunning q.q.) vloeit onder meer voort dat, indien een debiteur van de schuldenaar zijn schuld aan deze voldoet door storting op diens bankrekening, de bank zich door creditering van die rekening tot debiteur maakt van de schuldenaar. In die zaak was sprake van een afspraak tussen partijen die ertoe strekte dat de opbrengst van de onroerende zaken waarop de bank recht van hypotheek had in mindering zou strekken op de schulden van de schuldenaar bij de bank. De bank deed afstand van haar recht van hypotheek, de onroerende zaken werden verkocht en de notaris stortte het bedrag op de rekening van de schuldenaar bij de bank. Volgens de Hoge Raad konden de omstandigheden van het geval er niet toe leiden dat de bank kon ontkomen aan de consequenties van het feit dat zij afstand had gedaan van haar recht van hypotheek en dus ook van het recht op voorrang en de positie van separatist die zij daaraan ontleende, zonder — zoals mogelijk was geweest — tegelijk een pandrecht te doen vestigen op de opbrengst van de verkoop van de desbetreffende onroerende zaken of de vordering met instemming van de verkopers van de onroerende zaken rechtstreeks aan haar laten voldoen. De Hoge Raad oordeelde dat sprake was van verrekening als bedoeld in art.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4.1.2 In de onderhavige zaak heeft de notaris de koopsom niet gestort op de Rabo-bankrekening van </w:t>
            </w:r>
            <w:proofErr w:type="spellStart"/>
            <w:r w:rsidR="002E2014" w:rsidRPr="00210AA1">
              <w:rPr>
                <w:rFonts w:cstheme="minorHAnsi"/>
                <w:b w:val="0"/>
                <w:sz w:val="22"/>
                <w:szCs w:val="22"/>
              </w:rPr>
              <w:t>Calluna</w:t>
            </w:r>
            <w:proofErr w:type="spellEnd"/>
            <w:r w:rsidR="002E2014" w:rsidRPr="00210AA1">
              <w:rPr>
                <w:rFonts w:cstheme="minorHAnsi"/>
                <w:b w:val="0"/>
                <w:sz w:val="22"/>
                <w:szCs w:val="22"/>
              </w:rPr>
              <w:t>, maar het geld overgemaakt naar een rekening van de bank zelf.</w:t>
            </w:r>
          </w:p>
          <w:p w:rsidR="002E2014" w:rsidRPr="00210AA1" w:rsidRDefault="002E2014" w:rsidP="002E2014">
            <w:pPr>
              <w:jc w:val="left"/>
              <w:rPr>
                <w:rFonts w:cstheme="minorHAnsi"/>
                <w:b w:val="0"/>
                <w:sz w:val="22"/>
                <w:szCs w:val="22"/>
              </w:rPr>
            </w:pPr>
            <w:r w:rsidRPr="00210AA1">
              <w:rPr>
                <w:rFonts w:cstheme="minorHAnsi"/>
                <w:b w:val="0"/>
                <w:sz w:val="22"/>
                <w:szCs w:val="22"/>
              </w:rPr>
              <w:t>Dit betekent dat de onderhavige casus op een wezenlijk onderdeel afwijkt van het voornoemde arrest.</w:t>
            </w:r>
            <w:r w:rsidR="000D0BD0">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4.1.4 Verder blijkt uit de nota van afrekening van de notaris dat de koopsom naar de bank zou worden overgemaakt ter verkrijging van royement. Uit genoemde omstandigheden kan genoegzaam worden afgeleid dat </w:t>
            </w:r>
            <w:proofErr w:type="spellStart"/>
            <w:r w:rsidR="002E2014" w:rsidRPr="00210AA1">
              <w:rPr>
                <w:rFonts w:cstheme="minorHAnsi"/>
                <w:b w:val="0"/>
                <w:sz w:val="22"/>
                <w:szCs w:val="22"/>
              </w:rPr>
              <w:t>Calluna</w:t>
            </w:r>
            <w:proofErr w:type="spellEnd"/>
            <w:r w:rsidR="002E2014" w:rsidRPr="00210AA1">
              <w:rPr>
                <w:rFonts w:cstheme="minorHAnsi"/>
                <w:b w:val="0"/>
                <w:sz w:val="22"/>
                <w:szCs w:val="22"/>
              </w:rPr>
              <w:t xml:space="preserve"> wetenschap had van en stilzwijgend ingestemd heeft met de rechtstreekse betaling aan de bank. Dit leidt ertoe dat van verrekening geen sprake is geweest, art.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dientengevolge toepassing mist en de primaire vordering moet worden afgewezen.</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4.2 De curator heeft daarnaast een beroep gedaan op art. </w:t>
            </w:r>
            <w:r w:rsidR="002E2014" w:rsidRPr="00210AA1">
              <w:rPr>
                <w:rFonts w:cstheme="minorHAnsi"/>
                <w:b w:val="0"/>
                <w:sz w:val="22"/>
                <w:szCs w:val="22"/>
              </w:rPr>
              <w:lastRenderedPageBreak/>
              <w:t xml:space="preserve">47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Geoordeeld wordt dat voor toepassing van dit artikel vereist is dat sprake is geweest van samenspanning. Dit betekent dat niet alleen de bank het oogmerk moet hebben gehad zich boven andere schuldeisers te begunstigen — wat daar ook van zij- , maar dat dit oogmerk ook bij </w:t>
            </w:r>
            <w:proofErr w:type="spellStart"/>
            <w:r w:rsidR="002E2014" w:rsidRPr="00210AA1">
              <w:rPr>
                <w:rFonts w:cstheme="minorHAnsi"/>
                <w:b w:val="0"/>
                <w:sz w:val="22"/>
                <w:szCs w:val="22"/>
              </w:rPr>
              <w:t>Calluna</w:t>
            </w:r>
            <w:proofErr w:type="spellEnd"/>
            <w:r w:rsidR="002E2014" w:rsidRPr="00210AA1">
              <w:rPr>
                <w:rFonts w:cstheme="minorHAnsi"/>
                <w:b w:val="0"/>
                <w:sz w:val="22"/>
                <w:szCs w:val="22"/>
              </w:rPr>
              <w:t xml:space="preserve"> moet hebben bestaan.</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De rechtbank leidt uit de stellingen van partijen af dat de bank een prominente rol heeft gespeeld bij de verkoop van de onroerende zaken, hetgeen gezien de forse bedragen die aan </w:t>
            </w:r>
            <w:proofErr w:type="spellStart"/>
            <w:r w:rsidRPr="00210AA1">
              <w:rPr>
                <w:rFonts w:cstheme="minorHAnsi"/>
                <w:b w:val="0"/>
                <w:sz w:val="22"/>
                <w:szCs w:val="22"/>
              </w:rPr>
              <w:t>Calluna</w:t>
            </w:r>
            <w:proofErr w:type="spellEnd"/>
            <w:r w:rsidRPr="00210AA1">
              <w:rPr>
                <w:rFonts w:cstheme="minorHAnsi"/>
                <w:b w:val="0"/>
                <w:sz w:val="22"/>
                <w:szCs w:val="22"/>
              </w:rPr>
              <w:t xml:space="preserve"> in krediet waren verstrekt, de slechte vooruitzichten van de onderneming en gelet op haar positie als hypotheekhouder niet onlogisch was. Dat daarover met Van Rijn overleg is gevoerd blijkt uit diverse brieven en de eigen verklaring van de heer en mevrouw Van Rijn. De enkele omstandigheid dat de bank daarbij aan hen de toezegging heeft gedaan dat zij niet persoonlijk zouden worden aangesproken indien zij zouden meewerken aan de onderhandse verkoop van de activa, leidt niet zonder meer tot de conclusie dat de heer en mevrouw Van Rijn andere schuldeisers hebben willen benadelen. Zoals uit voornoemde delen van het proces-verbaal van de rechter-commissaris blijkt zijn zij er steeds vanuit gegaan dat de bank als hypotheekhouder recht had op de gehele opbrengst van het park, hetgeen gezien het hypotheekrecht ook terecht was. Nu verder geen feiten en omstandigheden zijn gesteld of gebleken, waaruit kan worden afgeleid dat </w:t>
            </w:r>
            <w:proofErr w:type="spellStart"/>
            <w:r w:rsidRPr="00210AA1">
              <w:rPr>
                <w:rFonts w:cstheme="minorHAnsi"/>
                <w:b w:val="0"/>
                <w:sz w:val="22"/>
                <w:szCs w:val="22"/>
              </w:rPr>
              <w:t>Calluna</w:t>
            </w:r>
            <w:proofErr w:type="spellEnd"/>
            <w:r w:rsidRPr="00210AA1">
              <w:rPr>
                <w:rFonts w:cstheme="minorHAnsi"/>
                <w:b w:val="0"/>
                <w:sz w:val="22"/>
                <w:szCs w:val="22"/>
              </w:rPr>
              <w:t xml:space="preserve"> het oogmerk heeft gehad om de bank boven andere schuldeisers te begunstigen, kan alleen daarom al ook de subsidiaire grondslag (in het petitum geformuleerd onder: ‘primair I, </w:t>
            </w:r>
            <w:proofErr w:type="spellStart"/>
            <w:r w:rsidRPr="00210AA1">
              <w:rPr>
                <w:rFonts w:cstheme="minorHAnsi"/>
                <w:b w:val="0"/>
                <w:sz w:val="22"/>
                <w:szCs w:val="22"/>
              </w:rPr>
              <w:t>danwel</w:t>
            </w:r>
            <w:proofErr w:type="spellEnd"/>
            <w:r w:rsidRPr="00210AA1">
              <w:rPr>
                <w:rFonts w:cstheme="minorHAnsi"/>
                <w:b w:val="0"/>
                <w:sz w:val="22"/>
                <w:szCs w:val="22"/>
              </w:rPr>
              <w:t>’) niet leiden tot toewijzing van de vordering.</w:t>
            </w:r>
            <w:r w:rsidR="000D0BD0">
              <w:rPr>
                <w:rFonts w:cstheme="minorHAnsi"/>
                <w:b w:val="0"/>
                <w:sz w:val="22"/>
                <w:szCs w:val="22"/>
              </w:rPr>
              <w:t>”</w:t>
            </w:r>
          </w:p>
        </w:tc>
        <w:tc>
          <w:tcPr>
            <w:tcW w:w="2946" w:type="dxa"/>
          </w:tcPr>
          <w:p w:rsidR="002E2014" w:rsidRPr="00210AA1" w:rsidRDefault="002E2014" w:rsidP="002E2014">
            <w:pPr>
              <w:jc w:val="left"/>
              <w:rPr>
                <w:rFonts w:cstheme="minorHAnsi"/>
                <w:b w:val="0"/>
                <w:sz w:val="22"/>
                <w:szCs w:val="22"/>
                <w:u w:val="single"/>
              </w:rPr>
            </w:pPr>
            <w:r w:rsidRPr="00210AA1">
              <w:rPr>
                <w:rFonts w:cstheme="minorHAnsi"/>
                <w:b w:val="0"/>
                <w:sz w:val="22"/>
                <w:szCs w:val="22"/>
                <w:u w:val="single"/>
              </w:rPr>
              <w:lastRenderedPageBreak/>
              <w:t xml:space="preserve">Artikel 54 </w:t>
            </w:r>
            <w:proofErr w:type="spellStart"/>
            <w:r w:rsidRPr="00210AA1">
              <w:rPr>
                <w:rFonts w:cstheme="minorHAnsi"/>
                <w:b w:val="0"/>
                <w:sz w:val="22"/>
                <w:szCs w:val="22"/>
                <w:u w:val="single"/>
              </w:rPr>
              <w:t>Fw</w:t>
            </w:r>
            <w:proofErr w:type="spellEnd"/>
          </w:p>
          <w:p w:rsidR="002E2014" w:rsidRPr="00210AA1" w:rsidRDefault="002E2014" w:rsidP="002E2014">
            <w:pPr>
              <w:jc w:val="left"/>
              <w:rPr>
                <w:rFonts w:cstheme="minorHAnsi"/>
                <w:b w:val="0"/>
                <w:sz w:val="22"/>
                <w:szCs w:val="22"/>
              </w:rPr>
            </w:pPr>
            <w:r w:rsidRPr="00210AA1">
              <w:rPr>
                <w:rFonts w:cstheme="minorHAnsi"/>
                <w:b w:val="0"/>
                <w:sz w:val="22"/>
                <w:szCs w:val="22"/>
              </w:rPr>
              <w:t xml:space="preserve">Er is geen sprake van verrekening in de zin van artikel 54 </w:t>
            </w:r>
            <w:proofErr w:type="spellStart"/>
            <w:r w:rsidRPr="00210AA1">
              <w:rPr>
                <w:rFonts w:cstheme="minorHAnsi"/>
                <w:b w:val="0"/>
                <w:sz w:val="22"/>
                <w:szCs w:val="22"/>
              </w:rPr>
              <w:t>Fw</w:t>
            </w:r>
            <w:proofErr w:type="spellEnd"/>
            <w:r w:rsidRPr="00210AA1">
              <w:rPr>
                <w:rFonts w:cstheme="minorHAnsi"/>
                <w:b w:val="0"/>
                <w:sz w:val="22"/>
                <w:szCs w:val="22"/>
              </w:rPr>
              <w:t xml:space="preserve">, wanneer er rechtstreeks wordt betaald op een rekening van de bank zelf. Indien er wordt betaald op de rekening die de pandnemer bij de pandgever heeft, zou er wel sprake van verrekening kunnen zijn en kan er een beroep worden gedaan op artikel 54 </w:t>
            </w:r>
            <w:proofErr w:type="spellStart"/>
            <w:r w:rsidRPr="00210AA1">
              <w:rPr>
                <w:rFonts w:cstheme="minorHAnsi"/>
                <w:b w:val="0"/>
                <w:sz w:val="22"/>
                <w:szCs w:val="22"/>
              </w:rPr>
              <w:t>Fw</w:t>
            </w:r>
            <w:proofErr w:type="spellEnd"/>
            <w:r w:rsidRPr="00210AA1">
              <w:rPr>
                <w:rFonts w:cstheme="minorHAnsi"/>
                <w:b w:val="0"/>
                <w:sz w:val="22"/>
                <w:szCs w:val="22"/>
              </w:rPr>
              <w:t xml:space="preserve"> omdat de bank van het faillissement op de hoogte was.</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u w:val="single"/>
              </w:rPr>
            </w:pPr>
            <w:r w:rsidRPr="00210AA1">
              <w:rPr>
                <w:rFonts w:cstheme="minorHAnsi"/>
                <w:b w:val="0"/>
                <w:sz w:val="22"/>
                <w:szCs w:val="22"/>
                <w:u w:val="single"/>
              </w:rPr>
              <w:t xml:space="preserve">Artikel 47 </w:t>
            </w:r>
            <w:proofErr w:type="spellStart"/>
            <w:r w:rsidRPr="00210AA1">
              <w:rPr>
                <w:rFonts w:cstheme="minorHAnsi"/>
                <w:b w:val="0"/>
                <w:sz w:val="22"/>
                <w:szCs w:val="22"/>
                <w:u w:val="single"/>
              </w:rPr>
              <w:t>Fw</w:t>
            </w:r>
            <w:proofErr w:type="spellEnd"/>
          </w:p>
          <w:p w:rsidR="002E2014" w:rsidRPr="00210AA1" w:rsidRDefault="002E2014" w:rsidP="002E2014">
            <w:pPr>
              <w:jc w:val="left"/>
              <w:rPr>
                <w:rFonts w:cstheme="minorHAnsi"/>
                <w:b w:val="0"/>
                <w:sz w:val="22"/>
                <w:szCs w:val="22"/>
              </w:rPr>
            </w:pPr>
            <w:r w:rsidRPr="00210AA1">
              <w:rPr>
                <w:rFonts w:cstheme="minorHAnsi"/>
                <w:b w:val="0"/>
                <w:sz w:val="22"/>
                <w:szCs w:val="22"/>
              </w:rPr>
              <w:t xml:space="preserve">Artikel 47 </w:t>
            </w:r>
            <w:proofErr w:type="spellStart"/>
            <w:r w:rsidRPr="00210AA1">
              <w:rPr>
                <w:rFonts w:cstheme="minorHAnsi"/>
                <w:b w:val="0"/>
                <w:sz w:val="22"/>
                <w:szCs w:val="22"/>
              </w:rPr>
              <w:t>Fw</w:t>
            </w:r>
            <w:proofErr w:type="spellEnd"/>
            <w:r w:rsidRPr="00210AA1">
              <w:rPr>
                <w:rFonts w:cstheme="minorHAnsi"/>
                <w:b w:val="0"/>
                <w:sz w:val="22"/>
                <w:szCs w:val="22"/>
              </w:rPr>
              <w:t xml:space="preserve"> zegt dat overleg </w:t>
            </w:r>
            <w:r w:rsidRPr="00210AA1">
              <w:rPr>
                <w:rFonts w:cstheme="minorHAnsi"/>
                <w:b w:val="0"/>
                <w:sz w:val="22"/>
                <w:szCs w:val="22"/>
              </w:rPr>
              <w:lastRenderedPageBreak/>
              <w:t>tussen de schuldenaar en de schuldeiser met oogmerk om zich boven andere schuldeisers te begunstigen niet mag. De rechter benadrukt dat dit zowel het oogmerk van de bank als van de schuldenaar dient te zijn. Indien alleen de bank dit oogmerk heeft is het niet voldoende.</w:t>
            </w: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11. ECLI:NL:GHARL:2014:6338</w:t>
            </w:r>
          </w:p>
        </w:tc>
        <w:tc>
          <w:tcPr>
            <w:tcW w:w="575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3.10 Voor verpanding van vorderingen ligt in het wettelijk stelsel (art. 3:84 lid 2 jo. 3:98 BW) het vereiste besloten dat de vordering ten tijde van de verpanding in voldoende mate door de akte van verpanding wordt bepaald. De grondslag voor de verzamelpandakte-constructie is te vinden in het arrest Mulder-CLBN (Hoge Raad 20 september 2002, ECLI:NL:HR:2002:AE7842). Daarin oordeelde de Hoge Raad dat in een akte van verpanding kan worden volstaan met een generieke omschrijving van de te verpanden vorderingen, ook wel genoemd een vangnet- of catch-</w:t>
            </w:r>
            <w:proofErr w:type="spellStart"/>
            <w:r w:rsidR="002E2014" w:rsidRPr="00210AA1">
              <w:rPr>
                <w:rFonts w:cstheme="minorHAnsi"/>
                <w:b w:val="0"/>
                <w:sz w:val="22"/>
                <w:szCs w:val="22"/>
              </w:rPr>
              <w:t>all</w:t>
            </w:r>
            <w:proofErr w:type="spellEnd"/>
            <w:r w:rsidR="002E2014" w:rsidRPr="00210AA1">
              <w:rPr>
                <w:rFonts w:cstheme="minorHAnsi"/>
                <w:b w:val="0"/>
                <w:sz w:val="22"/>
                <w:szCs w:val="22"/>
              </w:rPr>
              <w:t xml:space="preserve"> clausule. Een generieke omschrijving kan tot een geldige verpanding leiden indien de akte zodanige gegevens bevat dat - eventueel (achteraf) in onderling verband en samenhang met andere akten of andere feiten - aan de hand daarvan kan worden vastgesteld dat de akte is bestemd tot verpanding van de erin bedoelde vorderingen. Dat voor nadere specificaties te rade moet worden gegaan bij de boekhouding van de pandgever, doet niet af aan de voldoende bepaaldheid van de vorderingen. Het bepaaldheidsvereiste houdt in dat de verpande vorderingen identificeerbaar moeten zijn. Dat </w:t>
            </w:r>
            <w:r w:rsidR="002E2014" w:rsidRPr="00210AA1">
              <w:rPr>
                <w:rFonts w:cstheme="minorHAnsi"/>
                <w:b w:val="0"/>
                <w:sz w:val="22"/>
                <w:szCs w:val="22"/>
              </w:rPr>
              <w:lastRenderedPageBreak/>
              <w:t>daartoe nader onderzoek nodig is, is geen bezwaar.</w:t>
            </w:r>
            <w:r>
              <w:rPr>
                <w:rFonts w:cstheme="minorHAnsi"/>
                <w:b w:val="0"/>
                <w:sz w:val="22"/>
                <w:szCs w:val="22"/>
              </w:rPr>
              <w:t>”</w:t>
            </w:r>
          </w:p>
        </w:tc>
        <w:tc>
          <w:tcPr>
            <w:tcW w:w="2946" w:type="dxa"/>
          </w:tcPr>
          <w:p w:rsidR="002E2014" w:rsidRPr="00210AA1" w:rsidRDefault="002E2014" w:rsidP="002E2014">
            <w:pPr>
              <w:jc w:val="left"/>
              <w:rPr>
                <w:rFonts w:cstheme="minorHAnsi"/>
                <w:b w:val="0"/>
                <w:sz w:val="22"/>
                <w:szCs w:val="22"/>
              </w:rPr>
            </w:pPr>
            <w:r w:rsidRPr="00210AA1">
              <w:rPr>
                <w:rFonts w:cstheme="minorHAnsi"/>
                <w:b w:val="0"/>
                <w:sz w:val="22"/>
                <w:szCs w:val="22"/>
                <w:u w:val="single"/>
              </w:rPr>
              <w:lastRenderedPageBreak/>
              <w:t>Verzamelpandakte en Mulder</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Het arrest Mulder q.q./CLBN heeft de basis gelegd voor de uitleg van de verzamelpandakte-constructie. Er is toentertijd bepaald dat voor verpandingen van vorderingen slechts een generieke omschrijving volstaat. Uit de verzamelpandakte dient alleen te blijken welke vorderingen met de betreffende akte zijn verpand. De vorderingen in de </w:t>
            </w:r>
            <w:proofErr w:type="spellStart"/>
            <w:r w:rsidRPr="00210AA1">
              <w:rPr>
                <w:rFonts w:cstheme="minorHAnsi"/>
                <w:b w:val="0"/>
                <w:sz w:val="22"/>
                <w:szCs w:val="22"/>
              </w:rPr>
              <w:t>pandakte</w:t>
            </w:r>
            <w:proofErr w:type="spellEnd"/>
            <w:r w:rsidRPr="00210AA1">
              <w:rPr>
                <w:rFonts w:cstheme="minorHAnsi"/>
                <w:b w:val="0"/>
                <w:sz w:val="22"/>
                <w:szCs w:val="22"/>
              </w:rPr>
              <w:t xml:space="preserve"> dienen identificeerbaar te zijn. Indien de identificeerbaarheid pas duidelijk wordt na nader onderzoek, doet dit geen </w:t>
            </w:r>
            <w:r w:rsidRPr="00210AA1">
              <w:rPr>
                <w:rFonts w:cstheme="minorHAnsi"/>
                <w:b w:val="0"/>
                <w:sz w:val="22"/>
                <w:szCs w:val="22"/>
              </w:rPr>
              <w:lastRenderedPageBreak/>
              <w:t>afbreuk aan de rechtsgeldigheid van de verzamelpandakte.</w:t>
            </w: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12. ECLI:NL:HR:2013:BZ5663</w:t>
            </w:r>
          </w:p>
        </w:tc>
        <w:tc>
          <w:tcPr>
            <w:tcW w:w="575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4.3.2 Het hof deelt het standpunt van de curatoren dat Fortis haar vordering op grond van het contractuele beding tot vergoeding van de gederfde winst niet kan verhalen op de opbrengst van de aan haar verstrekte zekerheden. Het feit dat Fortis de zekerheden mede heeft bedongen ter verzekering van toekomstige vorderingen, laat onverlet dat een schuldenaar door faillietverklaring van rechtswege de beschikking en het beheer over zijn tot het faillissementsvermogen behorende vermogen verliest (art. 23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De gefailleerde vennootschappen hebben dan ook alleen zekerheid kunnen verstrekken voor vorderingen van Fortis die vóór de faillietverklaringen zijn ontstaan (vgl. HR 4 november 1994, NJ 1995/627, </w:t>
            </w:r>
            <w:proofErr w:type="spellStart"/>
            <w:r w:rsidR="002E2014" w:rsidRPr="00210AA1">
              <w:rPr>
                <w:rFonts w:cstheme="minorHAnsi"/>
                <w:b w:val="0"/>
                <w:sz w:val="22"/>
                <w:szCs w:val="22"/>
              </w:rPr>
              <w:t>r.o.</w:t>
            </w:r>
            <w:proofErr w:type="spellEnd"/>
            <w:r w:rsidR="002E2014" w:rsidRPr="00210AA1">
              <w:rPr>
                <w:rFonts w:cstheme="minorHAnsi"/>
                <w:b w:val="0"/>
                <w:sz w:val="22"/>
                <w:szCs w:val="22"/>
              </w:rPr>
              <w:t xml:space="preserve"> 3.4). Nu de vorderingen van Fortis tot vergoeding van gederfde winst eerst nadien is ontstaan (en kon ontstaan), valt deze vordering niet onder de dekking van de verstrekte zekerheden.</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3.6. De beantwoording van de kernvraag, toegespitst zoals hiervoor in 3.5.2 en 3.5.3 is vermeld, dient plaats te vinden met inachtneming van het volgende.</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(a) Verrekening op de voet van art. 53 </w:t>
            </w:r>
            <w:proofErr w:type="spellStart"/>
            <w:r w:rsidRPr="00210AA1">
              <w:rPr>
                <w:rFonts w:cstheme="minorHAnsi"/>
                <w:b w:val="0"/>
                <w:sz w:val="22"/>
                <w:szCs w:val="22"/>
              </w:rPr>
              <w:t>Fw</w:t>
            </w:r>
            <w:proofErr w:type="spellEnd"/>
            <w:r w:rsidRPr="00210AA1">
              <w:rPr>
                <w:rFonts w:cstheme="minorHAnsi"/>
                <w:b w:val="0"/>
                <w:sz w:val="22"/>
                <w:szCs w:val="22"/>
              </w:rPr>
              <w:t xml:space="preserve"> is niet mogelijk indien de rechtstreekse oorzaak van het ontstaan van de </w:t>
            </w:r>
            <w:proofErr w:type="spellStart"/>
            <w:r w:rsidRPr="00210AA1">
              <w:rPr>
                <w:rFonts w:cstheme="minorHAnsi"/>
                <w:b w:val="0"/>
                <w:sz w:val="22"/>
                <w:szCs w:val="22"/>
              </w:rPr>
              <w:t>afdrachtverplichting</w:t>
            </w:r>
            <w:proofErr w:type="spellEnd"/>
            <w:r w:rsidRPr="00210AA1">
              <w:rPr>
                <w:rFonts w:cstheme="minorHAnsi"/>
                <w:b w:val="0"/>
                <w:sz w:val="22"/>
                <w:szCs w:val="22"/>
              </w:rPr>
              <w:t xml:space="preserve"> aan de failliet ligt in rechtshandelingen van derden die na de faillietverklaring zijn verricht, zoals betaling door derden, en deze rechtshandelingen zelf geen verband houden met de vóór de faillietverklaring tussen de gefailleerde en de schuldeiser tot stand gekomen rechtsbetrekking. Zie onder meer HR 10 januari 1975, LJN AB4313, NJ 1976/249 (Postgiro) en HR 15 april 1994, LJN ZC1335, NJ 1994/607 (Verhagen q.q./INB).</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(b) Uit HR 17 februari 1995, LJN ZC1641, NJ 1996/471 (Mulder q.q./CLBN) volgt evenwel dat een bankinstelling zich mag beroepen op verrekening op de voet van art. 53 </w:t>
            </w:r>
            <w:proofErr w:type="spellStart"/>
            <w:r w:rsidRPr="00210AA1">
              <w:rPr>
                <w:rFonts w:cstheme="minorHAnsi"/>
                <w:b w:val="0"/>
                <w:sz w:val="22"/>
                <w:szCs w:val="22"/>
              </w:rPr>
              <w:t>Fw</w:t>
            </w:r>
            <w:proofErr w:type="spellEnd"/>
            <w:r w:rsidRPr="00210AA1">
              <w:rPr>
                <w:rFonts w:cstheme="minorHAnsi"/>
                <w:b w:val="0"/>
                <w:sz w:val="22"/>
                <w:szCs w:val="22"/>
              </w:rPr>
              <w:t xml:space="preserve"> ter zake van girale betalingen die op een bij haar aangehouden rekening van haar schuldenaar zijn gedaan en die zijn ontvangen op een tijdstip na diens faillietverklaring ter voldoening van vorderingen waarop de bank een stil pandrecht heeft verkregen. Deze uitzondering geldt ook bij ontvangst van voor een ander ontvangen gelden ingevolge een rechtsverhouding van factoring.</w:t>
            </w:r>
            <w:r w:rsidR="000D0BD0">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3.7 Ingevolge art. 53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kunnen ook vorderingen die voortvloeien uit handelingen die vóór de faillietverklaring met de gefailleerde zijn verricht, in verrekening worden gebracht. De vordering tot voldoening van loon en rente waarmee Fortis haar </w:t>
            </w:r>
            <w:proofErr w:type="spellStart"/>
            <w:r w:rsidR="002E2014" w:rsidRPr="00210AA1">
              <w:rPr>
                <w:rFonts w:cstheme="minorHAnsi"/>
                <w:b w:val="0"/>
                <w:sz w:val="22"/>
                <w:szCs w:val="22"/>
              </w:rPr>
              <w:t>afdrachtverplichting</w:t>
            </w:r>
            <w:proofErr w:type="spellEnd"/>
            <w:r w:rsidR="002E2014" w:rsidRPr="00210AA1">
              <w:rPr>
                <w:rFonts w:cstheme="minorHAnsi"/>
                <w:b w:val="0"/>
                <w:sz w:val="22"/>
                <w:szCs w:val="22"/>
              </w:rPr>
              <w:t xml:space="preserve"> heeft willen verrekenen zou wellicht als een zodanige vordering kunnen worden aangemerkt. Hetgeen hiervoor in 3.5.2 is </w:t>
            </w:r>
            <w:r w:rsidR="002E2014" w:rsidRPr="00210AA1">
              <w:rPr>
                <w:rFonts w:cstheme="minorHAnsi"/>
                <w:b w:val="0"/>
                <w:sz w:val="22"/>
                <w:szCs w:val="22"/>
              </w:rPr>
              <w:lastRenderedPageBreak/>
              <w:t xml:space="preserve">overwogen betekent echter dat in cassatie als vaststaand moet worden aangenomen dat die vordering niet is versterkt door een pandrecht. De hiervoor in 3.6 onder (b) vermelde uitzondering op de hiervoor in 3.6 onder (a) weergegeven rechtspraak vindt juist haar rechtvaardiging in de voorrangspositie van een schuldeiser die zijn positie heeft versterkt met een stil pandrecht (vgl. het arrest van 17 februari 1995, </w:t>
            </w:r>
            <w:proofErr w:type="spellStart"/>
            <w:r w:rsidR="002E2014" w:rsidRPr="00210AA1">
              <w:rPr>
                <w:rFonts w:cstheme="minorHAnsi"/>
                <w:b w:val="0"/>
                <w:sz w:val="22"/>
                <w:szCs w:val="22"/>
              </w:rPr>
              <w:t>rov</w:t>
            </w:r>
            <w:proofErr w:type="spellEnd"/>
            <w:r w:rsidR="002E2014" w:rsidRPr="00210AA1">
              <w:rPr>
                <w:rFonts w:cstheme="minorHAnsi"/>
                <w:b w:val="0"/>
                <w:sz w:val="22"/>
                <w:szCs w:val="22"/>
              </w:rPr>
              <w:t>. 3.4.3 en 3.5.2). Er is geen aanleiding om die uitzondering ook van toepassing te achten voor zover de schuldeiser zijn positie niet op zodanige wijze heeft versterkt, ook niet indien hij voor andere vorderingen wel een stil pandrecht heeft bedongen.</w:t>
            </w:r>
            <w:r>
              <w:rPr>
                <w:rFonts w:cstheme="minorHAnsi"/>
                <w:b w:val="0"/>
                <w:sz w:val="22"/>
                <w:szCs w:val="22"/>
              </w:rPr>
              <w:t>”</w:t>
            </w:r>
          </w:p>
        </w:tc>
        <w:tc>
          <w:tcPr>
            <w:tcW w:w="2946" w:type="dxa"/>
          </w:tcPr>
          <w:p w:rsidR="002E2014" w:rsidRPr="00210AA1" w:rsidRDefault="002E2014" w:rsidP="002E2014">
            <w:pPr>
              <w:jc w:val="left"/>
              <w:rPr>
                <w:rFonts w:cstheme="minorHAnsi"/>
                <w:b w:val="0"/>
                <w:sz w:val="22"/>
                <w:szCs w:val="22"/>
              </w:rPr>
            </w:pPr>
            <w:r w:rsidRPr="00210AA1">
              <w:rPr>
                <w:rFonts w:cstheme="minorHAnsi"/>
                <w:b w:val="0"/>
                <w:sz w:val="22"/>
                <w:szCs w:val="22"/>
                <w:u w:val="single"/>
              </w:rPr>
              <w:lastRenderedPageBreak/>
              <w:t>Mulder</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Het arrest Mulder q.q./CLBN wordt wederom benoemd als vaste jurisprudentie omtrent verrekenen in het zicht van een faillissement. In dit arrest is vastgesteld dat het verrekenen plaats moet vinden op basis van stil verpande vorderingen. Hieraan is toegevoegd dat voor toepassing van het mogen verrekenen in het zicht van een faillissement tevens vereist is dat het pandrecht op de vorderingen is gevestigd. Indien een vordering na faillietverklaring is ontstaan en niet onder het pandrecht valt kan er niet mee worden verrekend. </w:t>
            </w:r>
          </w:p>
          <w:p w:rsidR="002E2014" w:rsidRPr="00210AA1" w:rsidRDefault="002E2014" w:rsidP="002E2014">
            <w:pPr>
              <w:jc w:val="left"/>
              <w:rPr>
                <w:rFonts w:cstheme="minorHAnsi"/>
                <w:b w:val="0"/>
                <w:sz w:val="22"/>
                <w:szCs w:val="22"/>
              </w:rPr>
            </w:pP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14. ECLI:NL:HR:2013:BZ7199</w:t>
            </w:r>
          </w:p>
        </w:tc>
        <w:tc>
          <w:tcPr>
            <w:tcW w:w="5759" w:type="dxa"/>
          </w:tcPr>
          <w:p w:rsidR="002E2014" w:rsidRPr="00210AA1" w:rsidRDefault="002E2014" w:rsidP="002E2014">
            <w:pPr>
              <w:jc w:val="left"/>
              <w:rPr>
                <w:rFonts w:cstheme="minorHAnsi"/>
                <w:b w:val="0"/>
                <w:sz w:val="22"/>
                <w:szCs w:val="22"/>
                <w:u w:val="single"/>
              </w:rPr>
            </w:pPr>
            <w:r w:rsidRPr="00210AA1">
              <w:rPr>
                <w:rFonts w:cstheme="minorHAnsi"/>
                <w:b w:val="0"/>
                <w:sz w:val="22"/>
                <w:szCs w:val="22"/>
                <w:u w:val="single"/>
              </w:rPr>
              <w:t>Het Hof</w:t>
            </w: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4.12 Het beroep van de curator op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ten aanzien van de verrekening van de huurpenningen slaagt wel. Door middel van de huurovereenkomst is een schuld ontstaan voor de bank die door de bank is verrekend met haar tegenvordering op Garage ten Velde. Deze schuld dient met een overgenomen schuld in de zin van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gelijk te worden gesteld. De bank heeft niet betwist bij het sluiten van de huurovereenkomst niet te goeder trouw te zijn geweest in de zin van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De bank was daarom niet bevoegd tot verrekening. Dat de huurvordering aan de bank was verpand doet daaraan in dit geval niet af. De door de Hoge Raad in het arrest Mulder q.q./CLBN (HR 17 februari 1995, NJ 1996/471) aanvaarde regel gaat niet op in het geval het een verpande vordering betreft die gelijk gesteld moet worden met een overgenomen schuld in de zin van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en waarbij de pandhouder bij het aangaan van de schuld (en het in pand nemen van de vordering) niet te goeder trouw was.</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u w:val="single"/>
              </w:rPr>
            </w:pPr>
            <w:r w:rsidRPr="00210AA1">
              <w:rPr>
                <w:rFonts w:cstheme="minorHAnsi"/>
                <w:b w:val="0"/>
                <w:sz w:val="22"/>
                <w:szCs w:val="22"/>
                <w:u w:val="single"/>
              </w:rPr>
              <w:t>De Hoge Raad</w:t>
            </w: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5.1 Het middel richt in onderdeel a klachten tegen het oordeel van het hof dat art.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belet dat ABN AMRO een beroep op verrekening ten aanzien van de verschuldigde huur toekomt (</w:t>
            </w:r>
            <w:proofErr w:type="spellStart"/>
            <w:r w:rsidR="002E2014" w:rsidRPr="00210AA1">
              <w:rPr>
                <w:rFonts w:cstheme="minorHAnsi"/>
                <w:b w:val="0"/>
                <w:sz w:val="22"/>
                <w:szCs w:val="22"/>
              </w:rPr>
              <w:t>rov</w:t>
            </w:r>
            <w:proofErr w:type="spellEnd"/>
            <w:r w:rsidR="002E2014" w:rsidRPr="00210AA1">
              <w:rPr>
                <w:rFonts w:cstheme="minorHAnsi"/>
                <w:b w:val="0"/>
                <w:sz w:val="22"/>
                <w:szCs w:val="22"/>
              </w:rPr>
              <w:t>. 4.12).</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5.2 Art.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bepaalt dat degene die een schuld aan de gefailleerde of een vordering op de gefailleerde vóór de faillietverklaring van een derde heeft overgenomen, niet bevoegd is tot verrekening indien hij bij de overneming niet te goeder trouw heeft gehandeld. ABN AMRO heeft de huurschuld echter niet van een derde overgenomen.</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De verplichting tot huurbetaling is een schuld van haarzelf als huurder, waarop art. 54 </w:t>
            </w:r>
            <w:proofErr w:type="spellStart"/>
            <w:r w:rsidRPr="00210AA1">
              <w:rPr>
                <w:rFonts w:cstheme="minorHAnsi"/>
                <w:b w:val="0"/>
                <w:sz w:val="22"/>
                <w:szCs w:val="22"/>
              </w:rPr>
              <w:t>Fw</w:t>
            </w:r>
            <w:proofErr w:type="spellEnd"/>
            <w:r w:rsidRPr="00210AA1">
              <w:rPr>
                <w:rFonts w:cstheme="minorHAnsi"/>
                <w:b w:val="0"/>
                <w:sz w:val="22"/>
                <w:szCs w:val="22"/>
              </w:rPr>
              <w:t xml:space="preserve"> geen betrekking heeft. Het middel is in zoverre gegrond. De overige klachten behoeven geen behandeling.</w:t>
            </w:r>
            <w:r w:rsidR="000D0BD0">
              <w:rPr>
                <w:rFonts w:cstheme="minorHAnsi"/>
                <w:b w:val="0"/>
                <w:sz w:val="22"/>
                <w:szCs w:val="22"/>
              </w:rPr>
              <w:t>”</w:t>
            </w:r>
          </w:p>
        </w:tc>
        <w:tc>
          <w:tcPr>
            <w:tcW w:w="2946" w:type="dxa"/>
          </w:tcPr>
          <w:p w:rsidR="002E2014" w:rsidRPr="00210AA1" w:rsidRDefault="002E2014" w:rsidP="002E2014">
            <w:pPr>
              <w:jc w:val="left"/>
              <w:rPr>
                <w:rFonts w:cstheme="minorHAnsi"/>
                <w:b w:val="0"/>
                <w:sz w:val="22"/>
                <w:szCs w:val="22"/>
                <w:u w:val="single"/>
              </w:rPr>
            </w:pPr>
            <w:r w:rsidRPr="00210AA1">
              <w:rPr>
                <w:rFonts w:cstheme="minorHAnsi"/>
                <w:b w:val="0"/>
                <w:sz w:val="22"/>
                <w:szCs w:val="22"/>
                <w:u w:val="single"/>
              </w:rPr>
              <w:t xml:space="preserve">Artikel 54 </w:t>
            </w:r>
            <w:proofErr w:type="spellStart"/>
            <w:r w:rsidRPr="00210AA1">
              <w:rPr>
                <w:rFonts w:cstheme="minorHAnsi"/>
                <w:b w:val="0"/>
                <w:sz w:val="22"/>
                <w:szCs w:val="22"/>
                <w:u w:val="single"/>
              </w:rPr>
              <w:t>Fw</w:t>
            </w:r>
            <w:proofErr w:type="spellEnd"/>
          </w:p>
          <w:p w:rsidR="002E2014" w:rsidRPr="00210AA1" w:rsidRDefault="002E2014" w:rsidP="002E2014">
            <w:pPr>
              <w:jc w:val="left"/>
              <w:rPr>
                <w:rFonts w:cstheme="minorHAnsi"/>
                <w:b w:val="0"/>
                <w:sz w:val="22"/>
                <w:szCs w:val="22"/>
              </w:rPr>
            </w:pPr>
            <w:r w:rsidRPr="00210AA1">
              <w:rPr>
                <w:rFonts w:cstheme="minorHAnsi"/>
                <w:b w:val="0"/>
                <w:sz w:val="22"/>
                <w:szCs w:val="22"/>
              </w:rPr>
              <w:t xml:space="preserve">In de literatuur is bepaald dat het begrip ‘overnemen’ in artikel 54 </w:t>
            </w:r>
            <w:proofErr w:type="spellStart"/>
            <w:r w:rsidRPr="00210AA1">
              <w:rPr>
                <w:rFonts w:cstheme="minorHAnsi"/>
                <w:b w:val="0"/>
                <w:sz w:val="22"/>
                <w:szCs w:val="22"/>
              </w:rPr>
              <w:t>Fw</w:t>
            </w:r>
            <w:proofErr w:type="spellEnd"/>
            <w:r w:rsidRPr="00210AA1">
              <w:rPr>
                <w:rFonts w:cstheme="minorHAnsi"/>
                <w:b w:val="0"/>
                <w:sz w:val="22"/>
                <w:szCs w:val="22"/>
              </w:rPr>
              <w:t xml:space="preserve"> ruimer moet worden uitgelegd, zo ook het Gerechtshof. Het Hof heeft in deze zaak bepaald dat het sluiten van een overeenkomst niet mag indien met op de hoogte is van een komend faillissement. Men is dan niet te goeder trouw in de zin van artikel 54 </w:t>
            </w:r>
            <w:proofErr w:type="spellStart"/>
            <w:r w:rsidRPr="00210AA1">
              <w:rPr>
                <w:rFonts w:cstheme="minorHAnsi"/>
                <w:b w:val="0"/>
                <w:sz w:val="22"/>
                <w:szCs w:val="22"/>
              </w:rPr>
              <w:t>Fw</w:t>
            </w:r>
            <w:proofErr w:type="spellEnd"/>
            <w:r w:rsidRPr="00210AA1">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 xml:space="preserve">De Hoge Raad verwerpt de uitleg van het Hof en geeft aan dat het sluiten van overeenkomsten niet onder artikel 54 </w:t>
            </w:r>
            <w:proofErr w:type="spellStart"/>
            <w:r w:rsidRPr="00210AA1">
              <w:rPr>
                <w:rFonts w:cstheme="minorHAnsi"/>
                <w:b w:val="0"/>
                <w:sz w:val="22"/>
                <w:szCs w:val="22"/>
              </w:rPr>
              <w:t>Fw</w:t>
            </w:r>
            <w:proofErr w:type="spellEnd"/>
            <w:r w:rsidRPr="00210AA1">
              <w:rPr>
                <w:rFonts w:cstheme="minorHAnsi"/>
                <w:b w:val="0"/>
                <w:sz w:val="22"/>
                <w:szCs w:val="22"/>
              </w:rPr>
              <w:t xml:space="preserve"> valt. Artikel 54 </w:t>
            </w:r>
            <w:proofErr w:type="spellStart"/>
            <w:r w:rsidRPr="00210AA1">
              <w:rPr>
                <w:rFonts w:cstheme="minorHAnsi"/>
                <w:b w:val="0"/>
                <w:sz w:val="22"/>
                <w:szCs w:val="22"/>
              </w:rPr>
              <w:t>Fw</w:t>
            </w:r>
            <w:proofErr w:type="spellEnd"/>
            <w:r w:rsidRPr="00210AA1">
              <w:rPr>
                <w:rFonts w:cstheme="minorHAnsi"/>
                <w:b w:val="0"/>
                <w:sz w:val="22"/>
                <w:szCs w:val="22"/>
              </w:rPr>
              <w:t xml:space="preserve"> heeft volgende de Hoge Raad slechts betrekking op het overnemen van vorderingen van derden. Indien het een eigen vordering betreft kan er geen beroep op artikel 54 </w:t>
            </w:r>
            <w:proofErr w:type="spellStart"/>
            <w:r w:rsidRPr="00210AA1">
              <w:rPr>
                <w:rFonts w:cstheme="minorHAnsi"/>
                <w:b w:val="0"/>
                <w:sz w:val="22"/>
                <w:szCs w:val="22"/>
              </w:rPr>
              <w:t>Fw</w:t>
            </w:r>
            <w:proofErr w:type="spellEnd"/>
            <w:r w:rsidRPr="00210AA1">
              <w:rPr>
                <w:rFonts w:cstheme="minorHAnsi"/>
                <w:b w:val="0"/>
                <w:sz w:val="22"/>
                <w:szCs w:val="22"/>
              </w:rPr>
              <w:t xml:space="preserve"> worden gedaan.</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 xml:space="preserve">Dit staat haaks op de uitleg uit hoofdstuk 5 paragraaf 3.1.2. Daarin heb ik aangegeven dat het begrip ‘overnemen’ ruimer uitgelegd kan worden. Het op een andere manier creëren van een verrekeningsbevoegdheid dan door overneming wordt tevens gezien als overneming in de zin van artikel 54 </w:t>
            </w:r>
            <w:proofErr w:type="spellStart"/>
            <w:r w:rsidRPr="00210AA1">
              <w:rPr>
                <w:rFonts w:cstheme="minorHAnsi"/>
                <w:b w:val="0"/>
                <w:sz w:val="22"/>
                <w:szCs w:val="22"/>
              </w:rPr>
              <w:t>Fw</w:t>
            </w:r>
            <w:proofErr w:type="spellEnd"/>
            <w:r w:rsidRPr="00210AA1">
              <w:rPr>
                <w:rFonts w:cstheme="minorHAnsi"/>
                <w:b w:val="0"/>
                <w:sz w:val="22"/>
                <w:szCs w:val="22"/>
              </w:rPr>
              <w:t xml:space="preserve">.  Het vestigen van een </w:t>
            </w:r>
            <w:r w:rsidRPr="00210AA1">
              <w:rPr>
                <w:rFonts w:cstheme="minorHAnsi"/>
                <w:b w:val="0"/>
                <w:sz w:val="22"/>
                <w:szCs w:val="22"/>
              </w:rPr>
              <w:lastRenderedPageBreak/>
              <w:t xml:space="preserve">pandrecht is ook een manier om een verrekeningsbevoegdheid te creëren in het zicht van een faillissement en lijkt dus tevens onder artikel 54 </w:t>
            </w:r>
            <w:proofErr w:type="spellStart"/>
            <w:r w:rsidRPr="00210AA1">
              <w:rPr>
                <w:rFonts w:cstheme="minorHAnsi"/>
                <w:b w:val="0"/>
                <w:sz w:val="22"/>
                <w:szCs w:val="22"/>
              </w:rPr>
              <w:t>Fw</w:t>
            </w:r>
            <w:proofErr w:type="spellEnd"/>
            <w:r w:rsidRPr="00210AA1">
              <w:rPr>
                <w:rFonts w:cstheme="minorHAnsi"/>
                <w:b w:val="0"/>
                <w:sz w:val="22"/>
                <w:szCs w:val="22"/>
              </w:rPr>
              <w:t xml:space="preserve"> te vallen. Dit is overeenkomend met wat het Gerechtshof zegt. Echter, de Hoge Raad is leidend en artikel 54 </w:t>
            </w:r>
            <w:proofErr w:type="spellStart"/>
            <w:r w:rsidRPr="00210AA1">
              <w:rPr>
                <w:rFonts w:cstheme="minorHAnsi"/>
                <w:b w:val="0"/>
                <w:sz w:val="22"/>
                <w:szCs w:val="22"/>
              </w:rPr>
              <w:t>Fw</w:t>
            </w:r>
            <w:proofErr w:type="spellEnd"/>
            <w:r w:rsidRPr="00210AA1">
              <w:rPr>
                <w:rFonts w:cstheme="minorHAnsi"/>
                <w:b w:val="0"/>
                <w:sz w:val="22"/>
                <w:szCs w:val="22"/>
              </w:rPr>
              <w:t xml:space="preserve"> zal vanaf nu geïnterpreteerd moeten worden op de volgens de Raad benoemde manier.</w:t>
            </w: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16. ECLI:NL:RBROT:2013:10417</w:t>
            </w:r>
          </w:p>
        </w:tc>
        <w:tc>
          <w:tcPr>
            <w:tcW w:w="575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4.21 Schematisch weergegeven gaat het om de volgende categorieën:</w:t>
            </w:r>
          </w:p>
          <w:p w:rsidR="002E2014" w:rsidRPr="00210AA1" w:rsidRDefault="002E2014" w:rsidP="002E2014">
            <w:pPr>
              <w:jc w:val="left"/>
              <w:rPr>
                <w:rFonts w:cstheme="minorHAnsi"/>
                <w:b w:val="0"/>
                <w:sz w:val="22"/>
                <w:szCs w:val="22"/>
              </w:rPr>
            </w:pPr>
            <w:r w:rsidRPr="00210AA1">
              <w:rPr>
                <w:rFonts w:cstheme="minorHAnsi"/>
                <w:b w:val="0"/>
                <w:sz w:val="22"/>
                <w:szCs w:val="22"/>
              </w:rPr>
              <w:t>bedragen ontvangen door DHSF voor faillissement bedragen ontvangen door DHSF na faillissement</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betaald door DHSF voor faillissement (categorie 1)</w:t>
            </w:r>
          </w:p>
          <w:p w:rsidR="002E2014" w:rsidRPr="00210AA1" w:rsidRDefault="002E2014" w:rsidP="002E2014">
            <w:pPr>
              <w:jc w:val="left"/>
              <w:rPr>
                <w:rFonts w:cstheme="minorHAnsi"/>
                <w:b w:val="0"/>
                <w:sz w:val="22"/>
                <w:szCs w:val="22"/>
              </w:rPr>
            </w:pPr>
            <w:r w:rsidRPr="00210AA1">
              <w:rPr>
                <w:rFonts w:cstheme="minorHAnsi"/>
                <w:b w:val="0"/>
                <w:sz w:val="22"/>
                <w:szCs w:val="22"/>
              </w:rPr>
              <w:t>Ongeacht of er een pandrecht is</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de hier bedoelde vorderingen en schulden zijn </w:t>
            </w:r>
            <w:proofErr w:type="spellStart"/>
            <w:r w:rsidRPr="00210AA1">
              <w:rPr>
                <w:rFonts w:cstheme="minorHAnsi"/>
                <w:b w:val="0"/>
                <w:sz w:val="22"/>
                <w:szCs w:val="22"/>
              </w:rPr>
              <w:t>verrekenbaar</w:t>
            </w:r>
            <w:proofErr w:type="spellEnd"/>
            <w:r w:rsidRPr="00210AA1">
              <w:rPr>
                <w:rFonts w:cstheme="minorHAnsi"/>
                <w:b w:val="0"/>
                <w:sz w:val="22"/>
                <w:szCs w:val="22"/>
              </w:rPr>
              <w:t xml:space="preserve"> op grond van de hoofdregel inzake verrekening, ongeacht een eventueel pandrecht.</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(categorie 2)</w:t>
            </w:r>
          </w:p>
          <w:p w:rsidR="002E2014" w:rsidRPr="00210AA1" w:rsidRDefault="002E2014" w:rsidP="002E2014">
            <w:pPr>
              <w:jc w:val="left"/>
              <w:rPr>
                <w:rFonts w:cstheme="minorHAnsi"/>
                <w:b w:val="0"/>
                <w:sz w:val="22"/>
                <w:szCs w:val="22"/>
              </w:rPr>
            </w:pPr>
            <w:r w:rsidRPr="00210AA1">
              <w:rPr>
                <w:rFonts w:cstheme="minorHAnsi"/>
                <w:b w:val="0"/>
                <w:sz w:val="22"/>
                <w:szCs w:val="22"/>
              </w:rPr>
              <w:t>Als er geen pandrecht is</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De schuld van DHSF die ontstaat doordat DHSF na faillissement bedragen voor [bedrijf 1] ontvangt, kan zij niet verrekenen met vorderingen van haar op [bedrijf 1]. Deze schuld is een schuld als bedoeld in artikel 54 </w:t>
            </w:r>
            <w:proofErr w:type="spellStart"/>
            <w:r w:rsidRPr="00210AA1">
              <w:rPr>
                <w:rFonts w:cstheme="minorHAnsi"/>
                <w:b w:val="0"/>
                <w:sz w:val="22"/>
                <w:szCs w:val="22"/>
              </w:rPr>
              <w:t>Fw</w:t>
            </w:r>
            <w:proofErr w:type="spellEnd"/>
            <w:r w:rsidRPr="00210AA1">
              <w:rPr>
                <w:rFonts w:cstheme="minorHAnsi"/>
                <w:b w:val="0"/>
                <w:sz w:val="22"/>
                <w:szCs w:val="22"/>
              </w:rPr>
              <w:t>. (vergelijk HR 8 juli 1987, NJ 1988, 104 (Loeffen q.q./Mees en Hope I))</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Als er wel een pandrecht is</w:t>
            </w:r>
          </w:p>
          <w:p w:rsidR="002E2014" w:rsidRPr="00210AA1" w:rsidRDefault="002E2014" w:rsidP="002E2014">
            <w:pPr>
              <w:jc w:val="left"/>
              <w:rPr>
                <w:rFonts w:cstheme="minorHAnsi"/>
                <w:b w:val="0"/>
                <w:sz w:val="22"/>
                <w:szCs w:val="22"/>
              </w:rPr>
            </w:pPr>
            <w:r w:rsidRPr="00210AA1">
              <w:rPr>
                <w:rFonts w:cstheme="minorHAnsi"/>
                <w:b w:val="0"/>
                <w:sz w:val="22"/>
                <w:szCs w:val="22"/>
              </w:rPr>
              <w:t>Betalingen die binnen zijn gelopen op de bankrekening van DHSF doordat debiteuren van verpande vorderingen hebben betaald op die rekening, mogen verrekend worden (zulks naar analogie met HR 17 februari 1995, NJ 1996, 471 (Mulder q.q. / CLBN)</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betaald door DHSF na faillissement</w:t>
            </w:r>
            <w:r w:rsidRPr="00210AA1">
              <w:rPr>
                <w:rFonts w:cstheme="minorHAnsi"/>
                <w:b w:val="0"/>
                <w:sz w:val="22"/>
                <w:szCs w:val="22"/>
              </w:rPr>
              <w:tab/>
              <w:t>(categorie 3)</w:t>
            </w:r>
          </w:p>
          <w:p w:rsidR="002E2014" w:rsidRPr="00210AA1" w:rsidRDefault="002E2014" w:rsidP="002E2014">
            <w:pPr>
              <w:jc w:val="left"/>
              <w:rPr>
                <w:rFonts w:cstheme="minorHAnsi"/>
                <w:b w:val="0"/>
                <w:sz w:val="22"/>
                <w:szCs w:val="22"/>
                <w:u w:val="single"/>
              </w:rPr>
            </w:pPr>
            <w:r w:rsidRPr="00210AA1">
              <w:rPr>
                <w:rFonts w:cstheme="minorHAnsi"/>
                <w:b w:val="0"/>
                <w:sz w:val="22"/>
                <w:szCs w:val="22"/>
              </w:rPr>
              <w:t xml:space="preserve">Indien DHSF betalingen heeft gedaan na faillissement, kan zij dit niet aan de Curator tegenwerpen, noch langs de band van verrekening noch langs die van het pandrecht. Verrekening kan niet. Door de betaling na faillissement ontstaat weliswaar een vordering van DHSF op [bedrijf 1], maar dit is een vordering als bedoeld in artikel 54 </w:t>
            </w:r>
            <w:proofErr w:type="spellStart"/>
            <w:r w:rsidRPr="00210AA1">
              <w:rPr>
                <w:rFonts w:cstheme="minorHAnsi"/>
                <w:b w:val="0"/>
                <w:sz w:val="22"/>
                <w:szCs w:val="22"/>
              </w:rPr>
              <w:t>Fw</w:t>
            </w:r>
            <w:proofErr w:type="spellEnd"/>
            <w:r w:rsidRPr="00210AA1">
              <w:rPr>
                <w:rFonts w:cstheme="minorHAnsi"/>
                <w:b w:val="0"/>
                <w:sz w:val="22"/>
                <w:szCs w:val="22"/>
              </w:rPr>
              <w:t xml:space="preserve">. Daar kan het pandrecht niet aan af doen. Gesteld noch gebleken is dat DHSF zich voor het faillissement heeft verplicht tot het doen van de desbetreffende betalingen. Een pandhouder kan niet eenzijdig betalingen doen aan </w:t>
            </w:r>
            <w:r w:rsidRPr="00210AA1">
              <w:rPr>
                <w:rFonts w:cstheme="minorHAnsi"/>
                <w:b w:val="0"/>
                <w:sz w:val="22"/>
                <w:szCs w:val="22"/>
              </w:rPr>
              <w:lastRenderedPageBreak/>
              <w:t>schuldeisers van de failliet en de aldus ontstane vorderingen via het pandrecht verhalen op de failliet. Hiermee zou immers de rangregeling tussen de schuldeisers worden doorbroken.</w:t>
            </w:r>
            <w:r w:rsidR="000D0BD0">
              <w:rPr>
                <w:rFonts w:cstheme="minorHAnsi"/>
                <w:b w:val="0"/>
                <w:sz w:val="22"/>
                <w:szCs w:val="22"/>
              </w:rPr>
              <w:t>”</w:t>
            </w:r>
          </w:p>
        </w:tc>
        <w:tc>
          <w:tcPr>
            <w:tcW w:w="2946" w:type="dxa"/>
          </w:tcPr>
          <w:p w:rsidR="002E2014" w:rsidRPr="00210AA1" w:rsidRDefault="002E2014" w:rsidP="002E2014">
            <w:pPr>
              <w:jc w:val="left"/>
              <w:rPr>
                <w:rFonts w:cstheme="minorHAnsi"/>
                <w:b w:val="0"/>
                <w:sz w:val="22"/>
                <w:szCs w:val="22"/>
              </w:rPr>
            </w:pPr>
            <w:r w:rsidRPr="00210AA1">
              <w:rPr>
                <w:rFonts w:cstheme="minorHAnsi"/>
                <w:b w:val="0"/>
                <w:sz w:val="22"/>
                <w:szCs w:val="22"/>
                <w:u w:val="single"/>
              </w:rPr>
              <w:lastRenderedPageBreak/>
              <w:t xml:space="preserve">Mulder en artikel 54 </w:t>
            </w:r>
            <w:proofErr w:type="spellStart"/>
            <w:r w:rsidRPr="00210AA1">
              <w:rPr>
                <w:rFonts w:cstheme="minorHAnsi"/>
                <w:b w:val="0"/>
                <w:sz w:val="22"/>
                <w:szCs w:val="22"/>
                <w:u w:val="single"/>
              </w:rPr>
              <w:t>Fw</w:t>
            </w:r>
            <w:proofErr w:type="spellEnd"/>
          </w:p>
          <w:p w:rsidR="002E2014" w:rsidRPr="00210AA1" w:rsidRDefault="002E2014" w:rsidP="002E2014">
            <w:pPr>
              <w:jc w:val="left"/>
              <w:rPr>
                <w:rFonts w:cstheme="minorHAnsi"/>
                <w:b w:val="0"/>
                <w:sz w:val="22"/>
                <w:szCs w:val="22"/>
              </w:rPr>
            </w:pPr>
            <w:r w:rsidRPr="00210AA1">
              <w:rPr>
                <w:rFonts w:cstheme="minorHAnsi"/>
                <w:b w:val="0"/>
                <w:sz w:val="22"/>
                <w:szCs w:val="22"/>
              </w:rPr>
              <w:t>Het arrest Mulder wordt tevens in deze uitspraak bevestigd. Dit wil zeggen dat men verpande vorderingen mag verrekenen in het zicht van een faillissement.</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 xml:space="preserve">Tevens mag op grond van artikel 54 lid 2 </w:t>
            </w:r>
            <w:proofErr w:type="spellStart"/>
            <w:r w:rsidRPr="00210AA1">
              <w:rPr>
                <w:rFonts w:cstheme="minorHAnsi"/>
                <w:b w:val="0"/>
                <w:sz w:val="22"/>
                <w:szCs w:val="22"/>
              </w:rPr>
              <w:t>Fw</w:t>
            </w:r>
            <w:proofErr w:type="spellEnd"/>
            <w:r w:rsidRPr="00210AA1">
              <w:rPr>
                <w:rFonts w:cstheme="minorHAnsi"/>
                <w:b w:val="0"/>
                <w:sz w:val="22"/>
                <w:szCs w:val="22"/>
              </w:rPr>
              <w:t xml:space="preserve"> niet verrekend worden indien een vordering wordt overgenomen na de faillietverklaring. Daar kan zelfs een pandrecht geen verandering in brengen.</w:t>
            </w: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17. ECLI:NL:RBAMS:2012:BX2300</w:t>
            </w:r>
          </w:p>
        </w:tc>
        <w:tc>
          <w:tcPr>
            <w:tcW w:w="575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4.1 De vraag waar het in dit geding om gaat, is of ABN Amro zich op verrekening mag beroepen ten aanzien van de na de faillietverklaring van E + E Bouw op de nieuwe rekening bijgeschreven bedragen. Net als het geval was in het arrest Mulder q.q./CLBN (HR 17-2-1995, NJ 1996, 471) gaat het hier om een bank die niet alleen een rekening-courantverhouding met haar cliënt heeft, maar tevens stil pandhouder is ten aanzien van vorderingen van die cliënt jegens derden.</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4.2. In voornoemd arrest heeft de Hoge Raad geoordeeld dat de bank haar vordering mocht verrekenen met bedragen die na faillissement ten gunste van haar cliënt werden gestort op bij de bank lopende rekeningen. Het ging daarbij om stortingen die dienden ter voldoening van aan de bank stil verpande vorderingen ter zake waarvan de bank geen mededeling had gedaan aan de schuldenaren van de verpande vorderingen.</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4.3.De onderhavige situatie wijkt in zoverre af van die in eerdergenoemd arrest dat betalingen op de nieuwe rekening door middel van de overstapservice zijn doorgeleid van de oude rekening. Partijen twisten over de vraag of de aan ABN Amro stil verpande vorderingen door debiteuren van E + E Bouw zijn voldaan op de oude rekening of de nieuwe rekening. Dit is met name van belang omdat het pandrecht teniet gaat als gevolg van de voldoening van de stil verpande vordering (artikel 3:81 lid 2, onder a, BW).</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4.6. In het licht van het vorenstaande is het pandrecht van ABN Amro niet vóór de verrekening teniet gegaan door betaling door debiteuren van E + E Bouw op de oude rekening en heeft zij haar voorrang op het geïnde behouden. ABN Amro mag derhalve haar vordering op E + E Bouw verrekenen met de op de nieuwe rekening ontvangen bedragen ter voldoening van de aan haar stil verpande vorderingen. Dit betekent dat de na de faillietverklaring van E + E Bouw op de nieuwe rekening bijgeschreven bedragen niet door ABN Amro aan de boedel hoeven te worden afgedragen, zodat de vordering zal worden afgewezen. Hieruit volgt dat ook de vordering betreffende buitengerechtelijke incassokosten zal worden afgewezen.</w:t>
            </w:r>
            <w:r>
              <w:rPr>
                <w:rFonts w:cstheme="minorHAnsi"/>
                <w:b w:val="0"/>
                <w:sz w:val="22"/>
                <w:szCs w:val="22"/>
              </w:rPr>
              <w:t>”</w:t>
            </w:r>
          </w:p>
        </w:tc>
        <w:tc>
          <w:tcPr>
            <w:tcW w:w="2946" w:type="dxa"/>
          </w:tcPr>
          <w:p w:rsidR="002E2014" w:rsidRPr="00210AA1" w:rsidRDefault="002E2014" w:rsidP="002E2014">
            <w:pPr>
              <w:jc w:val="left"/>
              <w:rPr>
                <w:rFonts w:cstheme="minorHAnsi"/>
                <w:b w:val="0"/>
                <w:sz w:val="22"/>
                <w:szCs w:val="22"/>
              </w:rPr>
            </w:pPr>
            <w:r w:rsidRPr="00210AA1">
              <w:rPr>
                <w:rFonts w:cstheme="minorHAnsi"/>
                <w:b w:val="0"/>
                <w:sz w:val="22"/>
                <w:szCs w:val="22"/>
                <w:u w:val="single"/>
              </w:rPr>
              <w:t>Tenietgaan pandrecht</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In het arrest Mulder is bepaald dat er voor verrekening in het zicht van een faillissement sprake moet zijn van een pandrecht op basis waarvan de verrekening plaatsvindt. </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Het pandrecht op basis waarvan verrekend wordt dient te bestaan om ermee te kunnen verrekenen. Een pandrecht gaat echter teniet door voltooiing van de vordering waarop het pandrecht gevestigd is. Het moment van voltooiing van de vordering is het moment waarop het geld wordt gecrediteerd op de rekening van de pandnemer. Dit komt overeen met artikel 6:114 lid 2 BW.</w:t>
            </w: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t>18. ECLI:NL:HR:2012:BU6552</w:t>
            </w:r>
          </w:p>
        </w:tc>
        <w:tc>
          <w:tcPr>
            <w:tcW w:w="575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3.5 Onderdeel 1 bestrijdt het hiervoor onder 3.4 onder (a) vermelde oordeel. Het stelt de vraag aan de orde of een schuldenaar aan zijn schuldeiser een stil pandrecht kan </w:t>
            </w:r>
            <w:r w:rsidR="002E2014" w:rsidRPr="00210AA1">
              <w:rPr>
                <w:rFonts w:cstheme="minorHAnsi"/>
                <w:b w:val="0"/>
                <w:sz w:val="22"/>
                <w:szCs w:val="22"/>
              </w:rPr>
              <w:lastRenderedPageBreak/>
              <w:t>verlenen op vorderingen die de schuldenaar zal verkrijgen op zijn bank ten gevolge van creditering van zijn bankrekening met geldbedragen die derden naar die bankrekening zullen overmaken. Het beantwoordt die vraag bevestigend en klaagt dat het hof, anders oordelende, blijk heeft gegeven van een onjuiste rechtsopvatting. Het onderdeel dat, terecht, ervan uitgaat dat art. 3:239 lid 1 BW de mogelijkheid van stille verpanding van toekomstige vorderingen beperkt tot stille verpanding van toekomstige vorderingen die rechtstreeks zullen worden verkregen uit een ten tijde van de verpanding reeds bestaande rechtsverhouding, betoogt dat vorderingen die de schuldenaar als rekeninghouder op zijn bank verkrijgt als gevolg van stortingen van gelden door derden op zijn bankrekening (voldoende) rechtstreeks voortvloeien uit de rekening-courantverhouding van de schuldenaar met zijn bank om onder een door de schuldenaar voordien gevestigd stil pandrecht te kunnen vallen.</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3.6 De klacht is ongegrond. De wetgever beoogde ten aanzien van de mogelijkheden van beslag op en stille verpanding van toekomstige vorderingen een gelijke maatstaf te geven en heeft daarom lid 1 van art. 3:239 aangepast aan art. 475 Rv door in dat lid een beperking aan te brengen waarvan de redactie parallel loopt aan die van art. 475 Rv (</w:t>
            </w:r>
            <w:proofErr w:type="spellStart"/>
            <w:r w:rsidR="002E2014" w:rsidRPr="00210AA1">
              <w:rPr>
                <w:rFonts w:cstheme="minorHAnsi"/>
                <w:b w:val="0"/>
                <w:sz w:val="22"/>
                <w:szCs w:val="22"/>
              </w:rPr>
              <w:t>Parl</w:t>
            </w:r>
            <w:proofErr w:type="spellEnd"/>
            <w:r w:rsidR="002E2014" w:rsidRPr="00210AA1">
              <w:rPr>
                <w:rFonts w:cstheme="minorHAnsi"/>
                <w:b w:val="0"/>
                <w:sz w:val="22"/>
                <w:szCs w:val="22"/>
              </w:rPr>
              <w:t>. Gesch. Boek 3 (</w:t>
            </w:r>
            <w:proofErr w:type="spellStart"/>
            <w:r w:rsidR="002E2014" w:rsidRPr="00210AA1">
              <w:rPr>
                <w:rFonts w:cstheme="minorHAnsi"/>
                <w:b w:val="0"/>
                <w:sz w:val="22"/>
                <w:szCs w:val="22"/>
              </w:rPr>
              <w:t>Inv</w:t>
            </w:r>
            <w:proofErr w:type="spellEnd"/>
            <w:r w:rsidR="002E2014" w:rsidRPr="00210AA1">
              <w:rPr>
                <w:rFonts w:cstheme="minorHAnsi"/>
                <w:b w:val="0"/>
                <w:sz w:val="22"/>
                <w:szCs w:val="22"/>
              </w:rPr>
              <w:t>. 3, 5 en 6), p. 1247 en p. 1337). Daarom kan niet worden aanvaard dat, zoals het onderdeel onder 1.3 betoogt, toekomstige vorderingen waarop op grond van art. 475 Rv geen beslag kan worden gelegd omdat de geëxecuteerde die niet rechtstreeks zal verkrijgen uit een ten tijde van het beslag reeds bestaande rechtsverhouding, wel voorwerp zouden kunnen zijn van stille verpanding. Terecht heeft het hof dan ook voor de beantwoording van de hiervoor in 3.5 bedoelde rechtsvraag aansluiting gezocht bij de rechtspraak met betrekking tot het beslag onder een bank- of giro-instelling, waarin beslist is dat een zodanig beslag wel het op het moment van de beslaglegging aanwezige creditsaldo van de rekening van de geëxecuteerde treft, maar niet de nadien daarop ten gevolge van betalingen door derden gecrediteerde bedragen. Ook de overige klachten van het onderdeel onder 1.1–1.3 stuiten hierop af.</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3.8 Onderdeel 2 is gericht tegen het hiervoor in 3.4 onder (b) vermelde oordeel. Het bestrijdt, terecht, niet het uitgangspunt van het hof dat de Rabobank bij de verrekeningen in rekening courant van de naar de oude bankrekening van Zon Garden overgemaakte bedragen niet te goeder trouw in de zin van art.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heeft gehandeld indien zij toen, in de periode tussen 25 november en 1 december 2003, wist dat Zon Garden in een zodanige </w:t>
            </w:r>
            <w:r w:rsidR="002E2014" w:rsidRPr="00210AA1">
              <w:rPr>
                <w:rFonts w:cstheme="minorHAnsi"/>
                <w:b w:val="0"/>
                <w:sz w:val="22"/>
                <w:szCs w:val="22"/>
              </w:rPr>
              <w:lastRenderedPageBreak/>
              <w:t>toestand verkeerde dat haar faillissement te verwachten was, ook al was haar faillissement nog niet aangevraagd. Het hof oordeelde dat goede trouw in deze zin bij de Rabobank ontbrak. De omstandigheid dat het faillissement van Zon Garden eerst op 24 augustus 2004 is uitgesproken sluit naar het oordeel van het hof niet uit dat de verrekeningen in november 2003 in het zicht van dat naderende faillissement zijn verricht, omdat uit hetgeen de curator heeft gesteld blijkt dat reeds in november 2003 Zon Garden zodanig onvoldoende financiële armslag had dat de Rabobank niet redelijkerwijze nog in de levensvatbaarheid van het bedrijf kon geloven (</w:t>
            </w:r>
            <w:proofErr w:type="spellStart"/>
            <w:r w:rsidR="002E2014" w:rsidRPr="00210AA1">
              <w:rPr>
                <w:rFonts w:cstheme="minorHAnsi"/>
                <w:b w:val="0"/>
                <w:sz w:val="22"/>
                <w:szCs w:val="22"/>
              </w:rPr>
              <w:t>rov</w:t>
            </w:r>
            <w:proofErr w:type="spellEnd"/>
            <w:r w:rsidR="002E2014" w:rsidRPr="00210AA1">
              <w:rPr>
                <w:rFonts w:cstheme="minorHAnsi"/>
                <w:b w:val="0"/>
                <w:sz w:val="22"/>
                <w:szCs w:val="22"/>
              </w:rPr>
              <w:t>. 4.5.6). In dit verband wees het hof in het bijzonder op de hiervoor onder 3.1 onder (iii) vermelde brief van 18 november 2003 waarin de Rabobank het aan Zon Garden verleende krediet met onmiddellijke ingang opzegde, Zon Garden sommeerde het totaal verschuldigde bedrag van € 647.728,95 + p.m. binnen veertien dagen te voldoen, aanspraak maakte op alle opbrengsten van de aan haar verpande zaken en vorderingen en waarin zij voorts schreef: “Ook de huidige aandeelhouders hebben afgelopen vrijdag besloten geen aanvullend kapitaal meer ter beschikking te stellen. Thans is dus voorzienbaar dat u niet aan uw financiële verplichtingen zult kunnen blijven voldoen.” Uit deze brief blijkt naar het oordeel van het hof dat Zon Garden in een toestand verkeerde dat haar faillissement te verwachten was en dat de Rabobank dat wist. Voorts wees het hof erop dat de binnengekomen bedragen niet bestemd waren voor de voortgezette bedrijfsvoering, maar voor de delging van de schulden van Zon Garden aan de Rabobank (</w:t>
            </w:r>
            <w:proofErr w:type="spellStart"/>
            <w:r w:rsidR="002E2014" w:rsidRPr="00210AA1">
              <w:rPr>
                <w:rFonts w:cstheme="minorHAnsi"/>
                <w:b w:val="0"/>
                <w:sz w:val="22"/>
                <w:szCs w:val="22"/>
              </w:rPr>
              <w:t>rov</w:t>
            </w:r>
            <w:proofErr w:type="spellEnd"/>
            <w:r w:rsidR="002E2014" w:rsidRPr="00210AA1">
              <w:rPr>
                <w:rFonts w:cstheme="minorHAnsi"/>
                <w:b w:val="0"/>
                <w:sz w:val="22"/>
                <w:szCs w:val="22"/>
              </w:rPr>
              <w:t>. 4.5.7).</w:t>
            </w:r>
            <w:r>
              <w:rPr>
                <w:rFonts w:cstheme="minorHAnsi"/>
                <w:b w:val="0"/>
                <w:sz w:val="22"/>
                <w:szCs w:val="22"/>
              </w:rPr>
              <w:t>”</w:t>
            </w:r>
          </w:p>
        </w:tc>
        <w:tc>
          <w:tcPr>
            <w:tcW w:w="2946" w:type="dxa"/>
          </w:tcPr>
          <w:p w:rsidR="002E2014" w:rsidRPr="00210AA1" w:rsidRDefault="002E2014" w:rsidP="002E2014">
            <w:pPr>
              <w:jc w:val="left"/>
              <w:rPr>
                <w:rFonts w:cstheme="minorHAnsi"/>
                <w:b w:val="0"/>
                <w:sz w:val="22"/>
                <w:szCs w:val="22"/>
                <w:u w:val="single"/>
              </w:rPr>
            </w:pPr>
            <w:r w:rsidRPr="00210AA1">
              <w:rPr>
                <w:rFonts w:cstheme="minorHAnsi"/>
                <w:b w:val="0"/>
                <w:sz w:val="22"/>
                <w:szCs w:val="22"/>
                <w:u w:val="single"/>
              </w:rPr>
              <w:lastRenderedPageBreak/>
              <w:t>Toekomstige vorderingen verpanden</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Vorderingen die toekomstig </w:t>
            </w:r>
            <w:r w:rsidRPr="00210AA1">
              <w:rPr>
                <w:rFonts w:cstheme="minorHAnsi"/>
                <w:b w:val="0"/>
                <w:sz w:val="22"/>
                <w:szCs w:val="22"/>
              </w:rPr>
              <w:lastRenderedPageBreak/>
              <w:t>zijn en niet voortvloeien uit een rechtsverhouding die op dat moment zou moeten bestaan, kunnen niet verpand worden. Dit zorgt ervoor dat er niet verrekend kan worden in het zicht van een faillissement. Er is immers geen pandrecht aanwezig zoals het arrest Mulder vereist.</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 xml:space="preserve">In het arrest </w:t>
            </w:r>
            <w:proofErr w:type="spellStart"/>
            <w:r w:rsidRPr="00210AA1">
              <w:rPr>
                <w:rFonts w:cstheme="minorHAnsi"/>
                <w:b w:val="0"/>
                <w:sz w:val="22"/>
                <w:szCs w:val="22"/>
              </w:rPr>
              <w:t>Dix</w:t>
            </w:r>
            <w:proofErr w:type="spellEnd"/>
            <w:r w:rsidRPr="00210AA1">
              <w:rPr>
                <w:rFonts w:cstheme="minorHAnsi"/>
                <w:b w:val="0"/>
                <w:sz w:val="22"/>
                <w:szCs w:val="22"/>
              </w:rPr>
              <w:t xml:space="preserve"> q.q./ING is bepaald dat toekomstige vorderingen wel verpand kunnen worden indien men gebruik maakt van een verzamelpandakte. Indien dit het geval geweest was hadden er wel pandrechten gevestigd kunnen worden en had men een </w:t>
            </w:r>
            <w:proofErr w:type="spellStart"/>
            <w:r w:rsidRPr="00210AA1">
              <w:rPr>
                <w:rFonts w:cstheme="minorHAnsi"/>
                <w:b w:val="0"/>
                <w:sz w:val="22"/>
                <w:szCs w:val="22"/>
              </w:rPr>
              <w:t>verrekeningsgrond</w:t>
            </w:r>
            <w:proofErr w:type="spellEnd"/>
            <w:r w:rsidRPr="00210AA1">
              <w:rPr>
                <w:rFonts w:cstheme="minorHAnsi"/>
                <w:b w:val="0"/>
                <w:sz w:val="22"/>
                <w:szCs w:val="22"/>
              </w:rPr>
              <w:t xml:space="preserve"> gecreëerd. </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22. ECLI:NL:GHARN:2011:BU3293</w:t>
            </w:r>
          </w:p>
        </w:tc>
        <w:tc>
          <w:tcPr>
            <w:tcW w:w="575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4.12 Het beroep van de curator op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ten aanzien van de verrekening van de huurpenningen slaagt wel. Door middel van de huurovereenkomst is een schuld ontstaan voor de bank die door de bank is verrekend met haar tegenvordering op [X]. Deze schuld dient met een overgenomen schuld in de zin van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gelijk te worden gesteld. De bank heeft niet betwist bij het sluiten van de huurovereenkomst niet te goeder trouw te zijn geweest in de zin van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De bank was daarom niet bevoegd tot verrekening. Dat de huurvordering aan de bank was verpand doet daaraan in dit geval niet af. De door de Hoge Raad in het arrest Mulder q.q./CLBN (HR 17 februari 1995, NJ 1996, 471) aanvaarde regel gaat niet op in het geval het een verpande vordering betreft die gelijk gesteld moet worden met een overgenomen schuld in de zin van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en waarbij de pandhouder bij het aangaan van de schuld (en het in pand nemen van de vordering) niet te goeder trouw was.</w:t>
            </w:r>
            <w:r>
              <w:rPr>
                <w:rFonts w:cstheme="minorHAnsi"/>
                <w:b w:val="0"/>
                <w:sz w:val="22"/>
                <w:szCs w:val="22"/>
              </w:rPr>
              <w:t>”</w:t>
            </w:r>
          </w:p>
        </w:tc>
        <w:tc>
          <w:tcPr>
            <w:tcW w:w="2946" w:type="dxa"/>
          </w:tcPr>
          <w:p w:rsidR="002E2014" w:rsidRPr="00210AA1" w:rsidRDefault="002E2014" w:rsidP="002E2014">
            <w:pPr>
              <w:jc w:val="left"/>
              <w:rPr>
                <w:rFonts w:cstheme="minorHAnsi"/>
                <w:b w:val="0"/>
                <w:sz w:val="22"/>
                <w:szCs w:val="22"/>
              </w:rPr>
            </w:pPr>
            <w:r w:rsidRPr="00210AA1">
              <w:rPr>
                <w:rFonts w:cstheme="minorHAnsi"/>
                <w:b w:val="0"/>
                <w:sz w:val="22"/>
                <w:szCs w:val="22"/>
                <w:u w:val="single"/>
              </w:rPr>
              <w:t xml:space="preserve">Mulder en artikel 54 </w:t>
            </w:r>
            <w:proofErr w:type="spellStart"/>
            <w:r w:rsidRPr="00210AA1">
              <w:rPr>
                <w:rFonts w:cstheme="minorHAnsi"/>
                <w:b w:val="0"/>
                <w:sz w:val="22"/>
                <w:szCs w:val="22"/>
                <w:u w:val="single"/>
              </w:rPr>
              <w:t>Fw</w:t>
            </w:r>
            <w:proofErr w:type="spellEnd"/>
          </w:p>
          <w:p w:rsidR="002E2014" w:rsidRPr="00210AA1" w:rsidRDefault="002E2014" w:rsidP="002E2014">
            <w:pPr>
              <w:jc w:val="left"/>
              <w:rPr>
                <w:rFonts w:cstheme="minorHAnsi"/>
                <w:b w:val="0"/>
                <w:sz w:val="22"/>
                <w:szCs w:val="22"/>
              </w:rPr>
            </w:pPr>
            <w:r w:rsidRPr="00210AA1">
              <w:rPr>
                <w:rFonts w:cstheme="minorHAnsi"/>
                <w:b w:val="0"/>
                <w:sz w:val="22"/>
                <w:szCs w:val="22"/>
              </w:rPr>
              <w:t xml:space="preserve">Het arrest Mulder wordt wederom als vaste jurisprudentie omtrent verrekenen in het zich van het faillissement bevestigd. Het arrest Mulder kan echter niet worden ingeroepen indien de verpande vordering gelijkgesteld wordt met een niet te goeder trouw overgenomen schuld als bedoeld in artikel 54 </w:t>
            </w:r>
            <w:proofErr w:type="spellStart"/>
            <w:r w:rsidRPr="00210AA1">
              <w:rPr>
                <w:rFonts w:cstheme="minorHAnsi"/>
                <w:b w:val="0"/>
                <w:sz w:val="22"/>
                <w:szCs w:val="22"/>
              </w:rPr>
              <w:t>Fw</w:t>
            </w:r>
            <w:proofErr w:type="spellEnd"/>
            <w:r w:rsidRPr="00210AA1">
              <w:rPr>
                <w:rFonts w:cstheme="minorHAnsi"/>
                <w:b w:val="0"/>
                <w:sz w:val="22"/>
                <w:szCs w:val="22"/>
              </w:rPr>
              <w:t xml:space="preserve">. Men mag zodoende niet verrekenen in het zicht van een faillissement als artikel 54 </w:t>
            </w:r>
            <w:proofErr w:type="spellStart"/>
            <w:r w:rsidRPr="00210AA1">
              <w:rPr>
                <w:rFonts w:cstheme="minorHAnsi"/>
                <w:b w:val="0"/>
                <w:sz w:val="22"/>
                <w:szCs w:val="22"/>
              </w:rPr>
              <w:t>Fw</w:t>
            </w:r>
            <w:proofErr w:type="spellEnd"/>
            <w:r w:rsidRPr="00210AA1">
              <w:rPr>
                <w:rFonts w:cstheme="minorHAnsi"/>
                <w:b w:val="0"/>
                <w:sz w:val="22"/>
                <w:szCs w:val="22"/>
              </w:rPr>
              <w:t xml:space="preserve"> in het geding is.</w:t>
            </w: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t>24. ECLI:NL:RBBRE:2010:BO0941</w:t>
            </w:r>
          </w:p>
        </w:tc>
        <w:tc>
          <w:tcPr>
            <w:tcW w:w="575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3.24 Vooropgesteld wordt, naar de Rabobank ook benadrukt, dat de Rabobank geen beroep heeft gedaan op verrekening maar de door haar uit hoofde van de </w:t>
            </w:r>
            <w:r w:rsidR="002E2014" w:rsidRPr="00210AA1">
              <w:rPr>
                <w:rFonts w:cstheme="minorHAnsi"/>
                <w:b w:val="0"/>
                <w:sz w:val="22"/>
                <w:szCs w:val="22"/>
              </w:rPr>
              <w:lastRenderedPageBreak/>
              <w:t xml:space="preserve">huurovereenkomst aan </w:t>
            </w:r>
            <w:proofErr w:type="spellStart"/>
            <w:r w:rsidR="002E2014" w:rsidRPr="00210AA1">
              <w:rPr>
                <w:rFonts w:cstheme="minorHAnsi"/>
                <w:b w:val="0"/>
                <w:sz w:val="22"/>
                <w:szCs w:val="22"/>
              </w:rPr>
              <w:t>Chinkoe</w:t>
            </w:r>
            <w:proofErr w:type="spellEnd"/>
            <w:r w:rsidR="002E2014" w:rsidRPr="00210AA1">
              <w:rPr>
                <w:rFonts w:cstheme="minorHAnsi"/>
                <w:b w:val="0"/>
                <w:sz w:val="22"/>
                <w:szCs w:val="22"/>
              </w:rPr>
              <w:t xml:space="preserve"> Metaalbewerking verschuldigde huurpenningen over de eerste drie maanden op 26 januari 2009 daadwerkelijk heeft overgemaakt naar de bankrekening van </w:t>
            </w:r>
            <w:proofErr w:type="spellStart"/>
            <w:r w:rsidR="002E2014" w:rsidRPr="00210AA1">
              <w:rPr>
                <w:rFonts w:cstheme="minorHAnsi"/>
                <w:b w:val="0"/>
                <w:sz w:val="22"/>
                <w:szCs w:val="22"/>
              </w:rPr>
              <w:t>Chinkoe</w:t>
            </w:r>
            <w:proofErr w:type="spellEnd"/>
            <w:r w:rsidR="002E2014" w:rsidRPr="00210AA1">
              <w:rPr>
                <w:rFonts w:cstheme="minorHAnsi"/>
                <w:b w:val="0"/>
                <w:sz w:val="22"/>
                <w:szCs w:val="22"/>
              </w:rPr>
              <w:t xml:space="preserve"> Metaalbewerking. Vervolgens heeft de Rabobank verrekend. Aangezien de creditering van de bankrekening kan worden aangemerkt als voldoening door de schuldenaar van een opeisbare schuld, kan -indien aan alle vereisten is voldaan - deze verrekening door de Rabobank worden aangetast op grond van artikel 47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(Hoge Raad 8 juli 1987, NJ 1988, 104 Loeffen q.q./BMH I), tenzij de vordering op de debiteur aan de bank is verpand (Hoge Raad 17 februari 1995, NJ 1996,471 Mulder q.q./CLBN), omdat er in dat geval geen sprake is van benadeling.</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3.30 De rechtbank is op grond van het </w:t>
            </w:r>
            <w:proofErr w:type="spellStart"/>
            <w:r w:rsidR="002E2014" w:rsidRPr="00210AA1">
              <w:rPr>
                <w:rFonts w:cstheme="minorHAnsi"/>
                <w:b w:val="0"/>
                <w:sz w:val="22"/>
                <w:szCs w:val="22"/>
              </w:rPr>
              <w:t>vorenoverwogene</w:t>
            </w:r>
            <w:proofErr w:type="spellEnd"/>
            <w:r w:rsidR="002E2014" w:rsidRPr="00210AA1">
              <w:rPr>
                <w:rFonts w:cstheme="minorHAnsi"/>
                <w:b w:val="0"/>
                <w:sz w:val="22"/>
                <w:szCs w:val="22"/>
              </w:rPr>
              <w:t xml:space="preserve"> van oordeel dat de door de Rabobank toegepaste bodemverhuurconstructie, waarbij de Rabobank uitdrukkelijk is overeengekomen dat de huurpenningen bij vooruitbetaling moeten worden voldaan en de Rabobank ervoor gezorgd heeft dat zij een pandrecht verkreeg op de vordering tot betaling van de huurpenningen zodat zij kon verrekenen, een onverplichte rechtshandeling is die leidt tot benadeling van de crediteuren. De Rabobank heeft de door de curator gestelde wetenschap van benadeling onvoldoende weersproken. Hieruit volgt dat de curator terecht een beroep heeft gedaan op artikel 42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Daarmee ligt de primaire vordering jegens de Rabobank voor toewijzing gereed. Zoals hiervoor onder 3.4 en 3.5 is overwogen is niet duidelijk wat het belang van de curator is om DLL in rechte te betrekken. Hij zal dan ook in zijn primaire vordering jegens DLL niet-ontvankelijk worden verklaard.</w:t>
            </w:r>
            <w:r>
              <w:rPr>
                <w:rFonts w:cstheme="minorHAnsi"/>
                <w:b w:val="0"/>
                <w:sz w:val="22"/>
                <w:szCs w:val="22"/>
              </w:rPr>
              <w:t>”</w:t>
            </w:r>
          </w:p>
        </w:tc>
        <w:tc>
          <w:tcPr>
            <w:tcW w:w="2946" w:type="dxa"/>
          </w:tcPr>
          <w:p w:rsidR="002E2014" w:rsidRPr="00210AA1" w:rsidRDefault="002E2014" w:rsidP="002E2014">
            <w:pPr>
              <w:jc w:val="left"/>
              <w:rPr>
                <w:rFonts w:cstheme="minorHAnsi"/>
                <w:b w:val="0"/>
                <w:sz w:val="22"/>
                <w:szCs w:val="22"/>
                <w:u w:val="single"/>
              </w:rPr>
            </w:pPr>
            <w:r w:rsidRPr="00210AA1">
              <w:rPr>
                <w:rFonts w:cstheme="minorHAnsi"/>
                <w:b w:val="0"/>
                <w:sz w:val="22"/>
                <w:szCs w:val="22"/>
                <w:u w:val="single"/>
              </w:rPr>
              <w:lastRenderedPageBreak/>
              <w:t xml:space="preserve">Verplichte rechtshandeling, artikel 42 </w:t>
            </w:r>
            <w:proofErr w:type="spellStart"/>
            <w:r w:rsidRPr="00210AA1">
              <w:rPr>
                <w:rFonts w:cstheme="minorHAnsi"/>
                <w:b w:val="0"/>
                <w:sz w:val="22"/>
                <w:szCs w:val="22"/>
                <w:u w:val="single"/>
              </w:rPr>
              <w:t>Fw</w:t>
            </w:r>
            <w:proofErr w:type="spellEnd"/>
          </w:p>
          <w:p w:rsidR="002E2014" w:rsidRPr="00210AA1" w:rsidRDefault="002E2014" w:rsidP="002E2014">
            <w:pPr>
              <w:jc w:val="left"/>
              <w:rPr>
                <w:rFonts w:cstheme="minorHAnsi"/>
                <w:b w:val="0"/>
                <w:sz w:val="22"/>
                <w:szCs w:val="22"/>
              </w:rPr>
            </w:pPr>
            <w:r w:rsidRPr="00210AA1">
              <w:rPr>
                <w:rFonts w:cstheme="minorHAnsi"/>
                <w:b w:val="0"/>
                <w:sz w:val="22"/>
                <w:szCs w:val="22"/>
              </w:rPr>
              <w:t xml:space="preserve">Het vestigen van een </w:t>
            </w:r>
            <w:r w:rsidRPr="00210AA1">
              <w:rPr>
                <w:rFonts w:cstheme="minorHAnsi"/>
                <w:b w:val="0"/>
                <w:sz w:val="22"/>
                <w:szCs w:val="22"/>
              </w:rPr>
              <w:lastRenderedPageBreak/>
              <w:t xml:space="preserve">pandrecht als gevolg van een contractuele afspraak, om een verrekeningsbevoegdheid te creëren in het zicht van een faillissement is geen verplichte rechtshandeling.  Het pandrecht kan zodoende op grond van artikel 42 </w:t>
            </w:r>
            <w:proofErr w:type="spellStart"/>
            <w:r w:rsidRPr="00210AA1">
              <w:rPr>
                <w:rFonts w:cstheme="minorHAnsi"/>
                <w:b w:val="0"/>
                <w:sz w:val="22"/>
                <w:szCs w:val="22"/>
              </w:rPr>
              <w:t>Fw</w:t>
            </w:r>
            <w:proofErr w:type="spellEnd"/>
            <w:r w:rsidRPr="00210AA1">
              <w:rPr>
                <w:rFonts w:cstheme="minorHAnsi"/>
                <w:b w:val="0"/>
                <w:sz w:val="22"/>
                <w:szCs w:val="22"/>
              </w:rPr>
              <w:t xml:space="preserve"> niet gevestigd worden.</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 xml:space="preserve">Dit lijkt meer duidelijkheid te scheppen over of het vestigen van een pandrecht een verplichte rechtshandeling is. Ditmaal is het gevestigde pandrecht geen gevolg van een volmacht in een verzamelpandakte, maar van een verhuurconstructie. Het zijn beiden wel contracten, dus dit artikel lijkt te zeggen dat het vestigen van een pandrecht geen verplichte rechtshandeling is in de zin van artikel 42 </w:t>
            </w:r>
            <w:proofErr w:type="spellStart"/>
            <w:r w:rsidRPr="00210AA1">
              <w:rPr>
                <w:rFonts w:cstheme="minorHAnsi"/>
                <w:b w:val="0"/>
                <w:sz w:val="22"/>
                <w:szCs w:val="22"/>
              </w:rPr>
              <w:t>Fw</w:t>
            </w:r>
            <w:proofErr w:type="spellEnd"/>
            <w:r w:rsidRPr="00210AA1">
              <w:rPr>
                <w:rFonts w:cstheme="minorHAnsi"/>
                <w:b w:val="0"/>
                <w:sz w:val="22"/>
                <w:szCs w:val="22"/>
              </w:rPr>
              <w:t>.</w:t>
            </w:r>
          </w:p>
          <w:p w:rsidR="002E2014" w:rsidRPr="00210AA1" w:rsidRDefault="002E2014" w:rsidP="002E2014">
            <w:pPr>
              <w:jc w:val="left"/>
              <w:rPr>
                <w:rFonts w:cstheme="minorHAnsi"/>
                <w:b w:val="0"/>
                <w:sz w:val="22"/>
                <w:szCs w:val="22"/>
              </w:rPr>
            </w:pP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26. ECLI:NL:RBSHE:2010:BY9833</w:t>
            </w:r>
          </w:p>
        </w:tc>
        <w:tc>
          <w:tcPr>
            <w:tcW w:w="575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4.5. Dat een dergelijke vordering eerst na datum </w:t>
            </w:r>
            <w:proofErr w:type="spellStart"/>
            <w:r w:rsidR="002E2014" w:rsidRPr="00210AA1">
              <w:rPr>
                <w:rFonts w:cstheme="minorHAnsi"/>
                <w:b w:val="0"/>
                <w:sz w:val="22"/>
                <w:szCs w:val="22"/>
              </w:rPr>
              <w:t>surséance</w:t>
            </w:r>
            <w:proofErr w:type="spellEnd"/>
            <w:r w:rsidR="002E2014" w:rsidRPr="00210AA1">
              <w:rPr>
                <w:rFonts w:cstheme="minorHAnsi"/>
                <w:b w:val="0"/>
                <w:sz w:val="22"/>
                <w:szCs w:val="22"/>
              </w:rPr>
              <w:t xml:space="preserve"> of faillietverklaring ontstaat, staat daaraan in beginsel niet in de weg. De bewoordingen van art. 53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duiden daar op. Wel is voor een geldige verrekening noodzakelijk dat de vordering uit de afwikkeling van een vóór de </w:t>
            </w:r>
            <w:proofErr w:type="spellStart"/>
            <w:r w:rsidR="002E2014" w:rsidRPr="00210AA1">
              <w:rPr>
                <w:rFonts w:cstheme="minorHAnsi"/>
                <w:b w:val="0"/>
                <w:sz w:val="22"/>
                <w:szCs w:val="22"/>
              </w:rPr>
              <w:t>surséance</w:t>
            </w:r>
            <w:proofErr w:type="spellEnd"/>
            <w:r w:rsidR="002E2014" w:rsidRPr="00210AA1">
              <w:rPr>
                <w:rFonts w:cstheme="minorHAnsi"/>
                <w:b w:val="0"/>
                <w:sz w:val="22"/>
                <w:szCs w:val="22"/>
              </w:rPr>
              <w:t xml:space="preserve"> of faillissement reeds tot stand gekomen rechtsbetrekking voortvloeit. Dat is hier het geval. Het mag zo zijn dat voor het ontstaan van de vordering eerst de staat van insolventie voor [A+B] diende in te treden en dat vervolgens de factorovereenkomst diende te eindigen, maar dat betreft omstandigheden die in rechtstreeks verband staan met de vóór de </w:t>
            </w:r>
            <w:proofErr w:type="spellStart"/>
            <w:r w:rsidR="002E2014" w:rsidRPr="00210AA1">
              <w:rPr>
                <w:rFonts w:cstheme="minorHAnsi"/>
                <w:b w:val="0"/>
                <w:sz w:val="22"/>
                <w:szCs w:val="22"/>
              </w:rPr>
              <w:t>surséance</w:t>
            </w:r>
            <w:proofErr w:type="spellEnd"/>
            <w:r w:rsidR="002E2014" w:rsidRPr="00210AA1">
              <w:rPr>
                <w:rFonts w:cstheme="minorHAnsi"/>
                <w:b w:val="0"/>
                <w:sz w:val="22"/>
                <w:szCs w:val="22"/>
              </w:rPr>
              <w:t>/het faillissement gesloten factorovereenkomst, en die overigens enkel door partijen zelf in het leven zijn geroepen. Hoe dan ook doen zij er niet aan af dat de vordering zijn rechtstreekse grondslag vindt in de factorovereenkomst (zie ook HR 10 januari 1975, NJ 1976, 249, Giro/Standaardfilms).</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Deze vordering mocht Fortis in verrekening brengen met </w:t>
            </w:r>
            <w:r w:rsidRPr="00210AA1">
              <w:rPr>
                <w:rFonts w:cstheme="minorHAnsi"/>
                <w:b w:val="0"/>
                <w:sz w:val="22"/>
                <w:szCs w:val="22"/>
              </w:rPr>
              <w:lastRenderedPageBreak/>
              <w:t>hetgeen zij aan [A+B] verschuldigd werd als gevolg van de betalingen die debiteuren van [A+B] uit hoofde van het stil pandrecht op de factorrekening hadden gedaan (</w:t>
            </w:r>
            <w:proofErr w:type="spellStart"/>
            <w:r w:rsidRPr="00210AA1">
              <w:rPr>
                <w:rFonts w:cstheme="minorHAnsi"/>
                <w:b w:val="0"/>
                <w:sz w:val="22"/>
                <w:szCs w:val="22"/>
              </w:rPr>
              <w:t>cfrm</w:t>
            </w:r>
            <w:proofErr w:type="spellEnd"/>
            <w:r w:rsidRPr="00210AA1">
              <w:rPr>
                <w:rFonts w:cstheme="minorHAnsi"/>
                <w:b w:val="0"/>
                <w:sz w:val="22"/>
                <w:szCs w:val="22"/>
              </w:rPr>
              <w:t xml:space="preserve"> HR 17 februari 1995, Mulder </w:t>
            </w:r>
            <w:proofErr w:type="spellStart"/>
            <w:r w:rsidRPr="00210AA1">
              <w:rPr>
                <w:rFonts w:cstheme="minorHAnsi"/>
                <w:b w:val="0"/>
                <w:sz w:val="22"/>
                <w:szCs w:val="22"/>
              </w:rPr>
              <w:t>qq</w:t>
            </w:r>
            <w:proofErr w:type="spellEnd"/>
            <w:r w:rsidRPr="00210AA1">
              <w:rPr>
                <w:rFonts w:cstheme="minorHAnsi"/>
                <w:b w:val="0"/>
                <w:sz w:val="22"/>
                <w:szCs w:val="22"/>
              </w:rPr>
              <w:t>/CLBN).</w:t>
            </w:r>
            <w:r w:rsidR="000D0BD0">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4.6. De vraag die thans aan de orde moet komen, is of het pandrecht van Fortis (zonder welk het haar niet zonder meer was toegestaan te verrekenen zoals in </w:t>
            </w:r>
            <w:proofErr w:type="spellStart"/>
            <w:r w:rsidR="002E2014" w:rsidRPr="00210AA1">
              <w:rPr>
                <w:rFonts w:cstheme="minorHAnsi"/>
                <w:b w:val="0"/>
                <w:sz w:val="22"/>
                <w:szCs w:val="22"/>
              </w:rPr>
              <w:t>casu</w:t>
            </w:r>
            <w:proofErr w:type="spellEnd"/>
            <w:r w:rsidR="002E2014" w:rsidRPr="00210AA1">
              <w:rPr>
                <w:rFonts w:cstheme="minorHAnsi"/>
                <w:b w:val="0"/>
                <w:sz w:val="22"/>
                <w:szCs w:val="22"/>
              </w:rPr>
              <w:t xml:space="preserve"> gedaan) ten tijde van de verrekening in april 2008 nog bestond of dat het reeds was vervallen. De curator stelt zich op het standpunt dat het pandrecht op zijn laatst eind februari 2008 van rechtswege was vervallen en er derhalve vanaf dat tijdstip voor Fortis geen recht meer op voorrang bestond, omdat alle vorderingen reeds op 13 februari 2008 ( wat betreft [A]) resp. 26 februari 2008 (wat betreft [B]) aan Fortis waren voldaan. Fortis bestrijdt dat de vorderingen op de hiervoor genoemde data reeds waren voldaan. Dat kan evenwel in het midden blijven. Fortis heeft onbetwist gesteld dat het pandrecht strekt mede tot zekerheid van vorderingen als de onderhavige. Met Fortis is de rechtbank eens dat het pandrecht eerst definitief eindigt op het moment dat alle vorderingen waarvoor het pandrecht strekt, zijn voldaan. Zolang de vordering uit gederfde inkomsten voortvloeiend uit de factorovereenkomst niet was voldaan, bestond het pandrecht nog en stond het Fortis vrij de vordering te verrekenen met hetgeen zij uit hoofde van die (stille) verpanding voor [A+B] onder zich had.</w:t>
            </w:r>
            <w:r>
              <w:rPr>
                <w:rFonts w:cstheme="minorHAnsi"/>
                <w:b w:val="0"/>
                <w:sz w:val="22"/>
                <w:szCs w:val="22"/>
              </w:rPr>
              <w:t>”</w:t>
            </w:r>
          </w:p>
        </w:tc>
        <w:tc>
          <w:tcPr>
            <w:tcW w:w="2946" w:type="dxa"/>
          </w:tcPr>
          <w:p w:rsidR="002E2014" w:rsidRPr="00210AA1" w:rsidRDefault="002E2014" w:rsidP="002E2014">
            <w:pPr>
              <w:jc w:val="left"/>
              <w:rPr>
                <w:rFonts w:cstheme="minorHAnsi"/>
                <w:b w:val="0"/>
                <w:sz w:val="22"/>
                <w:szCs w:val="22"/>
                <w:u w:val="single"/>
              </w:rPr>
            </w:pPr>
            <w:r w:rsidRPr="00210AA1">
              <w:rPr>
                <w:rFonts w:cstheme="minorHAnsi"/>
                <w:b w:val="0"/>
                <w:sz w:val="22"/>
                <w:szCs w:val="22"/>
                <w:u w:val="single"/>
              </w:rPr>
              <w:lastRenderedPageBreak/>
              <w:t>Tenietgaan pandrecht</w:t>
            </w:r>
          </w:p>
          <w:p w:rsidR="002E2014" w:rsidRPr="00210AA1" w:rsidRDefault="002E2014" w:rsidP="002E2014">
            <w:pPr>
              <w:jc w:val="left"/>
              <w:rPr>
                <w:rFonts w:cstheme="minorHAnsi"/>
                <w:b w:val="0"/>
                <w:sz w:val="22"/>
                <w:szCs w:val="22"/>
              </w:rPr>
            </w:pPr>
            <w:r w:rsidRPr="00210AA1">
              <w:rPr>
                <w:rFonts w:cstheme="minorHAnsi"/>
                <w:b w:val="0"/>
                <w:sz w:val="22"/>
                <w:szCs w:val="22"/>
              </w:rPr>
              <w:t>Stil verpande vorderingen mogen op grond van het arrest Mulder verrekend worden in het zicht van een faillissement. De verpande vordering dient wel te bestaan om ermee te kunnen verrekenen. Het pandrecht gaat teniet als de vordering wordt voldaan. Indien de vordering niet is voldaan door middel van betaling of slechts gedeeltelijk is voldaan, bestaat de vordering nog en het betreffende pandrecht dat erop ligt. Zodoende kan er nog verrekend worden.</w:t>
            </w: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29. ECLI:NL:GHSHE:2008:BG4528</w:t>
            </w:r>
          </w:p>
        </w:tc>
        <w:tc>
          <w:tcPr>
            <w:tcW w:w="5759"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4.7.2 De vraag die thans ter beantwoording voor ligt is of de bank bevoegd was haar vordering op </w:t>
            </w:r>
            <w:proofErr w:type="spellStart"/>
            <w:r w:rsidR="002E2014" w:rsidRPr="00210AA1">
              <w:rPr>
                <w:rFonts w:cstheme="minorHAnsi"/>
                <w:b w:val="0"/>
                <w:sz w:val="22"/>
                <w:szCs w:val="22"/>
              </w:rPr>
              <w:t>Amlin</w:t>
            </w:r>
            <w:proofErr w:type="spellEnd"/>
            <w:r w:rsidR="002E2014" w:rsidRPr="00210AA1">
              <w:rPr>
                <w:rFonts w:cstheme="minorHAnsi"/>
                <w:b w:val="0"/>
                <w:sz w:val="22"/>
                <w:szCs w:val="22"/>
              </w:rPr>
              <w:t xml:space="preserve"> te verrekenen met de door de notaris ná het faillissement van </w:t>
            </w:r>
            <w:proofErr w:type="spellStart"/>
            <w:r w:rsidR="002E2014" w:rsidRPr="00210AA1">
              <w:rPr>
                <w:rFonts w:cstheme="minorHAnsi"/>
                <w:b w:val="0"/>
                <w:sz w:val="22"/>
                <w:szCs w:val="22"/>
              </w:rPr>
              <w:t>Amlin</w:t>
            </w:r>
            <w:proofErr w:type="spellEnd"/>
            <w:r w:rsidR="002E2014" w:rsidRPr="00210AA1">
              <w:rPr>
                <w:rFonts w:cstheme="minorHAnsi"/>
                <w:b w:val="0"/>
                <w:sz w:val="22"/>
                <w:szCs w:val="22"/>
              </w:rPr>
              <w:t xml:space="preserve"> op 17 februari 2004 op een van de rekeningen van de bank gestorte (restant)koopsom. Zoals de curator terecht opmerkt, is het stille pandrecht door de bevrijdende betaling van de koper aan de notaris teniet gegaan, maar dat doet er niet aan af dat de bank haar bevoegdheid zich bij voorrang op het geïnde (door verrekening) te voldoen heeft behouden. Het onderhavige geval is namelijk vergelijkbaar met de situatie die ten grondslag lag aan het arrest van de Hoge Raad van 17 februari 1995, NJ 1996, 471 (Mulder q.q./CLBN). Derhalve is ook hier plaats voor een uitzondering — als aanvaard in genoemd arrest en op de in dat arrest uiteengezette gronden — op de regel dat een bank zich ter zake van een op de rekening van haar cliënt gedane girale betaling niet op verrekening kan beroepen indien deze betaling is ontvangen nadat de cliënt in staat van faillissement is verklaard. Het gaat in dezen immers om een girale betaling die strekt ter voldoening van een aan de bank stil verpande vordering. Dat in het onderhavige geval de notaris de koopsom niet op de rekening van </w:t>
            </w:r>
            <w:proofErr w:type="spellStart"/>
            <w:r w:rsidR="002E2014" w:rsidRPr="00210AA1">
              <w:rPr>
                <w:rFonts w:cstheme="minorHAnsi"/>
                <w:b w:val="0"/>
                <w:sz w:val="22"/>
                <w:szCs w:val="22"/>
              </w:rPr>
              <w:t>Amlin</w:t>
            </w:r>
            <w:proofErr w:type="spellEnd"/>
            <w:r w:rsidR="002E2014" w:rsidRPr="00210AA1">
              <w:rPr>
                <w:rFonts w:cstheme="minorHAnsi"/>
                <w:b w:val="0"/>
                <w:sz w:val="22"/>
                <w:szCs w:val="22"/>
              </w:rPr>
              <w:t xml:space="preserve"> bij de bank heeft gestort doch op verzoek van de bank direct aan haar heeft </w:t>
            </w:r>
            <w:r w:rsidR="002E2014" w:rsidRPr="00210AA1">
              <w:rPr>
                <w:rFonts w:cstheme="minorHAnsi"/>
                <w:b w:val="0"/>
                <w:sz w:val="22"/>
                <w:szCs w:val="22"/>
              </w:rPr>
              <w:lastRenderedPageBreak/>
              <w:t xml:space="preserve">betaald, doet daar niet aan af. Door de transporterende notaris — die de koopsom houdt voor de rechthebbende, dat wil zeggen voor degene die daarop rechtens aanspraak heeft — te verzoeken de koopsom direct op een van haar rekeningen te storten, heeft de bank niets anders gedaan dan gebruik maken van haar bevoegdheid tot verrekening. Zou de notaris de (restant)koopsom hebben gestort op de rekening van </w:t>
            </w:r>
            <w:proofErr w:type="spellStart"/>
            <w:r w:rsidR="002E2014" w:rsidRPr="00210AA1">
              <w:rPr>
                <w:rFonts w:cstheme="minorHAnsi"/>
                <w:b w:val="0"/>
                <w:sz w:val="22"/>
                <w:szCs w:val="22"/>
              </w:rPr>
              <w:t>Amlin</w:t>
            </w:r>
            <w:proofErr w:type="spellEnd"/>
            <w:r w:rsidR="002E2014" w:rsidRPr="00210AA1">
              <w:rPr>
                <w:rFonts w:cstheme="minorHAnsi"/>
                <w:b w:val="0"/>
                <w:sz w:val="22"/>
                <w:szCs w:val="22"/>
              </w:rPr>
              <w:t xml:space="preserve"> bij de bank, dan zou de bank op grond van genoemd arrest bevoegd zijn geweest dit bedrag vervolgens op een van haar rekeningen te storten. Van enig misbruik door de bank, zoals door de curator gesteld, is niet gebleken. Derhalve is de verrekening van de bank in de gegeven omstandigheden niet in strijd met de artikelen 53 en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w:t>
            </w:r>
            <w:r>
              <w:rPr>
                <w:rFonts w:cstheme="minorHAnsi"/>
                <w:b w:val="0"/>
                <w:sz w:val="22"/>
                <w:szCs w:val="22"/>
              </w:rPr>
              <w:t>”</w:t>
            </w:r>
          </w:p>
        </w:tc>
        <w:tc>
          <w:tcPr>
            <w:tcW w:w="2946" w:type="dxa"/>
          </w:tcPr>
          <w:p w:rsidR="002E2014" w:rsidRPr="00210AA1" w:rsidRDefault="002E2014" w:rsidP="002E2014">
            <w:pPr>
              <w:jc w:val="left"/>
              <w:rPr>
                <w:rFonts w:cstheme="minorHAnsi"/>
                <w:b w:val="0"/>
                <w:sz w:val="22"/>
                <w:szCs w:val="22"/>
                <w:u w:val="single"/>
              </w:rPr>
            </w:pPr>
            <w:r w:rsidRPr="00210AA1">
              <w:rPr>
                <w:rFonts w:cstheme="minorHAnsi"/>
                <w:b w:val="0"/>
                <w:sz w:val="22"/>
                <w:szCs w:val="22"/>
                <w:u w:val="single"/>
              </w:rPr>
              <w:lastRenderedPageBreak/>
              <w:t>Verrekening op basis van stil verpande vorderingen</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Door betaling van de vordering waar het pandrecht op gevestigd is gaat het pandrecht teniet. De pandgever, de bank, kan zich echter nog steeds met voorrang op de boedelopbrengst verhalen door middel van verrekening. Dit komt overeen met het arrest Mulder. Normaliter zou de bank zich niet op verrekening kunnen beroepen in het faillissement, maar omdat de betalingen zijn gedaan op de stil verpande vorderingen die de bank bezat is het toegestaan om die betalingen te verreken in het faillissement. </w:t>
            </w: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30. ECLI:NL:RBSHE:2007:BB1660</w:t>
            </w:r>
          </w:p>
        </w:tc>
        <w:tc>
          <w:tcPr>
            <w:tcW w:w="5761"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3.10 De vraag rest nu of Rabobank de vordering op de fiscus mocht verrekenen. In het arrest HR 17 februari 1995, NJ 1996, 471 (Mulder </w:t>
            </w:r>
            <w:proofErr w:type="spellStart"/>
            <w:r w:rsidR="002E2014" w:rsidRPr="00210AA1">
              <w:rPr>
                <w:rFonts w:cstheme="minorHAnsi"/>
                <w:b w:val="0"/>
                <w:sz w:val="22"/>
                <w:szCs w:val="22"/>
              </w:rPr>
              <w:t>qq</w:t>
            </w:r>
            <w:proofErr w:type="spellEnd"/>
            <w:r w:rsidR="002E2014" w:rsidRPr="00210AA1">
              <w:rPr>
                <w:rFonts w:cstheme="minorHAnsi"/>
                <w:b w:val="0"/>
                <w:sz w:val="22"/>
                <w:szCs w:val="22"/>
              </w:rPr>
              <w:t xml:space="preserve">/CLBN) is, in tegenstelling tot hetgeen [eiser] heeft aangevoerd, bepaald dat de bank </w:t>
            </w:r>
            <w:proofErr w:type="spellStart"/>
            <w:r w:rsidR="002E2014" w:rsidRPr="00210AA1">
              <w:rPr>
                <w:rFonts w:cstheme="minorHAnsi"/>
                <w:b w:val="0"/>
                <w:sz w:val="22"/>
                <w:szCs w:val="22"/>
              </w:rPr>
              <w:t>wèl</w:t>
            </w:r>
            <w:proofErr w:type="spellEnd"/>
            <w:r w:rsidR="002E2014" w:rsidRPr="00210AA1">
              <w:rPr>
                <w:rFonts w:cstheme="minorHAnsi"/>
                <w:b w:val="0"/>
                <w:sz w:val="22"/>
                <w:szCs w:val="22"/>
              </w:rPr>
              <w:t xml:space="preserve"> mocht verrekenen in verband met haar (stil) pandrecht. De Hoge Raad heeft daartoe onder meer het volgende overwogen:</w:t>
            </w:r>
          </w:p>
          <w:p w:rsidR="002E2014" w:rsidRPr="00210AA1" w:rsidRDefault="002E2014" w:rsidP="002E2014">
            <w:pPr>
              <w:jc w:val="left"/>
              <w:rPr>
                <w:rFonts w:cstheme="minorHAnsi"/>
                <w:b w:val="0"/>
                <w:sz w:val="22"/>
                <w:szCs w:val="22"/>
              </w:rPr>
            </w:pPr>
            <w:r w:rsidRPr="00210AA1">
              <w:rPr>
                <w:rFonts w:cstheme="minorHAnsi"/>
                <w:b w:val="0"/>
                <w:sz w:val="22"/>
                <w:szCs w:val="22"/>
              </w:rPr>
              <w:t>[…]</w:t>
            </w:r>
          </w:p>
          <w:p w:rsidR="002E2014" w:rsidRPr="00210AA1" w:rsidRDefault="002E2014" w:rsidP="002E2014">
            <w:pPr>
              <w:jc w:val="left"/>
              <w:rPr>
                <w:rFonts w:cstheme="minorHAnsi"/>
                <w:b w:val="0"/>
                <w:sz w:val="22"/>
                <w:szCs w:val="22"/>
              </w:rPr>
            </w:pPr>
            <w:r w:rsidRPr="00210AA1">
              <w:rPr>
                <w:rFonts w:cstheme="minorHAnsi"/>
                <w:b w:val="0"/>
                <w:sz w:val="22"/>
                <w:szCs w:val="22"/>
              </w:rPr>
              <w:t>“In de rechtspraak van de Hoge Raad is weliswaar aanvaard dat bankinstellingen zich ter zake van op een rekening van hun debiteur gedane girale betalingen niet op verrekening kunnen beroepen indien deze betalingen zijn ontvangen op een tijdstip waarop de bankinstelling wist dat diens faillissement was te verwachten dan wel na diens faillietverklaring, maar er bestaat geen goede grond deze strenge regels mede van toepassing te oordelen op de mogelijkheid van verrekening door een bankinstelling van girale betalingen die op deze tijdstippen zijn gedaan ter voldoening van aan haar stil verpande vorderingen ter zake waarvan zij nog geen mededeling heeft gedaan. (…)</w:t>
            </w:r>
          </w:p>
          <w:p w:rsidR="002E2014" w:rsidRPr="00210AA1" w:rsidRDefault="002E2014" w:rsidP="002E2014">
            <w:pPr>
              <w:jc w:val="left"/>
              <w:rPr>
                <w:rFonts w:cstheme="minorHAnsi"/>
                <w:b w:val="0"/>
                <w:sz w:val="22"/>
                <w:szCs w:val="22"/>
              </w:rPr>
            </w:pPr>
            <w:r w:rsidRPr="00210AA1">
              <w:rPr>
                <w:rFonts w:cstheme="minorHAnsi"/>
                <w:b w:val="0"/>
                <w:sz w:val="22"/>
                <w:szCs w:val="22"/>
              </w:rPr>
              <w:t>Het strookt met de opzet van het stil pandrecht, die ertoe strekt het mogelijk te maken de onder het oude recht bestaande financieringspatronen te continueren (…) de bevoegdheid tot verrekening door een bankinstelling óók te aanvaarden ten aanzien van een door haar ontvangen betaling, strekkende tot voldoening van een aan haar stil verpande vordering.”</w:t>
            </w:r>
          </w:p>
          <w:p w:rsidR="002E2014" w:rsidRPr="00210AA1" w:rsidRDefault="002E2014" w:rsidP="002E2014">
            <w:pPr>
              <w:jc w:val="left"/>
              <w:rPr>
                <w:rFonts w:cstheme="minorHAnsi"/>
                <w:b w:val="0"/>
                <w:sz w:val="22"/>
                <w:szCs w:val="22"/>
              </w:rPr>
            </w:pPr>
            <w:r w:rsidRPr="00210AA1">
              <w:rPr>
                <w:rFonts w:cstheme="minorHAnsi"/>
                <w:b w:val="0"/>
                <w:sz w:val="22"/>
                <w:szCs w:val="22"/>
              </w:rPr>
              <w:t>[…]</w:t>
            </w:r>
          </w:p>
          <w:p w:rsidR="002E2014" w:rsidRPr="00210AA1" w:rsidRDefault="002E2014" w:rsidP="002E2014">
            <w:pPr>
              <w:jc w:val="left"/>
              <w:rPr>
                <w:rFonts w:cstheme="minorHAnsi"/>
                <w:b w:val="0"/>
                <w:sz w:val="22"/>
                <w:szCs w:val="22"/>
              </w:rPr>
            </w:pPr>
            <w:r w:rsidRPr="00210AA1">
              <w:rPr>
                <w:rFonts w:cstheme="minorHAnsi"/>
                <w:b w:val="0"/>
                <w:sz w:val="22"/>
                <w:szCs w:val="22"/>
              </w:rPr>
              <w:t>Nu ook in deze zaak de vordering op de fiscus stil verpand was aan Rabobank en Rabobank na faillietverklaring van Expeditie, maar vóór mededeling van het pandrecht aan de fiscus, betaling van de fiscus op de rekening van Expeditie heeft ontvangen, mag Rabobank het ontvangene verrekenen met haar vordering op Expeditie.</w:t>
            </w:r>
            <w:r w:rsidR="000D0BD0">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3.11 [eiser] beroept zich nog op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welk artikel de verrekeningsbevoegdheid beperkt. In bovengenoemd arrest is er, evenals in deze zaak, sprake van verrekening </w:t>
            </w:r>
            <w:r w:rsidR="002E2014" w:rsidRPr="00210AA1">
              <w:rPr>
                <w:rFonts w:cstheme="minorHAnsi"/>
                <w:b w:val="0"/>
                <w:sz w:val="22"/>
                <w:szCs w:val="22"/>
              </w:rPr>
              <w:lastRenderedPageBreak/>
              <w:t xml:space="preserve">door een bankinstelling van een girale betaling die na het faillissement is gedaan ter voldoening van een stil verpande vordering ter zake waarvan de bankinstelling nog geen mededeling heeft gedaan. Uit het arrest blijkt dat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in een dergelijk geval niet aan de bevoegdheid tot verrekening in de weg staat. Het beroep van [eiser] op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gaat dus niet op.</w:t>
            </w:r>
            <w:r>
              <w:rPr>
                <w:rFonts w:cstheme="minorHAnsi"/>
                <w:b w:val="0"/>
                <w:sz w:val="22"/>
                <w:szCs w:val="22"/>
              </w:rPr>
              <w:t>”</w:t>
            </w:r>
          </w:p>
          <w:p w:rsidR="002E2014" w:rsidRPr="00210AA1" w:rsidRDefault="002E2014" w:rsidP="002E2014">
            <w:pPr>
              <w:jc w:val="left"/>
              <w:rPr>
                <w:rFonts w:cstheme="minorHAnsi"/>
                <w:b w:val="0"/>
                <w:sz w:val="22"/>
                <w:szCs w:val="22"/>
              </w:rPr>
            </w:pPr>
          </w:p>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Conclusie</w:t>
            </w:r>
          </w:p>
          <w:p w:rsidR="002E2014" w:rsidRPr="00210AA1" w:rsidRDefault="002E2014" w:rsidP="002E2014">
            <w:pPr>
              <w:jc w:val="left"/>
              <w:rPr>
                <w:rFonts w:cstheme="minorHAnsi"/>
                <w:b w:val="0"/>
                <w:sz w:val="22"/>
                <w:szCs w:val="22"/>
              </w:rPr>
            </w:pPr>
            <w:r w:rsidRPr="00210AA1">
              <w:rPr>
                <w:rFonts w:cstheme="minorHAnsi"/>
                <w:b w:val="0"/>
                <w:sz w:val="22"/>
                <w:szCs w:val="22"/>
              </w:rPr>
              <w:t>3.12 De rechtbank is op basis van het voorgaande van oordeel dat Rabobank een pandrecht heeft op de vordering op de fiscus en uit hoofde daarvan mag verrekenen. De vordering van [eiser] zal dan ook worden afgewezen.</w:t>
            </w:r>
            <w:r w:rsidR="000D0BD0">
              <w:rPr>
                <w:rFonts w:cstheme="minorHAnsi"/>
                <w:b w:val="0"/>
                <w:sz w:val="22"/>
                <w:szCs w:val="22"/>
              </w:rPr>
              <w:t>”</w:t>
            </w:r>
          </w:p>
        </w:tc>
        <w:tc>
          <w:tcPr>
            <w:tcW w:w="2944" w:type="dxa"/>
          </w:tcPr>
          <w:p w:rsidR="002E2014" w:rsidRPr="00210AA1" w:rsidRDefault="002E2014" w:rsidP="002E2014">
            <w:pPr>
              <w:jc w:val="left"/>
              <w:rPr>
                <w:rFonts w:cstheme="minorHAnsi"/>
                <w:b w:val="0"/>
                <w:sz w:val="22"/>
                <w:szCs w:val="22"/>
              </w:rPr>
            </w:pPr>
            <w:r w:rsidRPr="00210AA1">
              <w:rPr>
                <w:rFonts w:cstheme="minorHAnsi"/>
                <w:b w:val="0"/>
                <w:sz w:val="22"/>
                <w:szCs w:val="22"/>
                <w:u w:val="single"/>
              </w:rPr>
              <w:lastRenderedPageBreak/>
              <w:t xml:space="preserve">Verrekening, artikel 54 </w:t>
            </w:r>
            <w:proofErr w:type="spellStart"/>
            <w:r w:rsidRPr="00210AA1">
              <w:rPr>
                <w:rFonts w:cstheme="minorHAnsi"/>
                <w:b w:val="0"/>
                <w:sz w:val="22"/>
                <w:szCs w:val="22"/>
                <w:u w:val="single"/>
              </w:rPr>
              <w:t>Fw</w:t>
            </w:r>
            <w:proofErr w:type="spellEnd"/>
            <w:r w:rsidRPr="00210AA1">
              <w:rPr>
                <w:rFonts w:cstheme="minorHAnsi"/>
                <w:b w:val="0"/>
                <w:sz w:val="22"/>
                <w:szCs w:val="22"/>
                <w:u w:val="single"/>
              </w:rPr>
              <w:t xml:space="preserve"> en Mulder</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Omtrent verrekening in het zicht van een faillissement is het arrest Mulder leidend. Dit arrest heeft als grondslag dat men mag verrekenen in het zicht van een faillissement op basis van stil verpande vorderingen. Indien men stil verpande vorderingen bezit en deze, zonder mededeling van de pandrechten te hebben gedaan, verrekend in het zicht van een faillissement of na het faillissement handelt men niet in strijd met artikel 54 </w:t>
            </w:r>
            <w:proofErr w:type="spellStart"/>
            <w:r w:rsidRPr="00210AA1">
              <w:rPr>
                <w:rFonts w:cstheme="minorHAnsi"/>
                <w:b w:val="0"/>
                <w:sz w:val="22"/>
                <w:szCs w:val="22"/>
              </w:rPr>
              <w:t>Fw</w:t>
            </w:r>
            <w:proofErr w:type="spellEnd"/>
            <w:r w:rsidRPr="00210AA1">
              <w:rPr>
                <w:rFonts w:cstheme="minorHAnsi"/>
                <w:b w:val="0"/>
                <w:sz w:val="22"/>
                <w:szCs w:val="22"/>
              </w:rPr>
              <w:t>.</w:t>
            </w: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lastRenderedPageBreak/>
              <w:t>31. ECLI:NL:GHSGR:2007:BB6934</w:t>
            </w:r>
          </w:p>
        </w:tc>
        <w:tc>
          <w:tcPr>
            <w:tcW w:w="5761"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42. In de </w:t>
            </w:r>
            <w:proofErr w:type="spellStart"/>
            <w:r w:rsidR="002E2014" w:rsidRPr="00210AA1">
              <w:rPr>
                <w:rFonts w:cstheme="minorHAnsi"/>
                <w:b w:val="0"/>
                <w:sz w:val="22"/>
                <w:szCs w:val="22"/>
              </w:rPr>
              <w:t>MvG</w:t>
            </w:r>
            <w:proofErr w:type="spellEnd"/>
            <w:r w:rsidR="002E2014" w:rsidRPr="00210AA1">
              <w:rPr>
                <w:rFonts w:cstheme="minorHAnsi"/>
                <w:b w:val="0"/>
                <w:sz w:val="22"/>
                <w:szCs w:val="22"/>
              </w:rPr>
              <w:t xml:space="preserve"> onder 11.6 heeft [appellante] dezelfde gevolgtrekking verbonden aan de met grief I verwoorde stelling, dat de vorderingen van Landtrans op </w:t>
            </w:r>
            <w:proofErr w:type="spellStart"/>
            <w:r w:rsidR="002E2014" w:rsidRPr="00210AA1">
              <w:rPr>
                <w:rFonts w:cstheme="minorHAnsi"/>
                <w:b w:val="0"/>
                <w:sz w:val="22"/>
                <w:szCs w:val="22"/>
              </w:rPr>
              <w:t>Lodi</w:t>
            </w:r>
            <w:proofErr w:type="spellEnd"/>
            <w:r w:rsidR="002E2014" w:rsidRPr="00210AA1">
              <w:rPr>
                <w:rFonts w:cstheme="minorHAnsi"/>
                <w:b w:val="0"/>
                <w:sz w:val="22"/>
                <w:szCs w:val="22"/>
              </w:rPr>
              <w:t xml:space="preserve"> niet aan de bank zijn verpand. Onder 13.9 </w:t>
            </w:r>
            <w:proofErr w:type="spellStart"/>
            <w:r w:rsidR="002E2014" w:rsidRPr="00210AA1">
              <w:rPr>
                <w:rFonts w:cstheme="minorHAnsi"/>
                <w:b w:val="0"/>
                <w:sz w:val="22"/>
                <w:szCs w:val="22"/>
              </w:rPr>
              <w:t>MvG</w:t>
            </w:r>
            <w:proofErr w:type="spellEnd"/>
            <w:r w:rsidR="002E2014" w:rsidRPr="00210AA1">
              <w:rPr>
                <w:rFonts w:cstheme="minorHAnsi"/>
                <w:b w:val="0"/>
                <w:sz w:val="22"/>
                <w:szCs w:val="22"/>
              </w:rPr>
              <w:t xml:space="preserve"> heeft [appellante] verder opgemerkt dat de bank niet tot verrekening mocht overgaan omdat de bank ten aanzien van de ontvangen betalingen niet te goeder trouw was. Het hof begrijpt hieruit dat [appellante] wil betogen dat hier van toepassing is de in de rechtspraak van de Hoge Raad ontwikkelde regel (zie onder meer zijn arrest van 19 november 2004 inzake ING/Gunning q.q., NJ 2005, 199), dat wanneer een debiteur (</w:t>
            </w:r>
            <w:proofErr w:type="spellStart"/>
            <w:r w:rsidR="002E2014" w:rsidRPr="00210AA1">
              <w:rPr>
                <w:rFonts w:cstheme="minorHAnsi"/>
                <w:b w:val="0"/>
                <w:sz w:val="22"/>
                <w:szCs w:val="22"/>
              </w:rPr>
              <w:t>Lodi</w:t>
            </w:r>
            <w:proofErr w:type="spellEnd"/>
            <w:r w:rsidR="002E2014" w:rsidRPr="00210AA1">
              <w:rPr>
                <w:rFonts w:cstheme="minorHAnsi"/>
                <w:b w:val="0"/>
                <w:sz w:val="22"/>
                <w:szCs w:val="22"/>
              </w:rPr>
              <w:t xml:space="preserve">) van de later gefailleerde (Landtrans) een schuld aan deze voldoet door storting op diens bankrekening, de bank door creditering een schuld overneemt en zich niet op verrekening kan beroepen wanneer zij niet te goeder trouw is in de zin van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welke regel alleen uitzondering lijdt in het geval dat de bank een pandrecht heeft op die vorderingen; dan is de bank, ook al was zij niet te goeder trouw, toch tot verrekening bevoegd (HR 17 februari 1995 Mulder q.q./CLBN, NJ 1996, 471). Aan deze regel kan [appellante] echter geen argument ontlenen omdat een beroep op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alleen kan worden gedaan door de curator, ten behoeve van de gezamenlijke schuldeisers. [appellante] heeft ook niet aangevoerd dat de curator in het faillissement van Landtrans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aan de bank heeft tegengeworpen. Aan de rechtsgeldigheid van de eerste en de tweede verrekening staat dus niet in de weg dat de bank daarbij niet te goeder trouw (in de zin van artikel 54 </w:t>
            </w:r>
            <w:proofErr w:type="spellStart"/>
            <w:r w:rsidR="002E2014" w:rsidRPr="00210AA1">
              <w:rPr>
                <w:rFonts w:cstheme="minorHAnsi"/>
                <w:b w:val="0"/>
                <w:sz w:val="22"/>
                <w:szCs w:val="22"/>
              </w:rPr>
              <w:t>Fw</w:t>
            </w:r>
            <w:proofErr w:type="spellEnd"/>
            <w:r w:rsidR="002E2014" w:rsidRPr="00210AA1">
              <w:rPr>
                <w:rFonts w:cstheme="minorHAnsi"/>
                <w:b w:val="0"/>
                <w:sz w:val="22"/>
                <w:szCs w:val="22"/>
              </w:rPr>
              <w:t xml:space="preserve">) zou zijn geweest en geen pandrecht op de vorderingen van Landtrans op </w:t>
            </w:r>
            <w:proofErr w:type="spellStart"/>
            <w:r w:rsidR="002E2014" w:rsidRPr="00210AA1">
              <w:rPr>
                <w:rFonts w:cstheme="minorHAnsi"/>
                <w:b w:val="0"/>
                <w:sz w:val="22"/>
                <w:szCs w:val="22"/>
              </w:rPr>
              <w:t>Lodi</w:t>
            </w:r>
            <w:proofErr w:type="spellEnd"/>
            <w:r w:rsidR="002E2014" w:rsidRPr="00210AA1">
              <w:rPr>
                <w:rFonts w:cstheme="minorHAnsi"/>
                <w:b w:val="0"/>
                <w:sz w:val="22"/>
                <w:szCs w:val="22"/>
              </w:rPr>
              <w:t xml:space="preserve"> had.</w:t>
            </w:r>
            <w:r>
              <w:rPr>
                <w:rFonts w:cstheme="minorHAnsi"/>
                <w:b w:val="0"/>
                <w:sz w:val="22"/>
                <w:szCs w:val="22"/>
              </w:rPr>
              <w:t>”</w:t>
            </w:r>
          </w:p>
        </w:tc>
        <w:tc>
          <w:tcPr>
            <w:tcW w:w="2944" w:type="dxa"/>
          </w:tcPr>
          <w:p w:rsidR="002E2014" w:rsidRPr="00210AA1" w:rsidRDefault="002E2014" w:rsidP="002E2014">
            <w:pPr>
              <w:jc w:val="left"/>
              <w:rPr>
                <w:rFonts w:cstheme="minorHAnsi"/>
                <w:b w:val="0"/>
                <w:sz w:val="22"/>
                <w:szCs w:val="22"/>
                <w:u w:val="single"/>
              </w:rPr>
            </w:pPr>
            <w:r w:rsidRPr="00210AA1">
              <w:rPr>
                <w:rFonts w:cstheme="minorHAnsi"/>
                <w:b w:val="0"/>
                <w:sz w:val="22"/>
                <w:szCs w:val="22"/>
                <w:u w:val="single"/>
              </w:rPr>
              <w:t xml:space="preserve">Artikel 54 </w:t>
            </w:r>
            <w:proofErr w:type="spellStart"/>
            <w:r w:rsidRPr="00210AA1">
              <w:rPr>
                <w:rFonts w:cstheme="minorHAnsi"/>
                <w:b w:val="0"/>
                <w:sz w:val="22"/>
                <w:szCs w:val="22"/>
                <w:u w:val="single"/>
              </w:rPr>
              <w:t>Fw</w:t>
            </w:r>
            <w:proofErr w:type="spellEnd"/>
            <w:r w:rsidRPr="00210AA1">
              <w:rPr>
                <w:rFonts w:cstheme="minorHAnsi"/>
                <w:b w:val="0"/>
                <w:sz w:val="22"/>
                <w:szCs w:val="22"/>
                <w:u w:val="single"/>
              </w:rPr>
              <w:t>, beroep door curator en Mulder</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Een bank kan zich niet op verrekening beroepen indien zij bij het crediteren van een betaling van debiteur aan een failliet op haar bankrekening niet te goeder trouw was. Dit valt te herleiden tot artikel 54 </w:t>
            </w:r>
            <w:proofErr w:type="spellStart"/>
            <w:r w:rsidRPr="00210AA1">
              <w:rPr>
                <w:rFonts w:cstheme="minorHAnsi"/>
                <w:b w:val="0"/>
                <w:sz w:val="22"/>
                <w:szCs w:val="22"/>
              </w:rPr>
              <w:t>Fw</w:t>
            </w:r>
            <w:proofErr w:type="spellEnd"/>
            <w:r w:rsidRPr="00210AA1">
              <w:rPr>
                <w:rFonts w:cstheme="minorHAnsi"/>
                <w:b w:val="0"/>
                <w:sz w:val="22"/>
                <w:szCs w:val="22"/>
              </w:rPr>
              <w:t xml:space="preserve">. Uitzondering op deze regel is het hebben van een pandrecht op de vordering die debiteur aan de failliet verschuldigd is. Deze uitzondering komt voort uit het arrest Mulder. Indien er sprake is van een pandrecht op de vordering dan kan de bank toch verrekenen ondanks dat zij niet te goeder trouw was. </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 xml:space="preserve">Daarbij kan alleen een beroep op artikel 54 </w:t>
            </w:r>
            <w:proofErr w:type="spellStart"/>
            <w:r w:rsidRPr="00210AA1">
              <w:rPr>
                <w:rFonts w:cstheme="minorHAnsi"/>
                <w:b w:val="0"/>
                <w:sz w:val="22"/>
                <w:szCs w:val="22"/>
              </w:rPr>
              <w:t>Fw</w:t>
            </w:r>
            <w:proofErr w:type="spellEnd"/>
            <w:r w:rsidRPr="00210AA1">
              <w:rPr>
                <w:rFonts w:cstheme="minorHAnsi"/>
                <w:b w:val="0"/>
                <w:sz w:val="22"/>
                <w:szCs w:val="22"/>
              </w:rPr>
              <w:t xml:space="preserve"> worden gedaan door de curator ten gunste van meerdere schuldeisers. Een schuldeiser zelf kan geen beroep doen op artikel 54 </w:t>
            </w:r>
            <w:proofErr w:type="spellStart"/>
            <w:r w:rsidRPr="00210AA1">
              <w:rPr>
                <w:rFonts w:cstheme="minorHAnsi"/>
                <w:b w:val="0"/>
                <w:sz w:val="22"/>
                <w:szCs w:val="22"/>
              </w:rPr>
              <w:t>Fw</w:t>
            </w:r>
            <w:proofErr w:type="spellEnd"/>
            <w:r w:rsidRPr="00210AA1">
              <w:rPr>
                <w:rFonts w:cstheme="minorHAnsi"/>
                <w:b w:val="0"/>
                <w:sz w:val="22"/>
                <w:szCs w:val="22"/>
              </w:rPr>
              <w:t>.</w:t>
            </w:r>
          </w:p>
        </w:tc>
      </w:tr>
      <w:tr w:rsidR="002E2014" w:rsidRPr="00210AA1" w:rsidTr="008B73CA">
        <w:trPr>
          <w:trHeight w:val="365"/>
        </w:trPr>
        <w:tc>
          <w:tcPr>
            <w:tcW w:w="2635" w:type="dxa"/>
          </w:tcPr>
          <w:p w:rsidR="002E2014" w:rsidRPr="00210AA1" w:rsidRDefault="002E2014" w:rsidP="002E2014">
            <w:pPr>
              <w:jc w:val="left"/>
              <w:rPr>
                <w:rFonts w:cstheme="minorHAnsi"/>
                <w:b w:val="0"/>
                <w:sz w:val="22"/>
                <w:szCs w:val="22"/>
              </w:rPr>
            </w:pPr>
            <w:r w:rsidRPr="00210AA1">
              <w:rPr>
                <w:rFonts w:cstheme="minorHAnsi"/>
                <w:b w:val="0"/>
                <w:sz w:val="22"/>
                <w:szCs w:val="22"/>
              </w:rPr>
              <w:t>32. ECLI:NL:HR:2007:BA2511</w:t>
            </w:r>
          </w:p>
        </w:tc>
        <w:tc>
          <w:tcPr>
            <w:tcW w:w="5761" w:type="dxa"/>
          </w:tcPr>
          <w:p w:rsidR="002E2014" w:rsidRPr="00210AA1" w:rsidRDefault="000D0BD0" w:rsidP="002E2014">
            <w:pPr>
              <w:jc w:val="left"/>
              <w:rPr>
                <w:rFonts w:cstheme="minorHAnsi"/>
                <w:b w:val="0"/>
                <w:sz w:val="22"/>
                <w:szCs w:val="22"/>
              </w:rPr>
            </w:pPr>
            <w:r>
              <w:rPr>
                <w:rFonts w:cstheme="minorHAnsi"/>
                <w:b w:val="0"/>
                <w:sz w:val="22"/>
                <w:szCs w:val="22"/>
              </w:rPr>
              <w:t>“</w:t>
            </w:r>
            <w:r w:rsidR="002E2014" w:rsidRPr="00210AA1">
              <w:rPr>
                <w:rFonts w:cstheme="minorHAnsi"/>
                <w:b w:val="0"/>
                <w:sz w:val="22"/>
                <w:szCs w:val="22"/>
              </w:rPr>
              <w:t xml:space="preserve">3.4 Bij de beoordeling van het onderdeel wordt het volgende vooropgesteld. Zo lang de stille pandhouder aan de betrokken debiteuren niet de in art. 3:246 lid 1, tweede volzin, BW bedoelde mededeling heeft gedaan, is de curator bevoegd in het belang van de boedel tot inning van de betrokken vorderingen over te gaan, waarna de pandhouder op het door de curator geïnde verhaal kan </w:t>
            </w:r>
            <w:r w:rsidR="002E2014" w:rsidRPr="00210AA1">
              <w:rPr>
                <w:rFonts w:cstheme="minorHAnsi"/>
                <w:b w:val="0"/>
                <w:sz w:val="22"/>
                <w:szCs w:val="22"/>
              </w:rPr>
              <w:lastRenderedPageBreak/>
              <w:t>zoeken overeenkomstig de aan zijn pandrecht verbonden voorrang. Omdat dit verhaal dan plaats heeft in het kader van het faillissement, zal de pandhouder daarbij dienen bij te dragen in de algemene faillissementskosten.</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De stille pandhouder kan de bevoegdheid tot inning op zich doen overgaan door de bedoelde mededeling aan de debiteuren te doen. Zo lang die mededeling niet is gedaan, en de curator dus nog bevoegd is tot inning ten behoeve van de boedel van de stil verpande vorderingen, is er voor de curator geen reden de stille pandhouder in het belang van de boedel op de voet van art. 58 lid 1F. een (redelijke) termijn te stellen om tot uitoefening van de in art. 57 bedoelde rechten over te gaan, waartoe de curator ingevolge dat artikellid wel bevoegd, maar niet verplicht is.</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Het voorgaande betekent niet dat het de curator vrijstaat de bevoegdheid van de stille pandhouder tot het doen van de mededeling aan de betrokken debiteuren te frustreren door zijnerzijds aanstonds aan die debiteuren mede te delen dat zij de stil verpande vorderingen op de rekening van de boedel moeten voldoen in plaats van op die van de stille pandhouder. In het algemeen zal bij een professionele stille pandhouder als een bank voldoende zijn dat de curator een redelijk te achten termijn in acht neemt van veertien dagen alvorens een dergelijke mededeling aan de debiteuren te doen. Een verplichting tot het actief vooraf dienaangaande informeren van zo'n stille pandhouder kan niet worden gebaseerd op overeenkomstige toepassing van art. 58F. en ook naar ongeschreven recht bestaat een dergelijke verplichting niet. Dit neemt niet weg dat het, mede ter voorkoming van onnodige onrust bij debiteuren, naar de rechtbank en hof terecht hebben geoordeeld, wenselijk is dat de stille pandhouder en de curator overleg voeren over het te volgen incassobeleid, waartoe de stille pandhouder zo nodig zelf het initiatief kan nemen.</w:t>
            </w:r>
            <w:r w:rsidR="000D0BD0">
              <w:rPr>
                <w:rFonts w:cstheme="minorHAnsi"/>
                <w:b w:val="0"/>
                <w:sz w:val="22"/>
                <w:szCs w:val="22"/>
              </w:rPr>
              <w:t>”</w:t>
            </w:r>
          </w:p>
        </w:tc>
        <w:tc>
          <w:tcPr>
            <w:tcW w:w="2944" w:type="dxa"/>
          </w:tcPr>
          <w:p w:rsidR="002E2014" w:rsidRPr="00210AA1" w:rsidRDefault="002E2014" w:rsidP="002E2014">
            <w:pPr>
              <w:jc w:val="left"/>
              <w:rPr>
                <w:rFonts w:cstheme="minorHAnsi"/>
                <w:b w:val="0"/>
                <w:sz w:val="22"/>
                <w:szCs w:val="22"/>
                <w:u w:val="single"/>
              </w:rPr>
            </w:pPr>
            <w:r w:rsidRPr="00210AA1">
              <w:rPr>
                <w:rFonts w:cstheme="minorHAnsi"/>
                <w:b w:val="0"/>
                <w:sz w:val="22"/>
                <w:szCs w:val="22"/>
                <w:u w:val="single"/>
              </w:rPr>
              <w:lastRenderedPageBreak/>
              <w:t>Artikel 3:246 BW en 57 en 58 FW mededeling stille pandrechten</w:t>
            </w:r>
          </w:p>
          <w:p w:rsidR="002E2014" w:rsidRPr="00210AA1" w:rsidRDefault="002E2014" w:rsidP="002E2014">
            <w:pPr>
              <w:jc w:val="left"/>
              <w:rPr>
                <w:rFonts w:cstheme="minorHAnsi"/>
                <w:b w:val="0"/>
                <w:sz w:val="22"/>
                <w:szCs w:val="22"/>
              </w:rPr>
            </w:pPr>
            <w:r w:rsidRPr="00210AA1">
              <w:rPr>
                <w:rFonts w:cstheme="minorHAnsi"/>
                <w:b w:val="0"/>
                <w:sz w:val="22"/>
                <w:szCs w:val="22"/>
              </w:rPr>
              <w:t xml:space="preserve">Een curator kan stil verpande vorderingen van de failliet innen tot het moment dat de stil pandhouder mededeling </w:t>
            </w:r>
            <w:r w:rsidRPr="00210AA1">
              <w:rPr>
                <w:rFonts w:cstheme="minorHAnsi"/>
                <w:b w:val="0"/>
                <w:sz w:val="22"/>
                <w:szCs w:val="22"/>
              </w:rPr>
              <w:lastRenderedPageBreak/>
              <w:t xml:space="preserve">van zijn pandrechten doet als bedoeld in artikel 3:246 lid 1 BW. De curator dient de stil pandhouder op grond van artikel 58 </w:t>
            </w:r>
            <w:proofErr w:type="spellStart"/>
            <w:r w:rsidRPr="00210AA1">
              <w:rPr>
                <w:rFonts w:cstheme="minorHAnsi"/>
                <w:b w:val="0"/>
                <w:sz w:val="22"/>
                <w:szCs w:val="22"/>
              </w:rPr>
              <w:t>Fw</w:t>
            </w:r>
            <w:proofErr w:type="spellEnd"/>
            <w:r w:rsidRPr="00210AA1">
              <w:rPr>
                <w:rFonts w:cstheme="minorHAnsi"/>
                <w:b w:val="0"/>
                <w:sz w:val="22"/>
                <w:szCs w:val="22"/>
              </w:rPr>
              <w:t xml:space="preserve"> een redelijke termijn te stellen om zijn pandrechten op grond van artikel 57 </w:t>
            </w:r>
            <w:proofErr w:type="spellStart"/>
            <w:r w:rsidRPr="00210AA1">
              <w:rPr>
                <w:rFonts w:cstheme="minorHAnsi"/>
                <w:b w:val="0"/>
                <w:sz w:val="22"/>
                <w:szCs w:val="22"/>
              </w:rPr>
              <w:t>Fw</w:t>
            </w:r>
            <w:proofErr w:type="spellEnd"/>
            <w:r w:rsidRPr="00210AA1">
              <w:rPr>
                <w:rFonts w:cstheme="minorHAnsi"/>
                <w:b w:val="0"/>
                <w:sz w:val="22"/>
                <w:szCs w:val="22"/>
              </w:rPr>
              <w:t xml:space="preserve"> te kunnen uitoefenen ten aanzien van de debiteuren van failliet. Een redelijke termijn is volgens de Hoge Raad veertien dagen.</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 xml:space="preserve">De stil pandhouder blijft altijd zijn recht behouden om verhaal te halen op de door de curator geïnde vorderingen, overeenkomstig zijn pandrechten. De pandhouder dient wel bij te dragen in de algemene faillissementskosten. </w:t>
            </w:r>
          </w:p>
          <w:p w:rsidR="002E2014" w:rsidRPr="00210AA1" w:rsidRDefault="002E2014" w:rsidP="002E2014">
            <w:pPr>
              <w:jc w:val="left"/>
              <w:rPr>
                <w:rFonts w:cstheme="minorHAnsi"/>
                <w:b w:val="0"/>
                <w:sz w:val="22"/>
                <w:szCs w:val="22"/>
              </w:rPr>
            </w:pPr>
          </w:p>
          <w:p w:rsidR="002E2014" w:rsidRPr="00210AA1" w:rsidRDefault="002E2014" w:rsidP="002E2014">
            <w:pPr>
              <w:jc w:val="left"/>
              <w:rPr>
                <w:rFonts w:cstheme="minorHAnsi"/>
                <w:b w:val="0"/>
                <w:sz w:val="22"/>
                <w:szCs w:val="22"/>
              </w:rPr>
            </w:pPr>
            <w:r w:rsidRPr="00210AA1">
              <w:rPr>
                <w:rFonts w:cstheme="minorHAnsi"/>
                <w:b w:val="0"/>
                <w:sz w:val="22"/>
                <w:szCs w:val="22"/>
              </w:rPr>
              <w:t xml:space="preserve">Dit geeft meer inzichten ten opzichte van de literatuur. Volgens A.G. </w:t>
            </w:r>
            <w:proofErr w:type="spellStart"/>
            <w:r w:rsidRPr="00210AA1">
              <w:rPr>
                <w:rFonts w:cstheme="minorHAnsi"/>
                <w:b w:val="0"/>
                <w:sz w:val="22"/>
                <w:szCs w:val="22"/>
              </w:rPr>
              <w:t>Hartkamp</w:t>
            </w:r>
            <w:proofErr w:type="spellEnd"/>
            <w:r w:rsidRPr="00210AA1">
              <w:rPr>
                <w:rFonts w:cstheme="minorHAnsi"/>
                <w:b w:val="0"/>
                <w:sz w:val="22"/>
                <w:szCs w:val="22"/>
              </w:rPr>
              <w:t xml:space="preserve"> is een stil pandhouder die geen mededeling van zijn pandrecht heeft gedaan geen separatist in een faillissement als er wordt gekeken naar de letter van artikel 57 </w:t>
            </w:r>
            <w:proofErr w:type="spellStart"/>
            <w:r w:rsidRPr="00210AA1">
              <w:rPr>
                <w:rFonts w:cstheme="minorHAnsi"/>
                <w:b w:val="0"/>
                <w:sz w:val="22"/>
                <w:szCs w:val="22"/>
              </w:rPr>
              <w:t>Fw</w:t>
            </w:r>
            <w:proofErr w:type="spellEnd"/>
            <w:r w:rsidRPr="00210AA1">
              <w:rPr>
                <w:rFonts w:cstheme="minorHAnsi"/>
                <w:b w:val="0"/>
                <w:sz w:val="22"/>
                <w:szCs w:val="22"/>
              </w:rPr>
              <w:t xml:space="preserve">. </w:t>
            </w:r>
            <w:proofErr w:type="spellStart"/>
            <w:r w:rsidRPr="00210AA1">
              <w:rPr>
                <w:rFonts w:cstheme="minorHAnsi"/>
                <w:b w:val="0"/>
                <w:sz w:val="22"/>
                <w:szCs w:val="22"/>
              </w:rPr>
              <w:t>Hartkamp</w:t>
            </w:r>
            <w:proofErr w:type="spellEnd"/>
            <w:r w:rsidRPr="00210AA1">
              <w:rPr>
                <w:rFonts w:cstheme="minorHAnsi"/>
                <w:b w:val="0"/>
                <w:sz w:val="22"/>
                <w:szCs w:val="22"/>
              </w:rPr>
              <w:t xml:space="preserve"> zegt dat de stil pandhouder pas na openbaarmaking van zijn pandrecht zijn rechten als separatist kan uitoefenen.  Dit staat echter niet in de weg aan de mogelijkheid tot verrekenen van de vordering die de bank heeft op de winkel aangezien het stil pandrecht het verrekenen mogelijk maakt.</w:t>
            </w:r>
          </w:p>
        </w:tc>
      </w:tr>
    </w:tbl>
    <w:p w:rsidR="00570D50" w:rsidRDefault="00570D50" w:rsidP="00570D50">
      <w:pPr>
        <w:pStyle w:val="Kop2"/>
        <w:spacing w:before="0" w:beforeAutospacing="0" w:after="0" w:afterAutospacing="0"/>
        <w:jc w:val="both"/>
        <w:rPr>
          <w:rFonts w:asciiTheme="minorHAnsi" w:hAnsiTheme="minorHAnsi" w:cstheme="minorHAnsi"/>
          <w:sz w:val="24"/>
          <w:szCs w:val="24"/>
        </w:rPr>
      </w:pPr>
    </w:p>
    <w:p w:rsidR="002E2014" w:rsidRPr="00570D50" w:rsidRDefault="00570D50" w:rsidP="00570D50">
      <w:pPr>
        <w:pStyle w:val="Kop2"/>
        <w:spacing w:before="0" w:beforeAutospacing="0" w:after="0" w:afterAutospacing="0"/>
        <w:jc w:val="both"/>
        <w:rPr>
          <w:rFonts w:asciiTheme="minorHAnsi" w:hAnsiTheme="minorHAnsi" w:cstheme="minorHAnsi"/>
          <w:sz w:val="24"/>
          <w:szCs w:val="24"/>
        </w:rPr>
      </w:pPr>
      <w:bookmarkStart w:id="48" w:name="_Toc486246642"/>
      <w:r w:rsidRPr="00570D50">
        <w:rPr>
          <w:rFonts w:asciiTheme="minorHAnsi" w:hAnsiTheme="minorHAnsi" w:cstheme="minorHAnsi"/>
          <w:sz w:val="24"/>
          <w:szCs w:val="24"/>
        </w:rPr>
        <w:t xml:space="preserve">§2 </w:t>
      </w:r>
      <w:r w:rsidR="002E2014" w:rsidRPr="00570D50">
        <w:rPr>
          <w:rFonts w:asciiTheme="minorHAnsi" w:hAnsiTheme="minorHAnsi" w:cstheme="minorHAnsi"/>
          <w:sz w:val="24"/>
          <w:szCs w:val="24"/>
        </w:rPr>
        <w:t xml:space="preserve">Jurisprudentie corresponderend met nummer </w:t>
      </w:r>
      <w:r w:rsidR="00D350C3">
        <w:rPr>
          <w:rFonts w:asciiTheme="minorHAnsi" w:hAnsiTheme="minorHAnsi" w:cstheme="minorHAnsi"/>
          <w:sz w:val="24"/>
          <w:szCs w:val="24"/>
        </w:rPr>
        <w:t>in tabel</w:t>
      </w:r>
      <w:bookmarkEnd w:id="48"/>
    </w:p>
    <w:p w:rsidR="002E2014" w:rsidRPr="00210AA1" w:rsidRDefault="002E2014" w:rsidP="002E2014">
      <w:pPr>
        <w:pStyle w:val="Voetnoottekst"/>
        <w:ind w:left="720"/>
        <w:jc w:val="left"/>
        <w:rPr>
          <w:rFonts w:asciiTheme="minorHAnsi" w:hAnsiTheme="minorHAnsi" w:cstheme="minorHAnsi"/>
          <w:b w:val="0"/>
          <w:sz w:val="22"/>
          <w:szCs w:val="22"/>
        </w:rPr>
      </w:pPr>
    </w:p>
    <w:p w:rsidR="002E2014" w:rsidRPr="00210AA1" w:rsidRDefault="002E2014" w:rsidP="002E2014">
      <w:pPr>
        <w:pStyle w:val="Voetnoottekst"/>
        <w:numPr>
          <w:ilvl w:val="0"/>
          <w:numId w:val="24"/>
        </w:numPr>
        <w:jc w:val="left"/>
        <w:rPr>
          <w:rFonts w:asciiTheme="minorHAnsi" w:hAnsiTheme="minorHAnsi" w:cstheme="minorHAnsi"/>
          <w:b w:val="0"/>
          <w:sz w:val="22"/>
          <w:szCs w:val="22"/>
        </w:rPr>
      </w:pPr>
      <w:r w:rsidRPr="00210AA1">
        <w:rPr>
          <w:rFonts w:asciiTheme="minorHAnsi" w:hAnsiTheme="minorHAnsi" w:cstheme="minorHAnsi"/>
          <w:b w:val="0"/>
          <w:sz w:val="22"/>
          <w:szCs w:val="22"/>
        </w:rPr>
        <w:t xml:space="preserve">ECLI:NL:RBOVE:2016:2381 </w:t>
      </w:r>
    </w:p>
    <w:p w:rsidR="002E2014" w:rsidRPr="00210AA1" w:rsidRDefault="002E2014" w:rsidP="002E2014">
      <w:pPr>
        <w:pStyle w:val="Voetnoottekst"/>
        <w:numPr>
          <w:ilvl w:val="0"/>
          <w:numId w:val="24"/>
        </w:numPr>
        <w:jc w:val="left"/>
        <w:rPr>
          <w:rFonts w:asciiTheme="minorHAnsi" w:hAnsiTheme="minorHAnsi" w:cstheme="minorHAnsi"/>
          <w:b w:val="0"/>
          <w:sz w:val="22"/>
          <w:szCs w:val="22"/>
        </w:rPr>
      </w:pPr>
      <w:r w:rsidRPr="00210AA1">
        <w:rPr>
          <w:rFonts w:asciiTheme="minorHAnsi" w:hAnsiTheme="minorHAnsi" w:cstheme="minorHAnsi"/>
          <w:b w:val="0"/>
          <w:sz w:val="22"/>
          <w:szCs w:val="22"/>
        </w:rPr>
        <w:t xml:space="preserve">ECLI:NL:HR:2009:BJ0861  </w:t>
      </w:r>
    </w:p>
    <w:p w:rsidR="002E2014" w:rsidRPr="00210AA1" w:rsidRDefault="002E2014" w:rsidP="002E2014">
      <w:pPr>
        <w:pStyle w:val="Voetnoottekst"/>
        <w:numPr>
          <w:ilvl w:val="0"/>
          <w:numId w:val="24"/>
        </w:numPr>
        <w:jc w:val="left"/>
        <w:rPr>
          <w:rFonts w:asciiTheme="minorHAnsi" w:hAnsiTheme="minorHAnsi" w:cstheme="minorHAnsi"/>
          <w:b w:val="0"/>
          <w:sz w:val="22"/>
          <w:szCs w:val="22"/>
        </w:rPr>
      </w:pPr>
      <w:r w:rsidRPr="00210AA1">
        <w:rPr>
          <w:rFonts w:asciiTheme="minorHAnsi" w:hAnsiTheme="minorHAnsi" w:cstheme="minorHAnsi"/>
          <w:b w:val="0"/>
          <w:sz w:val="22"/>
          <w:szCs w:val="22"/>
        </w:rPr>
        <w:t>ECLI:NL:RBOBR:2016:5618</w:t>
      </w:r>
    </w:p>
    <w:p w:rsidR="002E2014" w:rsidRPr="00210AA1" w:rsidRDefault="002E2014" w:rsidP="002E2014">
      <w:pPr>
        <w:pStyle w:val="Voetnoottekst"/>
        <w:numPr>
          <w:ilvl w:val="0"/>
          <w:numId w:val="24"/>
        </w:numPr>
        <w:jc w:val="left"/>
        <w:rPr>
          <w:rFonts w:asciiTheme="minorHAnsi" w:hAnsiTheme="minorHAnsi" w:cstheme="minorHAnsi"/>
          <w:b w:val="0"/>
          <w:sz w:val="22"/>
          <w:szCs w:val="22"/>
        </w:rPr>
      </w:pPr>
      <w:r w:rsidRPr="00210AA1">
        <w:rPr>
          <w:rFonts w:asciiTheme="minorHAnsi" w:hAnsiTheme="minorHAnsi" w:cstheme="minorHAnsi"/>
          <w:b w:val="0"/>
          <w:sz w:val="22"/>
          <w:szCs w:val="22"/>
        </w:rPr>
        <w:t>ECLI:NL:RBOBR:2016:5086</w:t>
      </w:r>
    </w:p>
    <w:p w:rsidR="002E2014" w:rsidRPr="00210AA1" w:rsidRDefault="002E2014" w:rsidP="002E2014">
      <w:pPr>
        <w:pStyle w:val="Voetnoottekst"/>
        <w:numPr>
          <w:ilvl w:val="0"/>
          <w:numId w:val="24"/>
        </w:numPr>
        <w:jc w:val="left"/>
        <w:rPr>
          <w:rFonts w:asciiTheme="minorHAnsi" w:hAnsiTheme="minorHAnsi" w:cstheme="minorHAnsi"/>
          <w:b w:val="0"/>
          <w:sz w:val="22"/>
          <w:szCs w:val="22"/>
        </w:rPr>
      </w:pPr>
      <w:r w:rsidRPr="00210AA1">
        <w:rPr>
          <w:rFonts w:asciiTheme="minorHAnsi" w:hAnsiTheme="minorHAnsi" w:cstheme="minorHAnsi"/>
          <w:b w:val="0"/>
          <w:sz w:val="22"/>
          <w:szCs w:val="22"/>
        </w:rPr>
        <w:lastRenderedPageBreak/>
        <w:t>ECLI:NL:RBLIM:2016:1936</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ECLI:NL:RBROT:2016:3303</w:t>
      </w:r>
    </w:p>
    <w:p w:rsidR="002E2014" w:rsidRPr="00210AA1" w:rsidRDefault="002E2014" w:rsidP="002E2014">
      <w:pPr>
        <w:pStyle w:val="Voetnoottekst"/>
        <w:numPr>
          <w:ilvl w:val="0"/>
          <w:numId w:val="24"/>
        </w:numPr>
        <w:jc w:val="left"/>
        <w:rPr>
          <w:rFonts w:asciiTheme="minorHAnsi" w:hAnsiTheme="minorHAnsi" w:cstheme="minorHAnsi"/>
          <w:b w:val="0"/>
          <w:sz w:val="22"/>
          <w:szCs w:val="22"/>
        </w:rPr>
      </w:pPr>
      <w:r w:rsidRPr="00210AA1">
        <w:rPr>
          <w:rFonts w:asciiTheme="minorHAnsi" w:hAnsiTheme="minorHAnsi" w:cstheme="minorHAnsi"/>
          <w:b w:val="0"/>
          <w:sz w:val="22"/>
          <w:szCs w:val="22"/>
        </w:rPr>
        <w:t>ECLI:NL:RBOBR:2015:995</w:t>
      </w:r>
    </w:p>
    <w:p w:rsidR="002E2014" w:rsidRPr="00210AA1" w:rsidRDefault="002E2014" w:rsidP="002E2014">
      <w:pPr>
        <w:pStyle w:val="Voetnoottekst"/>
        <w:numPr>
          <w:ilvl w:val="0"/>
          <w:numId w:val="24"/>
        </w:numPr>
        <w:jc w:val="left"/>
        <w:rPr>
          <w:rFonts w:asciiTheme="minorHAnsi" w:hAnsiTheme="minorHAnsi" w:cstheme="minorHAnsi"/>
          <w:b w:val="0"/>
          <w:sz w:val="22"/>
          <w:szCs w:val="22"/>
        </w:rPr>
      </w:pPr>
      <w:r w:rsidRPr="00210AA1">
        <w:rPr>
          <w:rFonts w:asciiTheme="minorHAnsi" w:hAnsiTheme="minorHAnsi" w:cstheme="minorHAnsi"/>
          <w:b w:val="0"/>
          <w:sz w:val="22"/>
          <w:szCs w:val="22"/>
        </w:rPr>
        <w:t>ECLI:NL:RBOBR:2015:6352</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ECLI:NL:HR:2014:319</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 xml:space="preserve">ECLI:NL:RBZLY:2009:BI6124 </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ECLI:NL:GHARL:2014:6338</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ECLI:NL:HR:2013:BZ5663</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ECLI:NL:RBMNE:2013:BZ6590</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ECLI:NL:HR:2013:BZ7199</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ECLI:NL:RBMNE:2013:BZ5549</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ECLI:NL:RBROT:2013:10417</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ECLI:NL:RBAMS:2012:BX2300</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ECLI:NL:HR:2012:BU6552</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ECLI:NL:HR:2012:BV0614</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ECLI:NL:GHARN:2012:BW2539</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ECLI:NL:HR:2011:BN7887</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ECLI:NL:GHARN:2011:BU3293</w:t>
      </w:r>
    </w:p>
    <w:p w:rsidR="002E2014" w:rsidRPr="00210AA1" w:rsidRDefault="002E2014" w:rsidP="002E2014">
      <w:pPr>
        <w:pStyle w:val="Voetnoottekst"/>
        <w:numPr>
          <w:ilvl w:val="0"/>
          <w:numId w:val="24"/>
        </w:numPr>
        <w:jc w:val="left"/>
        <w:rPr>
          <w:rFonts w:asciiTheme="minorHAnsi" w:hAnsiTheme="minorHAnsi" w:cstheme="minorHAnsi"/>
          <w:b w:val="0"/>
          <w:sz w:val="22"/>
          <w:szCs w:val="22"/>
        </w:rPr>
      </w:pPr>
      <w:r w:rsidRPr="00210AA1">
        <w:rPr>
          <w:rFonts w:asciiTheme="minorHAnsi" w:hAnsiTheme="minorHAnsi" w:cstheme="minorHAnsi"/>
          <w:b w:val="0"/>
          <w:sz w:val="22"/>
          <w:szCs w:val="22"/>
        </w:rPr>
        <w:t xml:space="preserve">ECLI:NL:RBALM:2010:BO1956 </w:t>
      </w:r>
    </w:p>
    <w:p w:rsidR="002E2014" w:rsidRPr="00210AA1" w:rsidRDefault="002E2014" w:rsidP="002E2014">
      <w:pPr>
        <w:pStyle w:val="Voetnoottekst"/>
        <w:numPr>
          <w:ilvl w:val="0"/>
          <w:numId w:val="24"/>
        </w:numPr>
        <w:jc w:val="left"/>
        <w:rPr>
          <w:rFonts w:asciiTheme="minorHAnsi" w:hAnsiTheme="minorHAnsi" w:cstheme="minorHAnsi"/>
          <w:b w:val="0"/>
          <w:sz w:val="22"/>
          <w:szCs w:val="22"/>
        </w:rPr>
      </w:pPr>
      <w:r w:rsidRPr="00210AA1">
        <w:rPr>
          <w:rFonts w:asciiTheme="minorHAnsi" w:hAnsiTheme="minorHAnsi" w:cstheme="minorHAnsi"/>
          <w:b w:val="0"/>
          <w:sz w:val="22"/>
          <w:szCs w:val="22"/>
        </w:rPr>
        <w:t>ECLI:NL:RBBRE:2010:BO0941</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ECLI:NL:RBGRO:2010:BN1436</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ECLI:NL:RBSHE:2010:BY9833</w:t>
      </w:r>
    </w:p>
    <w:p w:rsidR="002E2014" w:rsidRPr="00210AA1" w:rsidRDefault="002E2014" w:rsidP="002E2014">
      <w:pPr>
        <w:pStyle w:val="Voetnoottekst"/>
        <w:numPr>
          <w:ilvl w:val="0"/>
          <w:numId w:val="24"/>
        </w:numPr>
        <w:jc w:val="left"/>
        <w:rPr>
          <w:rFonts w:asciiTheme="minorHAnsi" w:hAnsiTheme="minorHAnsi" w:cstheme="minorHAnsi"/>
          <w:b w:val="0"/>
          <w:sz w:val="22"/>
          <w:szCs w:val="22"/>
        </w:rPr>
      </w:pPr>
      <w:r w:rsidRPr="00210AA1">
        <w:rPr>
          <w:rFonts w:asciiTheme="minorHAnsi" w:hAnsiTheme="minorHAnsi" w:cstheme="minorHAnsi"/>
          <w:b w:val="0"/>
          <w:sz w:val="22"/>
          <w:szCs w:val="22"/>
        </w:rPr>
        <w:t>ECLI:NL:HR:2009:BJ0861</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 xml:space="preserve">ECLI:NL:HR:2008:BG0946 </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ECLI:NL:GHSHE:2008:BG4528</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ECLI:NL:RBSHE:2007:BB1660</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ECLI:NL:GHSGR:2007:BB6934</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ECLI:NL:HR:2007:BA2511</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ECLI:NL:HR:2004:AR3137</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ECLI:NL:HR:2002:AE3387</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ECLI:NL:GHAMS:2000:AG3652</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ECLI:NL:HR:1999:ZC2940</w:t>
      </w:r>
    </w:p>
    <w:p w:rsidR="002E2014" w:rsidRPr="00210AA1" w:rsidRDefault="002E2014" w:rsidP="002E2014">
      <w:pPr>
        <w:pStyle w:val="Voetnoottekst"/>
        <w:numPr>
          <w:ilvl w:val="0"/>
          <w:numId w:val="24"/>
        </w:numPr>
        <w:jc w:val="left"/>
        <w:rPr>
          <w:rFonts w:asciiTheme="minorHAnsi" w:hAnsiTheme="minorHAnsi" w:cstheme="minorHAnsi"/>
          <w:b w:val="0"/>
          <w:sz w:val="22"/>
          <w:szCs w:val="22"/>
        </w:rPr>
      </w:pPr>
      <w:r w:rsidRPr="00210AA1">
        <w:rPr>
          <w:rFonts w:asciiTheme="minorHAnsi" w:hAnsiTheme="minorHAnsi" w:cstheme="minorHAnsi"/>
          <w:b w:val="0"/>
          <w:sz w:val="22"/>
          <w:szCs w:val="22"/>
        </w:rPr>
        <w:t>NJK 1996, 21</w:t>
      </w:r>
    </w:p>
    <w:p w:rsidR="002E2014" w:rsidRPr="00210AA1" w:rsidRDefault="002E2014" w:rsidP="002E2014">
      <w:pPr>
        <w:pStyle w:val="Voetnoottekst"/>
        <w:numPr>
          <w:ilvl w:val="0"/>
          <w:numId w:val="24"/>
        </w:numPr>
        <w:jc w:val="left"/>
        <w:rPr>
          <w:rFonts w:asciiTheme="minorHAnsi" w:hAnsiTheme="minorHAnsi" w:cstheme="minorHAnsi"/>
          <w:b w:val="0"/>
          <w:sz w:val="22"/>
          <w:szCs w:val="22"/>
          <w:lang w:val="en-US"/>
        </w:rPr>
      </w:pPr>
      <w:r w:rsidRPr="00210AA1">
        <w:rPr>
          <w:rFonts w:asciiTheme="minorHAnsi" w:hAnsiTheme="minorHAnsi" w:cstheme="minorHAnsi"/>
          <w:b w:val="0"/>
          <w:sz w:val="22"/>
          <w:szCs w:val="22"/>
          <w:lang w:val="en-US"/>
        </w:rPr>
        <w:t>ECLI:NL:HR:1995:ZC1641SS</w:t>
      </w:r>
    </w:p>
    <w:p w:rsidR="002E2014" w:rsidRDefault="002E2014" w:rsidP="00164E92">
      <w:pPr>
        <w:jc w:val="left"/>
        <w:rPr>
          <w:rFonts w:asciiTheme="minorHAnsi" w:hAnsiTheme="minorHAnsi" w:cstheme="minorHAnsi"/>
          <w:b w:val="0"/>
          <w:sz w:val="20"/>
        </w:rPr>
      </w:pPr>
    </w:p>
    <w:p w:rsidR="002E2014" w:rsidRDefault="002E2014" w:rsidP="00164E92">
      <w:pPr>
        <w:jc w:val="left"/>
        <w:rPr>
          <w:rFonts w:asciiTheme="minorHAnsi" w:hAnsiTheme="minorHAnsi" w:cstheme="minorHAnsi"/>
          <w:b w:val="0"/>
          <w:sz w:val="20"/>
        </w:rPr>
      </w:pPr>
    </w:p>
    <w:sectPr w:rsidR="002E2014" w:rsidSect="0031586A">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5A" w:rsidRDefault="00C7355A" w:rsidP="00B51EA2">
      <w:r>
        <w:separator/>
      </w:r>
    </w:p>
  </w:endnote>
  <w:endnote w:type="continuationSeparator" w:id="0">
    <w:p w:rsidR="00C7355A" w:rsidRDefault="00C7355A" w:rsidP="00B5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7F" w:rsidRPr="0070343C" w:rsidRDefault="00473D7F">
    <w:pPr>
      <w:pStyle w:val="Voettekst"/>
      <w:jc w:val="right"/>
      <w:rPr>
        <w:b w:val="0"/>
        <w:sz w:val="20"/>
      </w:rPr>
    </w:pPr>
  </w:p>
  <w:p w:rsidR="00473D7F" w:rsidRDefault="00473D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681119"/>
      <w:docPartObj>
        <w:docPartGallery w:val="Page Numbers (Bottom of Page)"/>
        <w:docPartUnique/>
      </w:docPartObj>
    </w:sdtPr>
    <w:sdtEndPr/>
    <w:sdtContent>
      <w:p w:rsidR="00473D7F" w:rsidRDefault="00473D7F">
        <w:pPr>
          <w:pStyle w:val="Voettekst"/>
          <w:jc w:val="right"/>
        </w:pPr>
        <w:r w:rsidRPr="008620BD">
          <w:rPr>
            <w:b w:val="0"/>
            <w:sz w:val="20"/>
          </w:rPr>
          <w:fldChar w:fldCharType="begin"/>
        </w:r>
        <w:r w:rsidRPr="008620BD">
          <w:rPr>
            <w:b w:val="0"/>
            <w:sz w:val="20"/>
          </w:rPr>
          <w:instrText>PAGE   \* MERGEFORMAT</w:instrText>
        </w:r>
        <w:r w:rsidRPr="008620BD">
          <w:rPr>
            <w:b w:val="0"/>
            <w:sz w:val="20"/>
          </w:rPr>
          <w:fldChar w:fldCharType="separate"/>
        </w:r>
        <w:r w:rsidR="0018162E">
          <w:rPr>
            <w:b w:val="0"/>
            <w:noProof/>
            <w:sz w:val="20"/>
          </w:rPr>
          <w:t>2</w:t>
        </w:r>
        <w:r w:rsidRPr="008620BD">
          <w:rPr>
            <w:b w:val="0"/>
            <w:sz w:val="20"/>
          </w:rPr>
          <w:fldChar w:fldCharType="end"/>
        </w:r>
      </w:p>
    </w:sdtContent>
  </w:sdt>
  <w:p w:rsidR="00473D7F" w:rsidRDefault="00473D7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75101"/>
      <w:docPartObj>
        <w:docPartGallery w:val="Page Numbers (Bottom of Page)"/>
        <w:docPartUnique/>
      </w:docPartObj>
    </w:sdtPr>
    <w:sdtEndPr/>
    <w:sdtContent>
      <w:p w:rsidR="00473D7F" w:rsidRDefault="00473D7F">
        <w:pPr>
          <w:pStyle w:val="Voettekst"/>
          <w:jc w:val="right"/>
        </w:pPr>
        <w:r w:rsidRPr="00E7434D">
          <w:rPr>
            <w:b w:val="0"/>
            <w:sz w:val="20"/>
          </w:rPr>
          <w:fldChar w:fldCharType="begin"/>
        </w:r>
        <w:r w:rsidRPr="00E7434D">
          <w:rPr>
            <w:b w:val="0"/>
            <w:sz w:val="20"/>
          </w:rPr>
          <w:instrText>PAGE   \* MERGEFORMAT</w:instrText>
        </w:r>
        <w:r w:rsidRPr="00E7434D">
          <w:rPr>
            <w:b w:val="0"/>
            <w:sz w:val="20"/>
          </w:rPr>
          <w:fldChar w:fldCharType="separate"/>
        </w:r>
        <w:r w:rsidR="0018162E">
          <w:rPr>
            <w:b w:val="0"/>
            <w:noProof/>
            <w:sz w:val="20"/>
          </w:rPr>
          <w:t>1</w:t>
        </w:r>
        <w:r w:rsidRPr="00E7434D">
          <w:rPr>
            <w:b w:val="0"/>
            <w:sz w:val="20"/>
          </w:rPr>
          <w:fldChar w:fldCharType="end"/>
        </w:r>
      </w:p>
    </w:sdtContent>
  </w:sdt>
  <w:p w:rsidR="00473D7F" w:rsidRDefault="00473D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5A" w:rsidRDefault="00C7355A" w:rsidP="00B51EA2">
      <w:r>
        <w:separator/>
      </w:r>
    </w:p>
  </w:footnote>
  <w:footnote w:type="continuationSeparator" w:id="0">
    <w:p w:rsidR="00C7355A" w:rsidRDefault="00C7355A" w:rsidP="00B51EA2">
      <w:r>
        <w:continuationSeparator/>
      </w:r>
    </w:p>
  </w:footnote>
  <w:footnote w:id="1">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17 februari 1995, ECLI:NL:HR:1995:ZC1641.</w:t>
      </w:r>
    </w:p>
  </w:footnote>
  <w:footnote w:id="2">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Bakels</w:t>
      </w:r>
      <w:proofErr w:type="spellEnd"/>
      <w:r w:rsidRPr="00A97C36">
        <w:rPr>
          <w:rFonts w:asciiTheme="minorHAnsi" w:hAnsiTheme="minorHAnsi" w:cstheme="minorHAnsi"/>
          <w:b w:val="0"/>
        </w:rPr>
        <w:t xml:space="preserve"> en Van </w:t>
      </w:r>
      <w:proofErr w:type="spellStart"/>
      <w:r w:rsidRPr="00A97C36">
        <w:rPr>
          <w:rFonts w:asciiTheme="minorHAnsi" w:hAnsiTheme="minorHAnsi" w:cstheme="minorHAnsi"/>
          <w:b w:val="0"/>
        </w:rPr>
        <w:t>Buchem-Spapens</w:t>
      </w:r>
      <w:proofErr w:type="spellEnd"/>
      <w:r w:rsidRPr="00A97C36">
        <w:rPr>
          <w:rFonts w:asciiTheme="minorHAnsi" w:hAnsiTheme="minorHAnsi" w:cstheme="minorHAnsi"/>
          <w:b w:val="0"/>
        </w:rPr>
        <w:t xml:space="preserve">, </w:t>
      </w:r>
      <w:r w:rsidRPr="00A97C36">
        <w:rPr>
          <w:rFonts w:asciiTheme="minorHAnsi" w:hAnsiTheme="minorHAnsi" w:cstheme="minorHAnsi"/>
          <w:b w:val="0"/>
          <w:i/>
        </w:rPr>
        <w:t xml:space="preserve">NJB </w:t>
      </w:r>
      <w:r w:rsidRPr="00A97C36">
        <w:rPr>
          <w:rFonts w:asciiTheme="minorHAnsi" w:hAnsiTheme="minorHAnsi" w:cstheme="minorHAnsi"/>
          <w:b w:val="0"/>
        </w:rPr>
        <w:t>2013/1551</w:t>
      </w:r>
      <w:r w:rsidRPr="00A97C36">
        <w:rPr>
          <w:rFonts w:asciiTheme="minorHAnsi" w:hAnsiTheme="minorHAnsi" w:cstheme="minorHAnsi"/>
          <w:b w:val="0"/>
          <w:i/>
        </w:rPr>
        <w:t>.</w:t>
      </w:r>
    </w:p>
  </w:footnote>
  <w:footnote w:id="3">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20 maart 2015, ECLI:NL:HR:2015:689.</w:t>
      </w:r>
    </w:p>
  </w:footnote>
  <w:footnote w:id="4">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16 juni 2000, ECLI:NL:HR:2000:AA6234.</w:t>
      </w:r>
    </w:p>
  </w:footnote>
  <w:footnote w:id="5">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Verstijlen</w:t>
      </w:r>
      <w:proofErr w:type="spellEnd"/>
      <w:r w:rsidRPr="00A97C36">
        <w:rPr>
          <w:rFonts w:asciiTheme="minorHAnsi" w:hAnsiTheme="minorHAnsi" w:cstheme="minorHAnsi"/>
          <w:b w:val="0"/>
        </w:rPr>
        <w:t xml:space="preserve">, in: </w:t>
      </w:r>
      <w:r w:rsidRPr="00A97C36">
        <w:rPr>
          <w:rFonts w:asciiTheme="minorHAnsi" w:hAnsiTheme="minorHAnsi" w:cstheme="minorHAnsi"/>
          <w:b w:val="0"/>
          <w:i/>
        </w:rPr>
        <w:t xml:space="preserve">T&amp;C art. 42 </w:t>
      </w:r>
      <w:proofErr w:type="spellStart"/>
      <w:r w:rsidRPr="00A97C36">
        <w:rPr>
          <w:rFonts w:asciiTheme="minorHAnsi" w:hAnsiTheme="minorHAnsi" w:cstheme="minorHAnsi"/>
          <w:b w:val="0"/>
          <w:i/>
        </w:rPr>
        <w:t>Fw</w:t>
      </w:r>
      <w:proofErr w:type="spellEnd"/>
      <w:r w:rsidRPr="00A97C36">
        <w:rPr>
          <w:rFonts w:asciiTheme="minorHAnsi" w:hAnsiTheme="minorHAnsi" w:cstheme="minorHAnsi"/>
          <w:b w:val="0"/>
        </w:rPr>
        <w:t>.</w:t>
      </w:r>
    </w:p>
  </w:footnote>
  <w:footnote w:id="6">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w:t>
      </w:r>
      <w:proofErr w:type="spellStart"/>
      <w:r w:rsidRPr="00A97C36">
        <w:rPr>
          <w:rFonts w:asciiTheme="minorHAnsi" w:hAnsiTheme="minorHAnsi" w:cstheme="minorHAnsi"/>
          <w:b w:val="0"/>
        </w:rPr>
        <w:t>Verstijlen</w:t>
      </w:r>
      <w:proofErr w:type="spellEnd"/>
      <w:r w:rsidRPr="00A97C36">
        <w:rPr>
          <w:rFonts w:asciiTheme="minorHAnsi" w:hAnsiTheme="minorHAnsi" w:cstheme="minorHAnsi"/>
          <w:b w:val="0"/>
        </w:rPr>
        <w:t xml:space="preserve">, in: </w:t>
      </w:r>
      <w:r w:rsidRPr="00A97C36">
        <w:rPr>
          <w:rFonts w:asciiTheme="minorHAnsi" w:hAnsiTheme="minorHAnsi" w:cstheme="minorHAnsi"/>
          <w:b w:val="0"/>
          <w:i/>
        </w:rPr>
        <w:t xml:space="preserve">T&amp;C art. 47 </w:t>
      </w:r>
      <w:proofErr w:type="spellStart"/>
      <w:r w:rsidRPr="00A97C36">
        <w:rPr>
          <w:rFonts w:asciiTheme="minorHAnsi" w:hAnsiTheme="minorHAnsi" w:cstheme="minorHAnsi"/>
          <w:b w:val="0"/>
          <w:i/>
        </w:rPr>
        <w:t>Fw</w:t>
      </w:r>
      <w:proofErr w:type="spellEnd"/>
      <w:r w:rsidRPr="00A97C36">
        <w:rPr>
          <w:rFonts w:asciiTheme="minorHAnsi" w:hAnsiTheme="minorHAnsi" w:cstheme="minorHAnsi"/>
          <w:b w:val="0"/>
        </w:rPr>
        <w:t>.</w:t>
      </w:r>
    </w:p>
  </w:footnote>
  <w:footnote w:id="7">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w:t>
      </w:r>
      <w:proofErr w:type="spellStart"/>
      <w:r w:rsidRPr="00A97C36">
        <w:rPr>
          <w:rFonts w:asciiTheme="minorHAnsi" w:hAnsiTheme="minorHAnsi" w:cstheme="minorHAnsi"/>
          <w:b w:val="0"/>
        </w:rPr>
        <w:t>Verstijlen</w:t>
      </w:r>
      <w:proofErr w:type="spellEnd"/>
      <w:r w:rsidRPr="00A97C36">
        <w:rPr>
          <w:rFonts w:asciiTheme="minorHAnsi" w:hAnsiTheme="minorHAnsi" w:cstheme="minorHAnsi"/>
          <w:b w:val="0"/>
        </w:rPr>
        <w:t xml:space="preserve">, in: </w:t>
      </w:r>
      <w:r w:rsidRPr="00A97C36">
        <w:rPr>
          <w:rFonts w:asciiTheme="minorHAnsi" w:hAnsiTheme="minorHAnsi" w:cstheme="minorHAnsi"/>
          <w:b w:val="0"/>
          <w:i/>
        </w:rPr>
        <w:t xml:space="preserve">T&amp;C art. 53 </w:t>
      </w:r>
      <w:proofErr w:type="spellStart"/>
      <w:r w:rsidRPr="00A97C36">
        <w:rPr>
          <w:rFonts w:asciiTheme="minorHAnsi" w:hAnsiTheme="minorHAnsi" w:cstheme="minorHAnsi"/>
          <w:b w:val="0"/>
          <w:i/>
        </w:rPr>
        <w:t>Fw</w:t>
      </w:r>
      <w:proofErr w:type="spellEnd"/>
      <w:r w:rsidRPr="00A97C36">
        <w:rPr>
          <w:rFonts w:asciiTheme="minorHAnsi" w:hAnsiTheme="minorHAnsi" w:cstheme="minorHAnsi"/>
          <w:b w:val="0"/>
        </w:rPr>
        <w:t>.</w:t>
      </w:r>
    </w:p>
  </w:footnote>
  <w:footnote w:id="8">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Gubbels</w:t>
      </w:r>
      <w:proofErr w:type="spellEnd"/>
      <w:r w:rsidRPr="00A97C36">
        <w:rPr>
          <w:rFonts w:asciiTheme="minorHAnsi" w:hAnsiTheme="minorHAnsi" w:cstheme="minorHAnsi"/>
          <w:b w:val="0"/>
        </w:rPr>
        <w:t xml:space="preserve"> 2017, Pandrecht.</w:t>
      </w:r>
    </w:p>
  </w:footnote>
  <w:footnote w:id="9">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Gubbels</w:t>
      </w:r>
      <w:proofErr w:type="spellEnd"/>
      <w:r w:rsidRPr="00A97C36">
        <w:rPr>
          <w:rFonts w:asciiTheme="minorHAnsi" w:hAnsiTheme="minorHAnsi" w:cstheme="minorHAnsi"/>
          <w:b w:val="0"/>
        </w:rPr>
        <w:t xml:space="preserve"> 2017, Pandrecht.</w:t>
      </w:r>
    </w:p>
  </w:footnote>
  <w:footnote w:id="10">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r w:rsidRPr="00A97C36">
        <w:rPr>
          <w:rFonts w:asciiTheme="minorHAnsi" w:hAnsiTheme="minorHAnsi" w:cstheme="minorHAnsi"/>
          <w:b w:val="0"/>
          <w:spacing w:val="-3"/>
        </w:rPr>
        <w:t xml:space="preserve">Snijders en Rank-Berenschot 2011, </w:t>
      </w:r>
      <w:r w:rsidRPr="00A97C36">
        <w:rPr>
          <w:rFonts w:asciiTheme="minorHAnsi" w:hAnsiTheme="minorHAnsi" w:cstheme="minorHAnsi"/>
          <w:b w:val="0"/>
        </w:rPr>
        <w:t>p. 448.</w:t>
      </w:r>
    </w:p>
  </w:footnote>
  <w:footnote w:id="11">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Stein, </w:t>
      </w:r>
      <w:r w:rsidRPr="00A97C36">
        <w:rPr>
          <w:rFonts w:asciiTheme="minorHAnsi" w:hAnsiTheme="minorHAnsi" w:cstheme="minorHAnsi"/>
          <w:b w:val="0"/>
          <w:i/>
        </w:rPr>
        <w:t>GS</w:t>
      </w:r>
      <w:r w:rsidRPr="00A97C36">
        <w:rPr>
          <w:rFonts w:asciiTheme="minorHAnsi" w:hAnsiTheme="minorHAnsi" w:cstheme="minorHAnsi"/>
          <w:b w:val="0"/>
        </w:rPr>
        <w:t xml:space="preserve"> 2016, </w:t>
      </w:r>
      <w:proofErr w:type="spellStart"/>
      <w:r w:rsidRPr="00A97C36">
        <w:rPr>
          <w:rFonts w:asciiTheme="minorHAnsi" w:hAnsiTheme="minorHAnsi" w:cstheme="minorHAnsi"/>
          <w:b w:val="0"/>
        </w:rPr>
        <w:t>aant</w:t>
      </w:r>
      <w:proofErr w:type="spellEnd"/>
      <w:r w:rsidRPr="00A97C36">
        <w:rPr>
          <w:rFonts w:asciiTheme="minorHAnsi" w:hAnsiTheme="minorHAnsi" w:cstheme="minorHAnsi"/>
          <w:b w:val="0"/>
        </w:rPr>
        <w:t>. 6.6.</w:t>
      </w:r>
    </w:p>
  </w:footnote>
  <w:footnote w:id="12">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Keirse</w:t>
      </w:r>
      <w:proofErr w:type="spellEnd"/>
      <w:r w:rsidRPr="00A97C36">
        <w:rPr>
          <w:rFonts w:asciiTheme="minorHAnsi" w:hAnsiTheme="minorHAnsi" w:cstheme="minorHAnsi"/>
          <w:b w:val="0"/>
        </w:rPr>
        <w:t xml:space="preserve"> en </w:t>
      </w:r>
      <w:proofErr w:type="spellStart"/>
      <w:r w:rsidRPr="00A97C36">
        <w:rPr>
          <w:rFonts w:asciiTheme="minorHAnsi" w:hAnsiTheme="minorHAnsi" w:cstheme="minorHAnsi"/>
          <w:b w:val="0"/>
        </w:rPr>
        <w:t>Beukersn</w:t>
      </w:r>
      <w:proofErr w:type="spellEnd"/>
      <w:r w:rsidRPr="00A97C36">
        <w:rPr>
          <w:rFonts w:asciiTheme="minorHAnsi" w:hAnsiTheme="minorHAnsi" w:cstheme="minorHAnsi"/>
          <w:b w:val="0"/>
        </w:rPr>
        <w:t xml:space="preserve">, </w:t>
      </w:r>
      <w:r w:rsidRPr="00A97C36">
        <w:rPr>
          <w:rFonts w:asciiTheme="minorHAnsi" w:hAnsiTheme="minorHAnsi" w:cstheme="minorHAnsi"/>
          <w:b w:val="0"/>
          <w:i/>
        </w:rPr>
        <w:t>GS</w:t>
      </w:r>
      <w:r w:rsidRPr="00A97C36">
        <w:rPr>
          <w:rFonts w:asciiTheme="minorHAnsi" w:hAnsiTheme="minorHAnsi" w:cstheme="minorHAnsi"/>
          <w:b w:val="0"/>
        </w:rPr>
        <w:t xml:space="preserve"> 2010, </w:t>
      </w:r>
      <w:proofErr w:type="spellStart"/>
      <w:r w:rsidRPr="00A97C36">
        <w:rPr>
          <w:rFonts w:asciiTheme="minorHAnsi" w:hAnsiTheme="minorHAnsi" w:cstheme="minorHAnsi"/>
          <w:b w:val="0"/>
        </w:rPr>
        <w:t>aant</w:t>
      </w:r>
      <w:proofErr w:type="spellEnd"/>
      <w:r w:rsidRPr="00A97C36">
        <w:rPr>
          <w:rFonts w:asciiTheme="minorHAnsi" w:hAnsiTheme="minorHAnsi" w:cstheme="minorHAnsi"/>
          <w:b w:val="0"/>
        </w:rPr>
        <w:t>. 88.</w:t>
      </w:r>
    </w:p>
  </w:footnote>
  <w:footnote w:id="13">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w:t>
      </w:r>
      <w:proofErr w:type="spellStart"/>
      <w:r w:rsidRPr="00A97C36">
        <w:rPr>
          <w:b w:val="0"/>
        </w:rPr>
        <w:t>K</w:t>
      </w:r>
      <w:r w:rsidRPr="00A97C36">
        <w:rPr>
          <w:rFonts w:asciiTheme="minorHAnsi" w:hAnsiTheme="minorHAnsi" w:cstheme="minorHAnsi"/>
          <w:b w:val="0"/>
        </w:rPr>
        <w:t>eirse</w:t>
      </w:r>
      <w:proofErr w:type="spellEnd"/>
      <w:r w:rsidRPr="00A97C36">
        <w:rPr>
          <w:rFonts w:asciiTheme="minorHAnsi" w:hAnsiTheme="minorHAnsi" w:cstheme="minorHAnsi"/>
          <w:b w:val="0"/>
        </w:rPr>
        <w:t xml:space="preserve"> en </w:t>
      </w:r>
      <w:proofErr w:type="spellStart"/>
      <w:r w:rsidRPr="00A97C36">
        <w:rPr>
          <w:rFonts w:asciiTheme="minorHAnsi" w:hAnsiTheme="minorHAnsi" w:cstheme="minorHAnsi"/>
          <w:b w:val="0"/>
        </w:rPr>
        <w:t>Beukersn</w:t>
      </w:r>
      <w:proofErr w:type="spellEnd"/>
      <w:r w:rsidRPr="00A97C36">
        <w:rPr>
          <w:rFonts w:asciiTheme="minorHAnsi" w:hAnsiTheme="minorHAnsi" w:cstheme="minorHAnsi"/>
          <w:b w:val="0"/>
        </w:rPr>
        <w:t xml:space="preserve">, </w:t>
      </w:r>
      <w:r w:rsidRPr="00A97C36">
        <w:rPr>
          <w:rFonts w:asciiTheme="minorHAnsi" w:hAnsiTheme="minorHAnsi" w:cstheme="minorHAnsi"/>
          <w:b w:val="0"/>
          <w:i/>
        </w:rPr>
        <w:t>GS</w:t>
      </w:r>
      <w:r w:rsidRPr="00A97C36">
        <w:rPr>
          <w:rFonts w:asciiTheme="minorHAnsi" w:hAnsiTheme="minorHAnsi" w:cstheme="minorHAnsi"/>
          <w:b w:val="0"/>
        </w:rPr>
        <w:t xml:space="preserve"> 2010, </w:t>
      </w:r>
      <w:proofErr w:type="spellStart"/>
      <w:r w:rsidRPr="00A97C36">
        <w:rPr>
          <w:rFonts w:asciiTheme="minorHAnsi" w:hAnsiTheme="minorHAnsi" w:cstheme="minorHAnsi"/>
          <w:b w:val="0"/>
        </w:rPr>
        <w:t>aant</w:t>
      </w:r>
      <w:proofErr w:type="spellEnd"/>
      <w:r w:rsidRPr="00A97C36">
        <w:rPr>
          <w:rFonts w:asciiTheme="minorHAnsi" w:hAnsiTheme="minorHAnsi" w:cstheme="minorHAnsi"/>
          <w:b w:val="0"/>
        </w:rPr>
        <w:t>. 90.4.</w:t>
      </w:r>
    </w:p>
  </w:footnote>
  <w:footnote w:id="14">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Brinkman, </w:t>
      </w:r>
      <w:r w:rsidRPr="00A97C36">
        <w:rPr>
          <w:rFonts w:asciiTheme="minorHAnsi" w:hAnsiTheme="minorHAnsi" w:cstheme="minorHAnsi"/>
          <w:b w:val="0"/>
          <w:i/>
        </w:rPr>
        <w:t>V&amp;O</w:t>
      </w:r>
      <w:r w:rsidRPr="00A97C36">
        <w:rPr>
          <w:rFonts w:asciiTheme="minorHAnsi" w:hAnsiTheme="minorHAnsi" w:cstheme="minorHAnsi"/>
          <w:b w:val="0"/>
        </w:rPr>
        <w:t xml:space="preserve"> 2007, p. 95 en 96.</w:t>
      </w:r>
    </w:p>
  </w:footnote>
  <w:footnote w:id="15">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Buchem</w:t>
      </w:r>
      <w:proofErr w:type="spellEnd"/>
      <w:r w:rsidRPr="00A97C36">
        <w:rPr>
          <w:rFonts w:asciiTheme="minorHAnsi" w:hAnsiTheme="minorHAnsi" w:cstheme="minorHAnsi"/>
          <w:b w:val="0"/>
        </w:rPr>
        <w:t xml:space="preserve"> en De Man, </w:t>
      </w:r>
      <w:r w:rsidRPr="00A97C36">
        <w:rPr>
          <w:rFonts w:asciiTheme="minorHAnsi" w:hAnsiTheme="minorHAnsi" w:cstheme="minorHAnsi"/>
          <w:b w:val="0"/>
          <w:i/>
        </w:rPr>
        <w:t>O en F</w:t>
      </w:r>
      <w:r w:rsidRPr="00A97C36">
        <w:rPr>
          <w:rFonts w:asciiTheme="minorHAnsi" w:hAnsiTheme="minorHAnsi" w:cstheme="minorHAnsi"/>
          <w:b w:val="0"/>
        </w:rPr>
        <w:t xml:space="preserve"> 2012, p. 5.</w:t>
      </w:r>
    </w:p>
  </w:footnote>
  <w:footnote w:id="16">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29 juni 2001, ECLI:NL:HR:2001:AB2435.</w:t>
      </w:r>
    </w:p>
  </w:footnote>
  <w:footnote w:id="17">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Van Es, </w:t>
      </w:r>
      <w:r w:rsidRPr="00A97C36">
        <w:rPr>
          <w:rFonts w:asciiTheme="minorHAnsi" w:hAnsiTheme="minorHAnsi" w:cstheme="minorHAnsi"/>
          <w:b w:val="0"/>
          <w:i/>
        </w:rPr>
        <w:t>GS</w:t>
      </w:r>
      <w:r w:rsidRPr="00A97C36">
        <w:rPr>
          <w:rFonts w:asciiTheme="minorHAnsi" w:hAnsiTheme="minorHAnsi" w:cstheme="minorHAnsi"/>
          <w:b w:val="0"/>
        </w:rPr>
        <w:t xml:space="preserve"> 2013, </w:t>
      </w:r>
      <w:proofErr w:type="spellStart"/>
      <w:r w:rsidRPr="00A97C36">
        <w:rPr>
          <w:rFonts w:asciiTheme="minorHAnsi" w:hAnsiTheme="minorHAnsi" w:cstheme="minorHAnsi"/>
          <w:b w:val="0"/>
        </w:rPr>
        <w:t>aant</w:t>
      </w:r>
      <w:proofErr w:type="spellEnd"/>
      <w:r w:rsidRPr="00A97C36">
        <w:rPr>
          <w:rFonts w:asciiTheme="minorHAnsi" w:hAnsiTheme="minorHAnsi" w:cstheme="minorHAnsi"/>
          <w:b w:val="0"/>
        </w:rPr>
        <w:t>. 11.</w:t>
      </w:r>
    </w:p>
  </w:footnote>
  <w:footnote w:id="18">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Stein, </w:t>
      </w:r>
      <w:r w:rsidRPr="00A97C36">
        <w:rPr>
          <w:rFonts w:asciiTheme="minorHAnsi" w:hAnsiTheme="minorHAnsi" w:cstheme="minorHAnsi"/>
          <w:b w:val="0"/>
          <w:i/>
        </w:rPr>
        <w:t>GS</w:t>
      </w:r>
      <w:r w:rsidRPr="00A97C36">
        <w:rPr>
          <w:rFonts w:asciiTheme="minorHAnsi" w:hAnsiTheme="minorHAnsi" w:cstheme="minorHAnsi"/>
          <w:b w:val="0"/>
        </w:rPr>
        <w:t xml:space="preserve"> 2016, </w:t>
      </w:r>
      <w:proofErr w:type="spellStart"/>
      <w:r w:rsidRPr="00A97C36">
        <w:rPr>
          <w:rFonts w:asciiTheme="minorHAnsi" w:hAnsiTheme="minorHAnsi" w:cstheme="minorHAnsi"/>
          <w:b w:val="0"/>
        </w:rPr>
        <w:t>aant</w:t>
      </w:r>
      <w:proofErr w:type="spellEnd"/>
      <w:r w:rsidRPr="00A97C36">
        <w:rPr>
          <w:rFonts w:asciiTheme="minorHAnsi" w:hAnsiTheme="minorHAnsi" w:cstheme="minorHAnsi"/>
          <w:b w:val="0"/>
        </w:rPr>
        <w:t>. 4.1.1.</w:t>
      </w:r>
    </w:p>
  </w:footnote>
  <w:footnote w:id="19">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19 november 2004, ECLI:NL:HR:2004:AQ3055.</w:t>
      </w:r>
    </w:p>
  </w:footnote>
  <w:footnote w:id="20">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r w:rsidRPr="00A97C36">
        <w:rPr>
          <w:rFonts w:asciiTheme="minorHAnsi" w:hAnsiTheme="minorHAnsi" w:cstheme="minorHAnsi"/>
          <w:b w:val="0"/>
          <w:spacing w:val="-3"/>
        </w:rPr>
        <w:t>Snijders en Rank-Berenschot 2011, p</w:t>
      </w:r>
      <w:r w:rsidRPr="00A97C36">
        <w:rPr>
          <w:rFonts w:asciiTheme="minorHAnsi" w:hAnsiTheme="minorHAnsi" w:cstheme="minorHAnsi"/>
          <w:b w:val="0"/>
        </w:rPr>
        <w:t>. 450 en 454.</w:t>
      </w:r>
    </w:p>
  </w:footnote>
  <w:footnote w:id="21">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14 oktober 1994, ECLI:NL:HR:1994:ZC1488.</w:t>
      </w:r>
    </w:p>
  </w:footnote>
  <w:footnote w:id="22">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Buchem</w:t>
      </w:r>
      <w:proofErr w:type="spellEnd"/>
      <w:r w:rsidRPr="00A97C36">
        <w:rPr>
          <w:rFonts w:asciiTheme="minorHAnsi" w:hAnsiTheme="minorHAnsi" w:cstheme="minorHAnsi"/>
          <w:b w:val="0"/>
        </w:rPr>
        <w:t xml:space="preserve"> en De Man, </w:t>
      </w:r>
      <w:r w:rsidRPr="00A97C36">
        <w:rPr>
          <w:rFonts w:asciiTheme="minorHAnsi" w:hAnsiTheme="minorHAnsi" w:cstheme="minorHAnsi"/>
          <w:b w:val="0"/>
          <w:i/>
        </w:rPr>
        <w:t>O en F</w:t>
      </w:r>
      <w:r w:rsidRPr="00A97C36">
        <w:rPr>
          <w:rFonts w:asciiTheme="minorHAnsi" w:hAnsiTheme="minorHAnsi" w:cstheme="minorHAnsi"/>
          <w:b w:val="0"/>
        </w:rPr>
        <w:t xml:space="preserve"> 2012, p. 11.</w:t>
      </w:r>
    </w:p>
  </w:footnote>
  <w:footnote w:id="23">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3 februari 2012, ECLI:NL:HR:2012:BT6947.</w:t>
      </w:r>
    </w:p>
  </w:footnote>
  <w:footnote w:id="24">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17 februari 2012, ECLI:NL:HR:2012:BU6552.</w:t>
      </w:r>
    </w:p>
  </w:footnote>
  <w:footnote w:id="25">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r w:rsidRPr="00A97C36">
        <w:rPr>
          <w:rFonts w:asciiTheme="minorHAnsi" w:hAnsiTheme="minorHAnsi" w:cstheme="minorHAnsi"/>
          <w:b w:val="0"/>
          <w:spacing w:val="-3"/>
        </w:rPr>
        <w:t>Snijders en Rank-Berenschot 2011, p</w:t>
      </w:r>
      <w:r w:rsidRPr="00A97C36">
        <w:rPr>
          <w:rFonts w:asciiTheme="minorHAnsi" w:hAnsiTheme="minorHAnsi" w:cstheme="minorHAnsi"/>
          <w:b w:val="0"/>
        </w:rPr>
        <w:t>. 474.</w:t>
      </w:r>
    </w:p>
  </w:footnote>
  <w:footnote w:id="26">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Veder, </w:t>
      </w:r>
      <w:r w:rsidRPr="00A97C36">
        <w:rPr>
          <w:rFonts w:asciiTheme="minorHAnsi" w:hAnsiTheme="minorHAnsi" w:cstheme="minorHAnsi"/>
          <w:b w:val="0"/>
          <w:i/>
        </w:rPr>
        <w:t xml:space="preserve">Ars </w:t>
      </w:r>
      <w:proofErr w:type="spellStart"/>
      <w:r w:rsidRPr="00A97C36">
        <w:rPr>
          <w:rFonts w:asciiTheme="minorHAnsi" w:hAnsiTheme="minorHAnsi" w:cstheme="minorHAnsi"/>
          <w:b w:val="0"/>
          <w:i/>
        </w:rPr>
        <w:t>Aequi</w:t>
      </w:r>
      <w:proofErr w:type="spellEnd"/>
      <w:r w:rsidRPr="00A97C36">
        <w:rPr>
          <w:rFonts w:asciiTheme="minorHAnsi" w:hAnsiTheme="minorHAnsi" w:cstheme="minorHAnsi"/>
          <w:b w:val="0"/>
        </w:rPr>
        <w:t xml:space="preserve"> 2012, p. 455 – 460.</w:t>
      </w:r>
    </w:p>
  </w:footnote>
  <w:footnote w:id="27">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Huijgen.</w:t>
      </w:r>
    </w:p>
  </w:footnote>
  <w:footnote w:id="28">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r w:rsidRPr="00A97C36">
        <w:rPr>
          <w:rFonts w:asciiTheme="minorHAnsi" w:hAnsiTheme="minorHAnsi" w:cstheme="minorHAnsi"/>
          <w:b w:val="0"/>
          <w:spacing w:val="-3"/>
        </w:rPr>
        <w:t>Snijders en Rank-Berenschot 2011, p</w:t>
      </w:r>
      <w:r w:rsidRPr="00A97C36">
        <w:rPr>
          <w:rFonts w:asciiTheme="minorHAnsi" w:hAnsiTheme="minorHAnsi" w:cstheme="minorHAnsi"/>
          <w:b w:val="0"/>
        </w:rPr>
        <w:t>. 460, 461, 468 en 474.</w:t>
      </w:r>
    </w:p>
  </w:footnote>
  <w:footnote w:id="29">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22 juni 2007, ECLI:NL:HR:2007:BA2511.</w:t>
      </w:r>
    </w:p>
  </w:footnote>
  <w:footnote w:id="30">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HR 17 februari 1995, ECLI:NL:HR:1995:ZC1641. </w:t>
      </w:r>
      <w:proofErr w:type="spellStart"/>
      <w:r w:rsidRPr="00A97C36">
        <w:rPr>
          <w:b w:val="0"/>
        </w:rPr>
        <w:t>r.o.</w:t>
      </w:r>
      <w:proofErr w:type="spellEnd"/>
      <w:r w:rsidRPr="00A97C36">
        <w:rPr>
          <w:b w:val="0"/>
        </w:rPr>
        <w:t xml:space="preserve"> 3.3.2.</w:t>
      </w:r>
    </w:p>
  </w:footnote>
  <w:footnote w:id="31">
    <w:p w:rsidR="00473D7F" w:rsidRPr="00A97C36" w:rsidRDefault="00473D7F" w:rsidP="00A97C36">
      <w:pPr>
        <w:pStyle w:val="Voetnoottekst"/>
        <w:jc w:val="left"/>
        <w:rPr>
          <w:b w:val="0"/>
          <w:color w:val="FF0000"/>
        </w:rPr>
      </w:pPr>
      <w:r w:rsidRPr="00A97C36">
        <w:rPr>
          <w:rStyle w:val="Voetnootmarkering"/>
          <w:b w:val="0"/>
        </w:rPr>
        <w:footnoteRef/>
      </w:r>
      <w:r w:rsidRPr="00A97C36">
        <w:rPr>
          <w:b w:val="0"/>
        </w:rPr>
        <w:t xml:space="preserve"> </w:t>
      </w:r>
      <w:proofErr w:type="spellStart"/>
      <w:r w:rsidRPr="00A97C36">
        <w:rPr>
          <w:b w:val="0"/>
        </w:rPr>
        <w:t>Hartkamp</w:t>
      </w:r>
      <w:proofErr w:type="spellEnd"/>
      <w:r w:rsidRPr="00A97C36">
        <w:rPr>
          <w:b w:val="0"/>
        </w:rPr>
        <w:t xml:space="preserve">, </w:t>
      </w:r>
      <w:r w:rsidRPr="00A97C36">
        <w:rPr>
          <w:b w:val="0"/>
          <w:i/>
        </w:rPr>
        <w:t>NJ</w:t>
      </w:r>
      <w:r w:rsidRPr="00A97C36">
        <w:rPr>
          <w:b w:val="0"/>
        </w:rPr>
        <w:t xml:space="preserve"> 1996, 471, noot 10.</w:t>
      </w:r>
    </w:p>
  </w:footnote>
  <w:footnote w:id="32">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Franken e.a., </w:t>
      </w:r>
      <w:proofErr w:type="spellStart"/>
      <w:r w:rsidRPr="00A97C36">
        <w:rPr>
          <w:b w:val="0"/>
          <w:i/>
        </w:rPr>
        <w:t>Insolad</w:t>
      </w:r>
      <w:proofErr w:type="spellEnd"/>
      <w:r w:rsidRPr="00A97C36">
        <w:rPr>
          <w:b w:val="0"/>
          <w:i/>
        </w:rPr>
        <w:t xml:space="preserve"> Jaarboek</w:t>
      </w:r>
      <w:r w:rsidRPr="00A97C36">
        <w:rPr>
          <w:b w:val="0"/>
        </w:rPr>
        <w:t xml:space="preserve"> 2015 p. 239 en 240.</w:t>
      </w:r>
    </w:p>
  </w:footnote>
  <w:footnote w:id="33">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Houdijk</w:t>
      </w:r>
      <w:proofErr w:type="spellEnd"/>
      <w:r w:rsidRPr="00A97C36">
        <w:rPr>
          <w:rFonts w:asciiTheme="minorHAnsi" w:hAnsiTheme="minorHAnsi" w:cstheme="minorHAnsi"/>
          <w:b w:val="0"/>
        </w:rPr>
        <w:t xml:space="preserve"> en </w:t>
      </w:r>
      <w:proofErr w:type="spellStart"/>
      <w:r w:rsidRPr="00A97C36">
        <w:rPr>
          <w:rFonts w:asciiTheme="minorHAnsi" w:hAnsiTheme="minorHAnsi" w:cstheme="minorHAnsi"/>
          <w:b w:val="0"/>
        </w:rPr>
        <w:t>Breeman</w:t>
      </w:r>
      <w:proofErr w:type="spellEnd"/>
      <w:r w:rsidRPr="00A97C36">
        <w:rPr>
          <w:rFonts w:asciiTheme="minorHAnsi" w:hAnsiTheme="minorHAnsi" w:cstheme="minorHAnsi"/>
          <w:b w:val="0"/>
        </w:rPr>
        <w:t xml:space="preserve">, </w:t>
      </w:r>
      <w:r w:rsidRPr="00A97C36">
        <w:rPr>
          <w:rFonts w:asciiTheme="minorHAnsi" w:hAnsiTheme="minorHAnsi" w:cstheme="minorHAnsi"/>
          <w:b w:val="0"/>
          <w:i/>
        </w:rPr>
        <w:t>TFZI</w:t>
      </w:r>
      <w:r w:rsidRPr="00A97C36">
        <w:rPr>
          <w:rFonts w:asciiTheme="minorHAnsi" w:hAnsiTheme="minorHAnsi" w:cstheme="minorHAnsi"/>
          <w:b w:val="0"/>
        </w:rPr>
        <w:t xml:space="preserve"> 2016, p. 41.</w:t>
      </w:r>
    </w:p>
  </w:footnote>
  <w:footnote w:id="34">
    <w:p w:rsidR="00473D7F" w:rsidRPr="00A97C36" w:rsidRDefault="00473D7F" w:rsidP="00A97C36">
      <w:pPr>
        <w:pStyle w:val="Voetnoottekst"/>
        <w:jc w:val="left"/>
        <w:rPr>
          <w:rFonts w:asciiTheme="minorHAnsi" w:hAnsiTheme="minorHAnsi" w:cstheme="minorHAnsi"/>
          <w:b w:val="0"/>
          <w:lang w:val="en-US"/>
        </w:rPr>
      </w:pPr>
      <w:r w:rsidRPr="00A97C36">
        <w:rPr>
          <w:rStyle w:val="Voetnootmarkering"/>
          <w:rFonts w:asciiTheme="minorHAnsi" w:hAnsiTheme="minorHAnsi" w:cstheme="minorHAnsi"/>
          <w:b w:val="0"/>
        </w:rPr>
        <w:footnoteRef/>
      </w:r>
      <w:r w:rsidRPr="00A97C36">
        <w:rPr>
          <w:rFonts w:asciiTheme="minorHAnsi" w:hAnsiTheme="minorHAnsi" w:cstheme="minorHAnsi"/>
          <w:b w:val="0"/>
          <w:lang w:val="en-US"/>
        </w:rPr>
        <w:t xml:space="preserve"> Out,  </w:t>
      </w:r>
      <w:r w:rsidRPr="00A97C36">
        <w:rPr>
          <w:rFonts w:asciiTheme="minorHAnsi" w:hAnsiTheme="minorHAnsi" w:cstheme="minorHAnsi"/>
          <w:b w:val="0"/>
          <w:i/>
          <w:lang w:val="en-US"/>
        </w:rPr>
        <w:t>University of Groningen</w:t>
      </w:r>
      <w:r w:rsidRPr="00A97C36">
        <w:rPr>
          <w:rFonts w:asciiTheme="minorHAnsi" w:hAnsiTheme="minorHAnsi" w:cstheme="minorHAnsi"/>
          <w:b w:val="0"/>
          <w:lang w:val="en-US"/>
        </w:rPr>
        <w:t xml:space="preserve"> 2003, p. 85-87.</w:t>
      </w:r>
    </w:p>
  </w:footnote>
  <w:footnote w:id="35">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Huijgen.</w:t>
      </w:r>
    </w:p>
  </w:footnote>
  <w:footnote w:id="36">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Huijgen.</w:t>
      </w:r>
    </w:p>
  </w:footnote>
  <w:footnote w:id="37">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r w:rsidRPr="00A97C36">
        <w:rPr>
          <w:rFonts w:asciiTheme="minorHAnsi" w:hAnsiTheme="minorHAnsi" w:cstheme="minorHAnsi"/>
          <w:b w:val="0"/>
          <w:spacing w:val="-3"/>
        </w:rPr>
        <w:t>Snijders en Rank-Berenschot 2011, p</w:t>
      </w:r>
      <w:r w:rsidRPr="00A97C36">
        <w:rPr>
          <w:rFonts w:asciiTheme="minorHAnsi" w:hAnsiTheme="minorHAnsi" w:cstheme="minorHAnsi"/>
          <w:b w:val="0"/>
        </w:rPr>
        <w:t>. 469.</w:t>
      </w:r>
    </w:p>
  </w:footnote>
  <w:footnote w:id="38">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Buchem</w:t>
      </w:r>
      <w:proofErr w:type="spellEnd"/>
      <w:r w:rsidRPr="00A97C36">
        <w:rPr>
          <w:rFonts w:asciiTheme="minorHAnsi" w:hAnsiTheme="minorHAnsi" w:cstheme="minorHAnsi"/>
          <w:b w:val="0"/>
        </w:rPr>
        <w:t xml:space="preserve"> en De Man, </w:t>
      </w:r>
      <w:r w:rsidRPr="00A97C36">
        <w:rPr>
          <w:rFonts w:asciiTheme="minorHAnsi" w:hAnsiTheme="minorHAnsi" w:cstheme="minorHAnsi"/>
          <w:b w:val="0"/>
          <w:i/>
        </w:rPr>
        <w:t>O en F</w:t>
      </w:r>
      <w:r w:rsidRPr="00A97C36">
        <w:rPr>
          <w:rFonts w:asciiTheme="minorHAnsi" w:hAnsiTheme="minorHAnsi" w:cstheme="minorHAnsi"/>
          <w:b w:val="0"/>
        </w:rPr>
        <w:t xml:space="preserve"> 2012, p. 10.</w:t>
      </w:r>
    </w:p>
  </w:footnote>
  <w:footnote w:id="39">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3 februari 2012, ECLI:NL:HR:2012:BT6947.</w:t>
      </w:r>
    </w:p>
  </w:footnote>
  <w:footnote w:id="40">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3 februari 2012, ECLI:NL:HR:2012:BT6947.</w:t>
      </w:r>
    </w:p>
  </w:footnote>
  <w:footnote w:id="41">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Roffel, </w:t>
      </w:r>
      <w:r w:rsidRPr="00A97C36">
        <w:rPr>
          <w:b w:val="0"/>
          <w:i/>
        </w:rPr>
        <w:t>TVI</w:t>
      </w:r>
      <w:r w:rsidRPr="00A97C36">
        <w:rPr>
          <w:b w:val="0"/>
        </w:rPr>
        <w:t xml:space="preserve"> 2012/16, </w:t>
      </w:r>
      <w:proofErr w:type="spellStart"/>
      <w:r w:rsidRPr="00A97C36">
        <w:rPr>
          <w:b w:val="0"/>
        </w:rPr>
        <w:t>aant</w:t>
      </w:r>
      <w:proofErr w:type="spellEnd"/>
      <w:r w:rsidRPr="00A97C36">
        <w:rPr>
          <w:b w:val="0"/>
        </w:rPr>
        <w:t>. 5.</w:t>
      </w:r>
    </w:p>
  </w:footnote>
  <w:footnote w:id="42">
    <w:p w:rsidR="00473D7F" w:rsidRPr="00A97C36" w:rsidRDefault="00473D7F" w:rsidP="00A97C36">
      <w:pPr>
        <w:pStyle w:val="Voetnoottekst"/>
        <w:jc w:val="left"/>
        <w:rPr>
          <w:rFonts w:asciiTheme="minorHAnsi" w:hAnsiTheme="minorHAnsi" w:cstheme="minorHAnsi"/>
          <w:b w:val="0"/>
          <w:shd w:val="clear" w:color="auto" w:fill="FFFFFF"/>
          <w:lang w:val="en-US"/>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Rank, </w:t>
      </w:r>
      <w:r w:rsidRPr="00A97C36">
        <w:rPr>
          <w:rFonts w:asciiTheme="minorHAnsi" w:hAnsiTheme="minorHAnsi" w:cstheme="minorHAnsi"/>
          <w:b w:val="0"/>
          <w:i/>
        </w:rPr>
        <w:t>GS</w:t>
      </w:r>
      <w:r w:rsidRPr="00A97C36">
        <w:rPr>
          <w:rFonts w:asciiTheme="minorHAnsi" w:hAnsiTheme="minorHAnsi" w:cstheme="minorHAnsi"/>
          <w:b w:val="0"/>
        </w:rPr>
        <w:t xml:space="preserve"> 1993, </w:t>
      </w:r>
      <w:proofErr w:type="spellStart"/>
      <w:r w:rsidRPr="00A97C36">
        <w:rPr>
          <w:rFonts w:asciiTheme="minorHAnsi" w:hAnsiTheme="minorHAnsi" w:cstheme="minorHAnsi"/>
          <w:b w:val="0"/>
        </w:rPr>
        <w:t>aant</w:t>
      </w:r>
      <w:proofErr w:type="spellEnd"/>
      <w:r w:rsidRPr="00A97C36">
        <w:rPr>
          <w:rFonts w:asciiTheme="minorHAnsi" w:hAnsiTheme="minorHAnsi" w:cstheme="minorHAnsi"/>
          <w:b w:val="0"/>
        </w:rPr>
        <w:t xml:space="preserve">. </w:t>
      </w:r>
      <w:r w:rsidRPr="00A97C36">
        <w:rPr>
          <w:rFonts w:asciiTheme="minorHAnsi" w:hAnsiTheme="minorHAnsi" w:cstheme="minorHAnsi"/>
          <w:b w:val="0"/>
          <w:lang w:val="en-US"/>
        </w:rPr>
        <w:t>1.</w:t>
      </w:r>
    </w:p>
  </w:footnote>
  <w:footnote w:id="43">
    <w:p w:rsidR="00473D7F" w:rsidRPr="00A97C36" w:rsidRDefault="00473D7F" w:rsidP="00A97C36">
      <w:pPr>
        <w:pStyle w:val="Voetnoottekst"/>
        <w:jc w:val="left"/>
        <w:rPr>
          <w:rFonts w:asciiTheme="minorHAnsi" w:hAnsiTheme="minorHAnsi" w:cstheme="minorHAnsi"/>
          <w:b w:val="0"/>
          <w:lang w:val="en-US"/>
        </w:rPr>
      </w:pPr>
      <w:r w:rsidRPr="00A97C36">
        <w:rPr>
          <w:rStyle w:val="Voetnootmarkering"/>
          <w:rFonts w:asciiTheme="minorHAnsi" w:hAnsiTheme="minorHAnsi" w:cstheme="minorHAnsi"/>
          <w:b w:val="0"/>
        </w:rPr>
        <w:footnoteRef/>
      </w:r>
      <w:r w:rsidRPr="00A97C36">
        <w:rPr>
          <w:rFonts w:asciiTheme="minorHAnsi" w:hAnsiTheme="minorHAnsi" w:cstheme="minorHAnsi"/>
          <w:b w:val="0"/>
          <w:lang w:val="en-US"/>
        </w:rPr>
        <w:t xml:space="preserve"> </w:t>
      </w:r>
      <w:proofErr w:type="spellStart"/>
      <w:r w:rsidRPr="00A97C36">
        <w:rPr>
          <w:rFonts w:asciiTheme="minorHAnsi" w:hAnsiTheme="minorHAnsi" w:cstheme="minorHAnsi"/>
          <w:b w:val="0"/>
          <w:lang w:val="en-US"/>
        </w:rPr>
        <w:t>Creditcard</w:t>
      </w:r>
      <w:proofErr w:type="spellEnd"/>
      <w:r w:rsidRPr="00A97C36">
        <w:rPr>
          <w:rFonts w:asciiTheme="minorHAnsi" w:hAnsiTheme="minorHAnsi" w:cstheme="minorHAnsi"/>
          <w:b w:val="0"/>
          <w:lang w:val="en-US"/>
        </w:rPr>
        <w:t xml:space="preserve"> 2017.</w:t>
      </w:r>
    </w:p>
  </w:footnote>
  <w:footnote w:id="44">
    <w:p w:rsidR="00473D7F" w:rsidRPr="00A97C36" w:rsidRDefault="00473D7F" w:rsidP="00A97C36">
      <w:pPr>
        <w:pStyle w:val="Voetnoottekst"/>
        <w:jc w:val="left"/>
        <w:rPr>
          <w:rFonts w:asciiTheme="minorHAnsi" w:hAnsiTheme="minorHAnsi" w:cstheme="minorHAnsi"/>
          <w:b w:val="0"/>
          <w:lang w:val="en-US"/>
        </w:rPr>
      </w:pPr>
      <w:r w:rsidRPr="00A97C36">
        <w:rPr>
          <w:rStyle w:val="Voetnootmarkering"/>
          <w:rFonts w:asciiTheme="minorHAnsi" w:hAnsiTheme="minorHAnsi" w:cstheme="minorHAnsi"/>
          <w:b w:val="0"/>
        </w:rPr>
        <w:footnoteRef/>
      </w:r>
      <w:r w:rsidRPr="00A97C36">
        <w:rPr>
          <w:rFonts w:asciiTheme="minorHAnsi" w:hAnsiTheme="minorHAnsi" w:cstheme="minorHAnsi"/>
          <w:b w:val="0"/>
          <w:lang w:val="en-US"/>
        </w:rPr>
        <w:t xml:space="preserve"> </w:t>
      </w:r>
      <w:proofErr w:type="spellStart"/>
      <w:r w:rsidRPr="00A97C36">
        <w:rPr>
          <w:rFonts w:asciiTheme="minorHAnsi" w:hAnsiTheme="minorHAnsi" w:cstheme="minorHAnsi"/>
          <w:b w:val="0"/>
          <w:lang w:val="en-US"/>
        </w:rPr>
        <w:t>Hijma</w:t>
      </w:r>
      <w:proofErr w:type="spellEnd"/>
      <w:r w:rsidRPr="00A97C36">
        <w:rPr>
          <w:rFonts w:asciiTheme="minorHAnsi" w:hAnsiTheme="minorHAnsi" w:cstheme="minorHAnsi"/>
          <w:b w:val="0"/>
          <w:lang w:val="en-US"/>
        </w:rPr>
        <w:t xml:space="preserve">, </w:t>
      </w:r>
      <w:r w:rsidRPr="00A97C36">
        <w:rPr>
          <w:rFonts w:asciiTheme="minorHAnsi" w:hAnsiTheme="minorHAnsi" w:cstheme="minorHAnsi"/>
          <w:b w:val="0"/>
          <w:i/>
          <w:lang w:val="en-US"/>
        </w:rPr>
        <w:t>Asser/</w:t>
      </w:r>
      <w:proofErr w:type="spellStart"/>
      <w:r w:rsidRPr="00A97C36">
        <w:rPr>
          <w:rFonts w:asciiTheme="minorHAnsi" w:hAnsiTheme="minorHAnsi" w:cstheme="minorHAnsi"/>
          <w:b w:val="0"/>
          <w:i/>
          <w:lang w:val="en-US"/>
        </w:rPr>
        <w:t>Hijma</w:t>
      </w:r>
      <w:proofErr w:type="spellEnd"/>
      <w:r w:rsidRPr="00A97C36">
        <w:rPr>
          <w:rFonts w:asciiTheme="minorHAnsi" w:hAnsiTheme="minorHAnsi" w:cstheme="minorHAnsi"/>
          <w:b w:val="0"/>
          <w:lang w:val="en-US"/>
        </w:rPr>
        <w:t xml:space="preserve"> 5-I 2007/565.</w:t>
      </w:r>
      <w:r w:rsidR="00C7355A">
        <w:fldChar w:fldCharType="begin"/>
      </w:r>
      <w:r w:rsidR="00C7355A" w:rsidRPr="009C37F8">
        <w:rPr>
          <w:lang w:val="en-US"/>
        </w:rPr>
        <w:instrText xml:space="preserve"> HYPERLINK "https://www.navigator.nl/document/inod9df9abf4124200139a9344503c881d2a?ctx=WKNL_CSL_1572" </w:instrText>
      </w:r>
      <w:r w:rsidR="00C7355A">
        <w:fldChar w:fldCharType="separate"/>
      </w:r>
      <w:r w:rsidR="00C7355A">
        <w:fldChar w:fldCharType="end"/>
      </w:r>
      <w:r w:rsidRPr="00A97C36">
        <w:rPr>
          <w:rFonts w:asciiTheme="minorHAnsi" w:hAnsiTheme="minorHAnsi" w:cstheme="minorHAnsi"/>
          <w:b w:val="0"/>
          <w:lang w:val="en-US"/>
        </w:rPr>
        <w:t xml:space="preserve"> </w:t>
      </w:r>
    </w:p>
  </w:footnote>
  <w:footnote w:id="45">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w:t>
      </w:r>
      <w:proofErr w:type="spellStart"/>
      <w:r w:rsidRPr="00A97C36">
        <w:rPr>
          <w:b w:val="0"/>
        </w:rPr>
        <w:t>Hijma</w:t>
      </w:r>
      <w:proofErr w:type="spellEnd"/>
      <w:r w:rsidRPr="00A97C36">
        <w:rPr>
          <w:b w:val="0"/>
        </w:rPr>
        <w:t xml:space="preserve"> &amp; </w:t>
      </w:r>
      <w:proofErr w:type="spellStart"/>
      <w:r w:rsidRPr="00A97C36">
        <w:rPr>
          <w:b w:val="0"/>
        </w:rPr>
        <w:t>Olthof</w:t>
      </w:r>
      <w:proofErr w:type="spellEnd"/>
      <w:r w:rsidRPr="00A97C36">
        <w:rPr>
          <w:b w:val="0"/>
        </w:rPr>
        <w:t xml:space="preserve"> 2014, p. 231 en 337.</w:t>
      </w:r>
    </w:p>
  </w:footnote>
  <w:footnote w:id="46">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17 februari 1995, ECLI:NL:HR:1995:ZC1641.</w:t>
      </w:r>
    </w:p>
  </w:footnote>
  <w:footnote w:id="47">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Rabobank 2017.</w:t>
      </w:r>
    </w:p>
  </w:footnote>
  <w:footnote w:id="48">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ING 2017. </w:t>
      </w:r>
    </w:p>
  </w:footnote>
  <w:footnote w:id="49">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ABN AMRO 2017. </w:t>
      </w:r>
    </w:p>
  </w:footnote>
  <w:footnote w:id="50">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Rijksoverheid 2013.</w:t>
      </w:r>
    </w:p>
  </w:footnote>
  <w:footnote w:id="51">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3 februari 2012, ECLI:NL:HR:2012:BT6947.</w:t>
      </w:r>
    </w:p>
  </w:footnote>
  <w:footnote w:id="52">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14 oktober 1994, ECLI:NL:HR:1994:ZC1488.</w:t>
      </w:r>
    </w:p>
  </w:footnote>
  <w:footnote w:id="53">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Belastingdienst 21 maart 2017.</w:t>
      </w:r>
    </w:p>
  </w:footnote>
  <w:footnote w:id="54">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Beenders</w:t>
      </w:r>
      <w:proofErr w:type="spellEnd"/>
      <w:r w:rsidRPr="00A97C36">
        <w:rPr>
          <w:rFonts w:asciiTheme="minorHAnsi" w:hAnsiTheme="minorHAnsi" w:cstheme="minorHAnsi"/>
          <w:b w:val="0"/>
        </w:rPr>
        <w:t xml:space="preserve"> 2015</w:t>
      </w:r>
      <w:r w:rsidRPr="00A97C36">
        <w:rPr>
          <w:rFonts w:asciiTheme="minorHAnsi" w:hAnsiTheme="minorHAnsi" w:cstheme="minorHAnsi"/>
          <w:b w:val="0"/>
          <w:shd w:val="clear" w:color="auto" w:fill="FFFFFF"/>
        </w:rPr>
        <w:t>.</w:t>
      </w:r>
    </w:p>
  </w:footnote>
  <w:footnote w:id="55">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Belastingdienst 23 maart 2017.</w:t>
      </w:r>
    </w:p>
  </w:footnote>
  <w:footnote w:id="56">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Klomp, </w:t>
      </w:r>
      <w:r w:rsidRPr="00A97C36">
        <w:rPr>
          <w:b w:val="0"/>
          <w:i/>
        </w:rPr>
        <w:t>GS</w:t>
      </w:r>
      <w:r w:rsidRPr="00A97C36">
        <w:rPr>
          <w:b w:val="0"/>
        </w:rPr>
        <w:t xml:space="preserve"> 2009, </w:t>
      </w:r>
      <w:proofErr w:type="spellStart"/>
      <w:r w:rsidRPr="00A97C36">
        <w:rPr>
          <w:b w:val="0"/>
        </w:rPr>
        <w:t>aant</w:t>
      </w:r>
      <w:proofErr w:type="spellEnd"/>
      <w:r w:rsidRPr="00A97C36">
        <w:rPr>
          <w:b w:val="0"/>
        </w:rPr>
        <w:t>. 1.</w:t>
      </w:r>
    </w:p>
  </w:footnote>
  <w:footnote w:id="57">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Klomp, </w:t>
      </w:r>
      <w:r w:rsidRPr="00A97C36">
        <w:rPr>
          <w:b w:val="0"/>
          <w:i/>
        </w:rPr>
        <w:t>GS</w:t>
      </w:r>
      <w:r w:rsidRPr="00A97C36">
        <w:rPr>
          <w:b w:val="0"/>
        </w:rPr>
        <w:t xml:space="preserve"> 2009, </w:t>
      </w:r>
      <w:proofErr w:type="spellStart"/>
      <w:r w:rsidRPr="00A97C36">
        <w:rPr>
          <w:b w:val="0"/>
        </w:rPr>
        <w:t>aant</w:t>
      </w:r>
      <w:proofErr w:type="spellEnd"/>
      <w:r w:rsidRPr="00A97C36">
        <w:rPr>
          <w:b w:val="0"/>
        </w:rPr>
        <w:t>. 3.</w:t>
      </w:r>
    </w:p>
  </w:footnote>
  <w:footnote w:id="58">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Klomp, </w:t>
      </w:r>
      <w:r w:rsidRPr="00A97C36">
        <w:rPr>
          <w:b w:val="0"/>
          <w:i/>
        </w:rPr>
        <w:t>GS</w:t>
      </w:r>
      <w:r w:rsidRPr="00A97C36">
        <w:rPr>
          <w:b w:val="0"/>
        </w:rPr>
        <w:t xml:space="preserve"> 2009, </w:t>
      </w:r>
      <w:proofErr w:type="spellStart"/>
      <w:r w:rsidRPr="00A97C36">
        <w:rPr>
          <w:b w:val="0"/>
        </w:rPr>
        <w:t>aant</w:t>
      </w:r>
      <w:proofErr w:type="spellEnd"/>
      <w:r w:rsidRPr="00A97C36">
        <w:rPr>
          <w:b w:val="0"/>
        </w:rPr>
        <w:t>. 9.</w:t>
      </w:r>
    </w:p>
  </w:footnote>
  <w:footnote w:id="59">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Klomp, </w:t>
      </w:r>
      <w:r w:rsidRPr="00A97C36">
        <w:rPr>
          <w:b w:val="0"/>
          <w:i/>
        </w:rPr>
        <w:t>GS</w:t>
      </w:r>
      <w:r w:rsidRPr="00A97C36">
        <w:rPr>
          <w:b w:val="0"/>
        </w:rPr>
        <w:t xml:space="preserve"> 2009, </w:t>
      </w:r>
      <w:proofErr w:type="spellStart"/>
      <w:r w:rsidRPr="00A97C36">
        <w:rPr>
          <w:b w:val="0"/>
        </w:rPr>
        <w:t>aant</w:t>
      </w:r>
      <w:proofErr w:type="spellEnd"/>
      <w:r w:rsidRPr="00A97C36">
        <w:rPr>
          <w:b w:val="0"/>
        </w:rPr>
        <w:t>. 11.</w:t>
      </w:r>
    </w:p>
  </w:footnote>
  <w:footnote w:id="60">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Klomp, </w:t>
      </w:r>
      <w:r w:rsidRPr="00A97C36">
        <w:rPr>
          <w:b w:val="0"/>
          <w:i/>
        </w:rPr>
        <w:t>GS</w:t>
      </w:r>
      <w:r w:rsidRPr="00A97C36">
        <w:rPr>
          <w:b w:val="0"/>
        </w:rPr>
        <w:t xml:space="preserve"> 2009, </w:t>
      </w:r>
      <w:proofErr w:type="spellStart"/>
      <w:r w:rsidRPr="00A97C36">
        <w:rPr>
          <w:b w:val="0"/>
        </w:rPr>
        <w:t>aant</w:t>
      </w:r>
      <w:proofErr w:type="spellEnd"/>
      <w:r w:rsidRPr="00A97C36">
        <w:rPr>
          <w:b w:val="0"/>
        </w:rPr>
        <w:t>. 17.</w:t>
      </w:r>
    </w:p>
  </w:footnote>
  <w:footnote w:id="61">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Klomp, </w:t>
      </w:r>
      <w:r w:rsidRPr="00A97C36">
        <w:rPr>
          <w:b w:val="0"/>
          <w:i/>
        </w:rPr>
        <w:t>GS</w:t>
      </w:r>
      <w:r w:rsidRPr="00A97C36">
        <w:rPr>
          <w:b w:val="0"/>
        </w:rPr>
        <w:t xml:space="preserve"> 2009, </w:t>
      </w:r>
      <w:proofErr w:type="spellStart"/>
      <w:r w:rsidRPr="00A97C36">
        <w:rPr>
          <w:b w:val="0"/>
        </w:rPr>
        <w:t>aant</w:t>
      </w:r>
      <w:proofErr w:type="spellEnd"/>
      <w:r w:rsidRPr="00A97C36">
        <w:rPr>
          <w:b w:val="0"/>
        </w:rPr>
        <w:t>. 15.</w:t>
      </w:r>
    </w:p>
  </w:footnote>
  <w:footnote w:id="62">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b w:val="0"/>
        </w:rPr>
        <w:t>Gubbels</w:t>
      </w:r>
      <w:proofErr w:type="spellEnd"/>
      <w:r w:rsidRPr="00A97C36">
        <w:rPr>
          <w:b w:val="0"/>
        </w:rPr>
        <w:t xml:space="preserve"> 2017, Verrekening.</w:t>
      </w:r>
    </w:p>
  </w:footnote>
  <w:footnote w:id="63">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Rank in: </w:t>
      </w:r>
      <w:r w:rsidRPr="00A97C36">
        <w:rPr>
          <w:rFonts w:asciiTheme="minorHAnsi" w:hAnsiTheme="minorHAnsi" w:cstheme="minorHAnsi"/>
          <w:b w:val="0"/>
          <w:i/>
        </w:rPr>
        <w:t>T&amp;C art. 6:127 BW.</w:t>
      </w:r>
    </w:p>
  </w:footnote>
  <w:footnote w:id="64">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Klomp, </w:t>
      </w:r>
      <w:r w:rsidRPr="00A97C36">
        <w:rPr>
          <w:b w:val="0"/>
          <w:i/>
        </w:rPr>
        <w:t>GS</w:t>
      </w:r>
      <w:r w:rsidRPr="00A97C36">
        <w:rPr>
          <w:b w:val="0"/>
        </w:rPr>
        <w:t xml:space="preserve"> 2009, </w:t>
      </w:r>
      <w:proofErr w:type="spellStart"/>
      <w:r w:rsidRPr="00A97C36">
        <w:rPr>
          <w:b w:val="0"/>
        </w:rPr>
        <w:t>aant</w:t>
      </w:r>
      <w:proofErr w:type="spellEnd"/>
      <w:r w:rsidRPr="00A97C36">
        <w:rPr>
          <w:b w:val="0"/>
        </w:rPr>
        <w:t>. 16.</w:t>
      </w:r>
    </w:p>
  </w:footnote>
  <w:footnote w:id="65">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Klomp, </w:t>
      </w:r>
      <w:r w:rsidRPr="00A97C36">
        <w:rPr>
          <w:b w:val="0"/>
          <w:i/>
        </w:rPr>
        <w:t>GS</w:t>
      </w:r>
      <w:r w:rsidRPr="00A97C36">
        <w:rPr>
          <w:b w:val="0"/>
        </w:rPr>
        <w:t xml:space="preserve"> 2009, </w:t>
      </w:r>
      <w:proofErr w:type="spellStart"/>
      <w:r w:rsidRPr="00A97C36">
        <w:rPr>
          <w:b w:val="0"/>
        </w:rPr>
        <w:t>aant</w:t>
      </w:r>
      <w:proofErr w:type="spellEnd"/>
      <w:r w:rsidRPr="00A97C36">
        <w:rPr>
          <w:b w:val="0"/>
        </w:rPr>
        <w:t>. 10.</w:t>
      </w:r>
    </w:p>
  </w:footnote>
  <w:footnote w:id="66">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Hartkamp</w:t>
      </w:r>
      <w:proofErr w:type="spellEnd"/>
      <w:r w:rsidRPr="00A97C36">
        <w:rPr>
          <w:rFonts w:asciiTheme="minorHAnsi" w:hAnsiTheme="minorHAnsi" w:cstheme="minorHAnsi"/>
          <w:b w:val="0"/>
        </w:rPr>
        <w:t xml:space="preserve"> en </w:t>
      </w:r>
      <w:proofErr w:type="spellStart"/>
      <w:r w:rsidRPr="00A97C36">
        <w:rPr>
          <w:rFonts w:asciiTheme="minorHAnsi" w:hAnsiTheme="minorHAnsi" w:cstheme="minorHAnsi"/>
          <w:b w:val="0"/>
        </w:rPr>
        <w:t>Sieburgh</w:t>
      </w:r>
      <w:proofErr w:type="spellEnd"/>
      <w:r w:rsidRPr="00A97C36">
        <w:rPr>
          <w:rFonts w:asciiTheme="minorHAnsi" w:hAnsiTheme="minorHAnsi" w:cstheme="minorHAnsi"/>
          <w:b w:val="0"/>
        </w:rPr>
        <w:t xml:space="preserve">, </w:t>
      </w:r>
      <w:r w:rsidRPr="00A97C36">
        <w:rPr>
          <w:rFonts w:asciiTheme="minorHAnsi" w:hAnsiTheme="minorHAnsi" w:cstheme="minorHAnsi"/>
          <w:b w:val="0"/>
          <w:i/>
        </w:rPr>
        <w:t>Asser/</w:t>
      </w:r>
      <w:proofErr w:type="spellStart"/>
      <w:r w:rsidRPr="00A97C36">
        <w:rPr>
          <w:rFonts w:asciiTheme="minorHAnsi" w:hAnsiTheme="minorHAnsi" w:cstheme="minorHAnsi"/>
          <w:b w:val="0"/>
          <w:i/>
        </w:rPr>
        <w:t>Hartkamp</w:t>
      </w:r>
      <w:proofErr w:type="spellEnd"/>
      <w:r w:rsidRPr="00A97C36">
        <w:rPr>
          <w:rFonts w:asciiTheme="minorHAnsi" w:hAnsiTheme="minorHAnsi" w:cstheme="minorHAnsi"/>
          <w:b w:val="0"/>
          <w:i/>
        </w:rPr>
        <w:t xml:space="preserve"> &amp; </w:t>
      </w:r>
      <w:proofErr w:type="spellStart"/>
      <w:r w:rsidRPr="00A97C36">
        <w:rPr>
          <w:rFonts w:asciiTheme="minorHAnsi" w:hAnsiTheme="minorHAnsi" w:cstheme="minorHAnsi"/>
          <w:b w:val="0"/>
          <w:i/>
        </w:rPr>
        <w:t>Sieburgh</w:t>
      </w:r>
      <w:proofErr w:type="spellEnd"/>
      <w:r w:rsidRPr="00A97C36">
        <w:rPr>
          <w:rFonts w:asciiTheme="minorHAnsi" w:hAnsiTheme="minorHAnsi" w:cstheme="minorHAnsi"/>
          <w:b w:val="0"/>
          <w:i/>
        </w:rPr>
        <w:t xml:space="preserve"> </w:t>
      </w:r>
      <w:r w:rsidRPr="00A97C36">
        <w:rPr>
          <w:rFonts w:asciiTheme="minorHAnsi" w:hAnsiTheme="minorHAnsi" w:cstheme="minorHAnsi"/>
          <w:b w:val="0"/>
        </w:rPr>
        <w:t>6-II 2013/250.</w:t>
      </w:r>
    </w:p>
  </w:footnote>
  <w:footnote w:id="67">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Reehuis</w:t>
      </w:r>
      <w:proofErr w:type="spellEnd"/>
      <w:r w:rsidRPr="00A97C36">
        <w:rPr>
          <w:rFonts w:asciiTheme="minorHAnsi" w:hAnsiTheme="minorHAnsi" w:cstheme="minorHAnsi"/>
          <w:b w:val="0"/>
        </w:rPr>
        <w:t xml:space="preserve"> en Slob 1991, p. 1197.</w:t>
      </w:r>
    </w:p>
  </w:footnote>
  <w:footnote w:id="68">
    <w:p w:rsidR="00473D7F" w:rsidRPr="00A97C36" w:rsidRDefault="00473D7F" w:rsidP="00A97C36">
      <w:pPr>
        <w:jc w:val="left"/>
        <w:rPr>
          <w:rFonts w:asciiTheme="minorHAnsi" w:hAnsiTheme="minorHAnsi" w:cstheme="minorHAnsi"/>
          <w:b w:val="0"/>
          <w:sz w:val="20"/>
          <w:szCs w:val="20"/>
        </w:rPr>
      </w:pPr>
      <w:r w:rsidRPr="00A97C36">
        <w:rPr>
          <w:rStyle w:val="Voetnootmarkering"/>
          <w:rFonts w:asciiTheme="minorHAnsi" w:hAnsiTheme="minorHAnsi" w:cstheme="minorHAnsi"/>
          <w:b w:val="0"/>
          <w:sz w:val="20"/>
          <w:szCs w:val="20"/>
        </w:rPr>
        <w:footnoteRef/>
      </w:r>
      <w:r w:rsidRPr="00A97C36">
        <w:rPr>
          <w:rFonts w:asciiTheme="minorHAnsi" w:hAnsiTheme="minorHAnsi" w:cstheme="minorHAnsi"/>
          <w:b w:val="0"/>
          <w:sz w:val="20"/>
          <w:szCs w:val="20"/>
        </w:rPr>
        <w:t xml:space="preserve"> HR 17 februari 1995, ECLI:NL:HR:1995:ZC1641.</w:t>
      </w:r>
    </w:p>
  </w:footnote>
  <w:footnote w:id="69">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De Boon, </w:t>
      </w:r>
      <w:r w:rsidRPr="00A97C36">
        <w:rPr>
          <w:b w:val="0"/>
          <w:i/>
        </w:rPr>
        <w:t>Trouw</w:t>
      </w:r>
      <w:r w:rsidRPr="00A97C36">
        <w:rPr>
          <w:b w:val="0"/>
        </w:rPr>
        <w:t xml:space="preserve"> 2015.</w:t>
      </w:r>
    </w:p>
  </w:footnote>
  <w:footnote w:id="70">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Van Hees, </w:t>
      </w:r>
      <w:proofErr w:type="spellStart"/>
      <w:r w:rsidRPr="00A97C36">
        <w:rPr>
          <w:rFonts w:asciiTheme="minorHAnsi" w:hAnsiTheme="minorHAnsi" w:cstheme="minorHAnsi"/>
          <w:b w:val="0"/>
          <w:i/>
        </w:rPr>
        <w:t>TvI</w:t>
      </w:r>
      <w:proofErr w:type="spellEnd"/>
      <w:r w:rsidRPr="00A97C36">
        <w:rPr>
          <w:rFonts w:asciiTheme="minorHAnsi" w:hAnsiTheme="minorHAnsi" w:cstheme="minorHAnsi"/>
          <w:b w:val="0"/>
        </w:rPr>
        <w:t xml:space="preserve"> 2004, 45, afl. 5.</w:t>
      </w:r>
    </w:p>
  </w:footnote>
  <w:footnote w:id="71">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Gubbels</w:t>
      </w:r>
      <w:proofErr w:type="spellEnd"/>
      <w:r w:rsidRPr="00A97C36">
        <w:rPr>
          <w:rFonts w:asciiTheme="minorHAnsi" w:hAnsiTheme="minorHAnsi" w:cstheme="minorHAnsi"/>
          <w:b w:val="0"/>
        </w:rPr>
        <w:t xml:space="preserve"> 2017, Faillissement.</w:t>
      </w:r>
    </w:p>
  </w:footnote>
  <w:footnote w:id="72">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Dank 2015. </w:t>
      </w:r>
    </w:p>
  </w:footnote>
  <w:footnote w:id="73">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20 maart 2015, ECLI:NL:HR:2015:689.</w:t>
      </w:r>
    </w:p>
  </w:footnote>
  <w:footnote w:id="74">
    <w:p w:rsidR="00473D7F" w:rsidRPr="00A97C36" w:rsidRDefault="00473D7F" w:rsidP="00A97C36">
      <w:pPr>
        <w:pStyle w:val="Voetnoottekst"/>
        <w:jc w:val="left"/>
        <w:rPr>
          <w:b w:val="0"/>
          <w:lang w:val="en-US"/>
        </w:rPr>
      </w:pPr>
      <w:r w:rsidRPr="00A97C36">
        <w:rPr>
          <w:rStyle w:val="Voetnootmarkering"/>
          <w:b w:val="0"/>
        </w:rPr>
        <w:footnoteRef/>
      </w:r>
      <w:r w:rsidRPr="00A97C36">
        <w:rPr>
          <w:b w:val="0"/>
          <w:lang w:val="en-US"/>
        </w:rPr>
        <w:t xml:space="preserve"> Rank in: </w:t>
      </w:r>
      <w:r w:rsidRPr="00A97C36">
        <w:rPr>
          <w:b w:val="0"/>
          <w:i/>
          <w:lang w:val="en-US"/>
        </w:rPr>
        <w:t>T&amp;C art. 6:114 BW</w:t>
      </w:r>
      <w:r w:rsidRPr="00A97C36">
        <w:rPr>
          <w:b w:val="0"/>
          <w:lang w:val="en-US"/>
        </w:rPr>
        <w:t>.</w:t>
      </w:r>
    </w:p>
  </w:footnote>
  <w:footnote w:id="75">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Van Sint Truiden 2016.</w:t>
      </w:r>
    </w:p>
  </w:footnote>
  <w:footnote w:id="76">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Verdaas</w:t>
      </w:r>
      <w:proofErr w:type="spellEnd"/>
      <w:r w:rsidRPr="00A97C36">
        <w:rPr>
          <w:rFonts w:asciiTheme="minorHAnsi" w:hAnsiTheme="minorHAnsi" w:cstheme="minorHAnsi"/>
          <w:b w:val="0"/>
        </w:rPr>
        <w:t xml:space="preserve">, </w:t>
      </w:r>
      <w:r w:rsidRPr="00A97C36">
        <w:rPr>
          <w:rFonts w:asciiTheme="minorHAnsi" w:hAnsiTheme="minorHAnsi" w:cstheme="minorHAnsi"/>
          <w:b w:val="0"/>
          <w:i/>
        </w:rPr>
        <w:t>GS</w:t>
      </w:r>
      <w:r w:rsidRPr="00A97C36">
        <w:rPr>
          <w:rFonts w:asciiTheme="minorHAnsi" w:hAnsiTheme="minorHAnsi" w:cstheme="minorHAnsi"/>
          <w:b w:val="0"/>
        </w:rPr>
        <w:t xml:space="preserve"> 2016, </w:t>
      </w:r>
      <w:proofErr w:type="spellStart"/>
      <w:r w:rsidRPr="00A97C36">
        <w:rPr>
          <w:rFonts w:asciiTheme="minorHAnsi" w:hAnsiTheme="minorHAnsi" w:cstheme="minorHAnsi"/>
          <w:b w:val="0"/>
        </w:rPr>
        <w:t>aant</w:t>
      </w:r>
      <w:proofErr w:type="spellEnd"/>
      <w:r w:rsidRPr="00A97C36">
        <w:rPr>
          <w:rFonts w:asciiTheme="minorHAnsi" w:hAnsiTheme="minorHAnsi" w:cstheme="minorHAnsi"/>
          <w:b w:val="0"/>
        </w:rPr>
        <w:t>. 2.</w:t>
      </w:r>
    </w:p>
  </w:footnote>
  <w:footnote w:id="77">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Wessels, </w:t>
      </w:r>
      <w:proofErr w:type="spellStart"/>
      <w:r w:rsidRPr="00A97C36">
        <w:rPr>
          <w:b w:val="0"/>
          <w:i/>
        </w:rPr>
        <w:t>NTvH</w:t>
      </w:r>
      <w:proofErr w:type="spellEnd"/>
      <w:r w:rsidRPr="00A97C36">
        <w:rPr>
          <w:b w:val="0"/>
        </w:rPr>
        <w:t xml:space="preserve"> 2015-5, p. 240 – 244.</w:t>
      </w:r>
    </w:p>
  </w:footnote>
  <w:footnote w:id="78">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r w:rsidRPr="00A97C36">
        <w:rPr>
          <w:rFonts w:asciiTheme="minorHAnsi" w:hAnsiTheme="minorHAnsi" w:cstheme="minorHAnsi"/>
          <w:b w:val="0"/>
          <w:bCs w:val="0"/>
        </w:rPr>
        <w:t>Faber 2005, p. 307.</w:t>
      </w:r>
    </w:p>
  </w:footnote>
  <w:footnote w:id="79">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HR 7 oktober 1988, NJ 1989, 449. </w:t>
      </w:r>
      <w:proofErr w:type="spellStart"/>
      <w:r w:rsidRPr="00A97C36">
        <w:rPr>
          <w:b w:val="0"/>
        </w:rPr>
        <w:t>r.o.</w:t>
      </w:r>
      <w:proofErr w:type="spellEnd"/>
      <w:r w:rsidRPr="00A97C36">
        <w:rPr>
          <w:b w:val="0"/>
        </w:rPr>
        <w:t xml:space="preserve"> 3.3.</w:t>
      </w:r>
    </w:p>
  </w:footnote>
  <w:footnote w:id="80">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HR 8 juli 1987, NJ 1988, 104. </w:t>
      </w:r>
      <w:proofErr w:type="spellStart"/>
      <w:r w:rsidRPr="00A97C36">
        <w:rPr>
          <w:b w:val="0"/>
        </w:rPr>
        <w:t>r.o.</w:t>
      </w:r>
      <w:proofErr w:type="spellEnd"/>
      <w:r w:rsidRPr="00A97C36">
        <w:rPr>
          <w:b w:val="0"/>
        </w:rPr>
        <w:t xml:space="preserve"> 3.4.</w:t>
      </w:r>
    </w:p>
  </w:footnote>
  <w:footnote w:id="81">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Gubbels</w:t>
      </w:r>
      <w:proofErr w:type="spellEnd"/>
      <w:r w:rsidRPr="00A97C36">
        <w:rPr>
          <w:rFonts w:asciiTheme="minorHAnsi" w:hAnsiTheme="minorHAnsi" w:cstheme="minorHAnsi"/>
          <w:b w:val="0"/>
        </w:rPr>
        <w:t xml:space="preserve"> 2017, </w:t>
      </w:r>
      <w:proofErr w:type="spellStart"/>
      <w:r w:rsidRPr="00A97C36">
        <w:rPr>
          <w:rFonts w:asciiTheme="minorHAnsi" w:hAnsiTheme="minorHAnsi" w:cstheme="minorHAnsi"/>
          <w:b w:val="0"/>
        </w:rPr>
        <w:t>Pauliana</w:t>
      </w:r>
      <w:proofErr w:type="spellEnd"/>
      <w:r w:rsidRPr="00A97C36">
        <w:rPr>
          <w:rFonts w:asciiTheme="minorHAnsi" w:hAnsiTheme="minorHAnsi" w:cstheme="minorHAnsi"/>
          <w:b w:val="0"/>
        </w:rPr>
        <w:t xml:space="preserve">. </w:t>
      </w:r>
    </w:p>
  </w:footnote>
  <w:footnote w:id="82">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Verstijlen</w:t>
      </w:r>
      <w:proofErr w:type="spellEnd"/>
      <w:r w:rsidRPr="00A97C36">
        <w:rPr>
          <w:rFonts w:asciiTheme="minorHAnsi" w:hAnsiTheme="minorHAnsi" w:cstheme="minorHAnsi"/>
          <w:b w:val="0"/>
        </w:rPr>
        <w:t xml:space="preserve">, in: </w:t>
      </w:r>
      <w:r w:rsidRPr="00A97C36">
        <w:rPr>
          <w:rFonts w:asciiTheme="minorHAnsi" w:hAnsiTheme="minorHAnsi" w:cstheme="minorHAnsi"/>
          <w:b w:val="0"/>
          <w:i/>
        </w:rPr>
        <w:t xml:space="preserve">T&amp;C art. 47 </w:t>
      </w:r>
      <w:proofErr w:type="spellStart"/>
      <w:r w:rsidRPr="00A97C36">
        <w:rPr>
          <w:rFonts w:asciiTheme="minorHAnsi" w:hAnsiTheme="minorHAnsi" w:cstheme="minorHAnsi"/>
          <w:b w:val="0"/>
          <w:i/>
        </w:rPr>
        <w:t>Fw</w:t>
      </w:r>
      <w:proofErr w:type="spellEnd"/>
      <w:r w:rsidRPr="00A97C36">
        <w:rPr>
          <w:rFonts w:asciiTheme="minorHAnsi" w:hAnsiTheme="minorHAnsi" w:cstheme="minorHAnsi"/>
          <w:b w:val="0"/>
        </w:rPr>
        <w:t xml:space="preserve">. </w:t>
      </w:r>
    </w:p>
  </w:footnote>
  <w:footnote w:id="83">
    <w:p w:rsidR="00473D7F" w:rsidRPr="00A97C36" w:rsidRDefault="00473D7F" w:rsidP="00A97C36">
      <w:pPr>
        <w:jc w:val="left"/>
        <w:rPr>
          <w:rFonts w:asciiTheme="minorHAnsi" w:hAnsiTheme="minorHAnsi" w:cstheme="minorHAnsi"/>
          <w:b w:val="0"/>
          <w:sz w:val="20"/>
          <w:szCs w:val="20"/>
        </w:rPr>
      </w:pPr>
      <w:r w:rsidRPr="00A97C36">
        <w:rPr>
          <w:rStyle w:val="Voetnootmarkering"/>
          <w:rFonts w:asciiTheme="minorHAnsi" w:hAnsiTheme="minorHAnsi" w:cstheme="minorHAnsi"/>
          <w:b w:val="0"/>
          <w:sz w:val="20"/>
          <w:szCs w:val="20"/>
        </w:rPr>
        <w:footnoteRef/>
      </w:r>
      <w:r w:rsidRPr="00A97C36">
        <w:rPr>
          <w:rFonts w:asciiTheme="minorHAnsi" w:hAnsiTheme="minorHAnsi" w:cstheme="minorHAnsi"/>
          <w:b w:val="0"/>
          <w:sz w:val="20"/>
          <w:szCs w:val="20"/>
        </w:rPr>
        <w:t xml:space="preserve"> </w:t>
      </w:r>
      <w:proofErr w:type="spellStart"/>
      <w:r w:rsidRPr="00A97C36">
        <w:rPr>
          <w:rFonts w:asciiTheme="minorHAnsi" w:hAnsiTheme="minorHAnsi" w:cstheme="minorHAnsi"/>
          <w:b w:val="0"/>
          <w:sz w:val="20"/>
          <w:szCs w:val="20"/>
        </w:rPr>
        <w:t>Wibier</w:t>
      </w:r>
      <w:proofErr w:type="spellEnd"/>
      <w:r w:rsidRPr="00A97C36">
        <w:rPr>
          <w:rFonts w:asciiTheme="minorHAnsi" w:hAnsiTheme="minorHAnsi" w:cstheme="minorHAnsi"/>
          <w:b w:val="0"/>
          <w:sz w:val="20"/>
          <w:szCs w:val="20"/>
        </w:rPr>
        <w:t xml:space="preserve"> en Tilburg, </w:t>
      </w:r>
      <w:proofErr w:type="spellStart"/>
      <w:r w:rsidRPr="00A97C36">
        <w:rPr>
          <w:rFonts w:asciiTheme="minorHAnsi" w:hAnsiTheme="minorHAnsi" w:cstheme="minorHAnsi"/>
          <w:b w:val="0"/>
          <w:i/>
          <w:sz w:val="20"/>
          <w:szCs w:val="20"/>
        </w:rPr>
        <w:t>NTvH</w:t>
      </w:r>
      <w:proofErr w:type="spellEnd"/>
      <w:r w:rsidRPr="00A97C36">
        <w:rPr>
          <w:rFonts w:asciiTheme="minorHAnsi" w:hAnsiTheme="minorHAnsi" w:cstheme="minorHAnsi"/>
          <w:b w:val="0"/>
          <w:sz w:val="20"/>
          <w:szCs w:val="20"/>
        </w:rPr>
        <w:t xml:space="preserve"> 2015-5, p. 251 en 252.</w:t>
      </w:r>
    </w:p>
  </w:footnote>
  <w:footnote w:id="84">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16 juni 2000, ECLI:NL:HR:2000:AA6234.</w:t>
      </w:r>
    </w:p>
  </w:footnote>
  <w:footnote w:id="85">
    <w:p w:rsidR="00473D7F" w:rsidRPr="00A97C36" w:rsidRDefault="00473D7F" w:rsidP="00A97C36">
      <w:pPr>
        <w:pStyle w:val="Voetnoottekst"/>
        <w:jc w:val="left"/>
        <w:rPr>
          <w:rFonts w:asciiTheme="minorHAnsi" w:hAnsiTheme="minorHAnsi" w:cstheme="minorHAnsi"/>
          <w:b w:val="0"/>
          <w:lang w:val="en-US"/>
        </w:rPr>
      </w:pPr>
      <w:r w:rsidRPr="00A97C36">
        <w:rPr>
          <w:rStyle w:val="Voetnootmarkering"/>
          <w:rFonts w:asciiTheme="minorHAnsi" w:hAnsiTheme="minorHAnsi" w:cstheme="minorHAnsi"/>
          <w:b w:val="0"/>
        </w:rPr>
        <w:footnoteRef/>
      </w:r>
      <w:r w:rsidRPr="00A97C36">
        <w:rPr>
          <w:rFonts w:asciiTheme="minorHAnsi" w:hAnsiTheme="minorHAnsi" w:cstheme="minorHAnsi"/>
          <w:b w:val="0"/>
          <w:lang w:val="en-US"/>
        </w:rPr>
        <w:t xml:space="preserve"> HR 1 </w:t>
      </w:r>
      <w:proofErr w:type="spellStart"/>
      <w:r w:rsidRPr="00A97C36">
        <w:rPr>
          <w:rFonts w:asciiTheme="minorHAnsi" w:hAnsiTheme="minorHAnsi" w:cstheme="minorHAnsi"/>
          <w:b w:val="0"/>
          <w:lang w:val="en-US"/>
        </w:rPr>
        <w:t>februari</w:t>
      </w:r>
      <w:proofErr w:type="spellEnd"/>
      <w:r w:rsidRPr="00A97C36">
        <w:rPr>
          <w:rFonts w:asciiTheme="minorHAnsi" w:hAnsiTheme="minorHAnsi" w:cstheme="minorHAnsi"/>
          <w:b w:val="0"/>
          <w:lang w:val="en-US"/>
        </w:rPr>
        <w:t xml:space="preserve"> 2013, ECLI:NL:HR:2013:BY4134. </w:t>
      </w:r>
      <w:proofErr w:type="spellStart"/>
      <w:r w:rsidRPr="00A97C36">
        <w:rPr>
          <w:rFonts w:asciiTheme="minorHAnsi" w:hAnsiTheme="minorHAnsi" w:cstheme="minorHAnsi"/>
          <w:b w:val="0"/>
          <w:lang w:val="en-US"/>
        </w:rPr>
        <w:t>r.o</w:t>
      </w:r>
      <w:proofErr w:type="spellEnd"/>
      <w:r w:rsidRPr="00A97C36">
        <w:rPr>
          <w:rFonts w:asciiTheme="minorHAnsi" w:hAnsiTheme="minorHAnsi" w:cstheme="minorHAnsi"/>
          <w:b w:val="0"/>
          <w:lang w:val="en-US"/>
        </w:rPr>
        <w:t>. 3.83.</w:t>
      </w:r>
    </w:p>
  </w:footnote>
  <w:footnote w:id="86">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w:t>
      </w:r>
      <w:proofErr w:type="spellStart"/>
      <w:r w:rsidRPr="00A97C36">
        <w:rPr>
          <w:b w:val="0"/>
        </w:rPr>
        <w:t>Verdaas</w:t>
      </w:r>
      <w:proofErr w:type="spellEnd"/>
      <w:r w:rsidRPr="00A97C36">
        <w:rPr>
          <w:b w:val="0"/>
        </w:rPr>
        <w:t xml:space="preserve">, </w:t>
      </w:r>
      <w:r w:rsidRPr="00A97C36">
        <w:rPr>
          <w:b w:val="0"/>
          <w:i/>
        </w:rPr>
        <w:t>GS</w:t>
      </w:r>
      <w:r w:rsidRPr="00A97C36">
        <w:rPr>
          <w:b w:val="0"/>
        </w:rPr>
        <w:t xml:space="preserve"> 2016, </w:t>
      </w:r>
      <w:proofErr w:type="spellStart"/>
      <w:r w:rsidRPr="00A97C36">
        <w:rPr>
          <w:b w:val="0"/>
        </w:rPr>
        <w:t>aant</w:t>
      </w:r>
      <w:proofErr w:type="spellEnd"/>
      <w:r w:rsidRPr="00A97C36">
        <w:rPr>
          <w:b w:val="0"/>
        </w:rPr>
        <w:t>. 3.</w:t>
      </w:r>
    </w:p>
  </w:footnote>
  <w:footnote w:id="87">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Wibier</w:t>
      </w:r>
      <w:proofErr w:type="spellEnd"/>
      <w:r w:rsidRPr="00A97C36">
        <w:rPr>
          <w:rFonts w:asciiTheme="minorHAnsi" w:hAnsiTheme="minorHAnsi" w:cstheme="minorHAnsi"/>
          <w:b w:val="0"/>
        </w:rPr>
        <w:t xml:space="preserve"> en Tilburg, </w:t>
      </w:r>
      <w:proofErr w:type="spellStart"/>
      <w:r w:rsidRPr="00A97C36">
        <w:rPr>
          <w:rFonts w:asciiTheme="minorHAnsi" w:hAnsiTheme="minorHAnsi" w:cstheme="minorHAnsi"/>
          <w:b w:val="0"/>
          <w:i/>
        </w:rPr>
        <w:t>NTvH</w:t>
      </w:r>
      <w:proofErr w:type="spellEnd"/>
      <w:r w:rsidRPr="00A97C36">
        <w:rPr>
          <w:rFonts w:asciiTheme="minorHAnsi" w:hAnsiTheme="minorHAnsi" w:cstheme="minorHAnsi"/>
          <w:b w:val="0"/>
        </w:rPr>
        <w:t xml:space="preserve"> 2015-5, p. 249 – 251.</w:t>
      </w:r>
    </w:p>
  </w:footnote>
  <w:footnote w:id="88">
    <w:p w:rsidR="00473D7F" w:rsidRPr="00A97C36" w:rsidRDefault="00473D7F" w:rsidP="00A97C36">
      <w:pPr>
        <w:pStyle w:val="Voetnoottekst"/>
        <w:jc w:val="left"/>
        <w:rPr>
          <w:rFonts w:asciiTheme="minorHAnsi" w:hAnsiTheme="minorHAnsi" w:cstheme="minorHAnsi"/>
          <w:b w:val="0"/>
          <w:lang w:val="en-US"/>
        </w:rPr>
      </w:pPr>
      <w:r w:rsidRPr="00A97C36">
        <w:rPr>
          <w:rStyle w:val="Voetnootmarkering"/>
          <w:rFonts w:asciiTheme="minorHAnsi" w:hAnsiTheme="minorHAnsi" w:cstheme="minorHAnsi"/>
          <w:b w:val="0"/>
        </w:rPr>
        <w:footnoteRef/>
      </w:r>
      <w:r w:rsidRPr="00A97C36">
        <w:rPr>
          <w:rFonts w:asciiTheme="minorHAnsi" w:hAnsiTheme="minorHAnsi" w:cstheme="minorHAnsi"/>
          <w:b w:val="0"/>
          <w:lang w:val="en-US"/>
        </w:rPr>
        <w:t xml:space="preserve"> </w:t>
      </w:r>
      <w:r w:rsidRPr="00A97C36">
        <w:rPr>
          <w:b w:val="0"/>
          <w:lang w:val="en-US"/>
        </w:rPr>
        <w:t xml:space="preserve">Rank in: </w:t>
      </w:r>
      <w:r w:rsidRPr="00A97C36">
        <w:rPr>
          <w:b w:val="0"/>
          <w:i/>
          <w:lang w:val="en-US"/>
        </w:rPr>
        <w:t>T&amp;C art. 6:114 BW</w:t>
      </w:r>
      <w:r w:rsidRPr="00A97C36">
        <w:rPr>
          <w:b w:val="0"/>
          <w:lang w:val="en-US"/>
        </w:rPr>
        <w:t>.</w:t>
      </w:r>
    </w:p>
  </w:footnote>
  <w:footnote w:id="89">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17 februari 2012, ECLI:NL:HR:2012:BU6552.</w:t>
      </w:r>
    </w:p>
  </w:footnote>
  <w:footnote w:id="90">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w:t>
      </w:r>
      <w:proofErr w:type="spellStart"/>
      <w:r w:rsidRPr="00A97C36">
        <w:rPr>
          <w:b w:val="0"/>
        </w:rPr>
        <w:t>Kortmann</w:t>
      </w:r>
      <w:proofErr w:type="spellEnd"/>
      <w:r w:rsidRPr="00A97C36">
        <w:rPr>
          <w:b w:val="0"/>
        </w:rPr>
        <w:t xml:space="preserve">, </w:t>
      </w:r>
      <w:r w:rsidRPr="00A97C36">
        <w:rPr>
          <w:b w:val="0"/>
          <w:i/>
        </w:rPr>
        <w:t>Onderneming en Recht</w:t>
      </w:r>
      <w:r w:rsidRPr="00A97C36">
        <w:rPr>
          <w:b w:val="0"/>
        </w:rPr>
        <w:t xml:space="preserve"> 2002, p. 389 – 407.</w:t>
      </w:r>
    </w:p>
  </w:footnote>
  <w:footnote w:id="91">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w:t>
      </w:r>
      <w:proofErr w:type="spellStart"/>
      <w:r w:rsidRPr="00A97C36">
        <w:rPr>
          <w:b w:val="0"/>
        </w:rPr>
        <w:t>Verdaas</w:t>
      </w:r>
      <w:proofErr w:type="spellEnd"/>
      <w:r w:rsidRPr="00A97C36">
        <w:rPr>
          <w:b w:val="0"/>
        </w:rPr>
        <w:t xml:space="preserve">, </w:t>
      </w:r>
      <w:r w:rsidRPr="00A97C36">
        <w:rPr>
          <w:b w:val="0"/>
          <w:i/>
        </w:rPr>
        <w:t>GS</w:t>
      </w:r>
      <w:r w:rsidRPr="00A97C36">
        <w:rPr>
          <w:b w:val="0"/>
        </w:rPr>
        <w:t xml:space="preserve"> 2016, </w:t>
      </w:r>
      <w:proofErr w:type="spellStart"/>
      <w:r w:rsidRPr="00A97C36">
        <w:rPr>
          <w:b w:val="0"/>
        </w:rPr>
        <w:t>aant</w:t>
      </w:r>
      <w:proofErr w:type="spellEnd"/>
      <w:r w:rsidRPr="00A97C36">
        <w:rPr>
          <w:b w:val="0"/>
        </w:rPr>
        <w:t>. 4.</w:t>
      </w:r>
    </w:p>
  </w:footnote>
  <w:footnote w:id="92">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w:t>
      </w:r>
      <w:proofErr w:type="spellStart"/>
      <w:r w:rsidRPr="00A97C36">
        <w:rPr>
          <w:b w:val="0"/>
        </w:rPr>
        <w:t>Verdaas</w:t>
      </w:r>
      <w:proofErr w:type="spellEnd"/>
      <w:r w:rsidRPr="00A97C36">
        <w:rPr>
          <w:b w:val="0"/>
        </w:rPr>
        <w:t xml:space="preserve">, </w:t>
      </w:r>
      <w:r w:rsidRPr="00A97C36">
        <w:rPr>
          <w:b w:val="0"/>
          <w:i/>
        </w:rPr>
        <w:t>GS</w:t>
      </w:r>
      <w:r w:rsidRPr="00A97C36">
        <w:rPr>
          <w:b w:val="0"/>
        </w:rPr>
        <w:t xml:space="preserve"> 2016, </w:t>
      </w:r>
      <w:proofErr w:type="spellStart"/>
      <w:r w:rsidRPr="00A97C36">
        <w:rPr>
          <w:b w:val="0"/>
        </w:rPr>
        <w:t>aant</w:t>
      </w:r>
      <w:proofErr w:type="spellEnd"/>
      <w:r w:rsidRPr="00A97C36">
        <w:rPr>
          <w:b w:val="0"/>
        </w:rPr>
        <w:t>. 5</w:t>
      </w:r>
    </w:p>
  </w:footnote>
  <w:footnote w:id="93">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w:t>
      </w:r>
      <w:proofErr w:type="spellStart"/>
      <w:r w:rsidRPr="00A97C36">
        <w:rPr>
          <w:b w:val="0"/>
        </w:rPr>
        <w:t>Verdaas</w:t>
      </w:r>
      <w:proofErr w:type="spellEnd"/>
      <w:r w:rsidRPr="00A97C36">
        <w:rPr>
          <w:b w:val="0"/>
        </w:rPr>
        <w:t xml:space="preserve">, </w:t>
      </w:r>
      <w:r w:rsidRPr="00A97C36">
        <w:rPr>
          <w:b w:val="0"/>
          <w:i/>
        </w:rPr>
        <w:t>GS</w:t>
      </w:r>
      <w:r w:rsidRPr="00A97C36">
        <w:rPr>
          <w:b w:val="0"/>
        </w:rPr>
        <w:t xml:space="preserve"> 2016, </w:t>
      </w:r>
      <w:proofErr w:type="spellStart"/>
      <w:r w:rsidRPr="00A97C36">
        <w:rPr>
          <w:b w:val="0"/>
        </w:rPr>
        <w:t>aant</w:t>
      </w:r>
      <w:proofErr w:type="spellEnd"/>
      <w:r w:rsidRPr="00A97C36">
        <w:rPr>
          <w:b w:val="0"/>
        </w:rPr>
        <w:t>. 8.</w:t>
      </w:r>
    </w:p>
  </w:footnote>
  <w:footnote w:id="94">
    <w:p w:rsidR="00473D7F" w:rsidRPr="00A97C36" w:rsidRDefault="00473D7F" w:rsidP="00A97C36">
      <w:pPr>
        <w:pStyle w:val="Voetnoottekst"/>
        <w:jc w:val="left"/>
        <w:rPr>
          <w:rFonts w:asciiTheme="minorHAnsi" w:hAnsiTheme="minorHAnsi" w:cstheme="minorHAnsi"/>
          <w:b w:val="0"/>
          <w:color w:val="FF000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17 februari 1995, ECLI:NL:HR:1995:ZC1641.</w:t>
      </w:r>
    </w:p>
  </w:footnote>
  <w:footnote w:id="95">
    <w:p w:rsidR="00473D7F" w:rsidRPr="00A97C36" w:rsidRDefault="00473D7F" w:rsidP="00A97C36">
      <w:pPr>
        <w:pStyle w:val="Voetnoottekst"/>
        <w:jc w:val="left"/>
        <w:rPr>
          <w:rFonts w:asciiTheme="minorHAnsi" w:hAnsiTheme="minorHAnsi" w:cstheme="minorHAnsi"/>
          <w:b w:val="0"/>
          <w:lang w:val="en-US"/>
        </w:rPr>
      </w:pPr>
      <w:r w:rsidRPr="00A97C36">
        <w:rPr>
          <w:rStyle w:val="Voetnootmarkering"/>
          <w:rFonts w:asciiTheme="minorHAnsi" w:hAnsiTheme="minorHAnsi" w:cstheme="minorHAnsi"/>
          <w:b w:val="0"/>
        </w:rPr>
        <w:footnoteRef/>
      </w:r>
      <w:r w:rsidRPr="00A97C36">
        <w:rPr>
          <w:rFonts w:asciiTheme="minorHAnsi" w:hAnsiTheme="minorHAnsi" w:cstheme="minorHAnsi"/>
          <w:b w:val="0"/>
          <w:lang w:val="en-US"/>
        </w:rPr>
        <w:t xml:space="preserve"> </w:t>
      </w:r>
      <w:r w:rsidRPr="00A97C36">
        <w:rPr>
          <w:b w:val="0"/>
          <w:lang w:val="en-US"/>
        </w:rPr>
        <w:t xml:space="preserve">Rank in: </w:t>
      </w:r>
      <w:r w:rsidRPr="00A97C36">
        <w:rPr>
          <w:b w:val="0"/>
          <w:i/>
          <w:lang w:val="en-US"/>
        </w:rPr>
        <w:t>T&amp;C art. 6:114 BW</w:t>
      </w:r>
      <w:r w:rsidRPr="00A97C36">
        <w:rPr>
          <w:b w:val="0"/>
          <w:lang w:val="en-US"/>
        </w:rPr>
        <w:t>.</w:t>
      </w:r>
    </w:p>
  </w:footnote>
  <w:footnote w:id="96">
    <w:p w:rsidR="00473D7F" w:rsidRPr="00A97C36" w:rsidRDefault="00473D7F" w:rsidP="00A97C36">
      <w:pPr>
        <w:pStyle w:val="Voetnoottekst"/>
        <w:jc w:val="left"/>
        <w:rPr>
          <w:rFonts w:asciiTheme="minorHAnsi" w:hAnsiTheme="minorHAnsi" w:cstheme="minorHAnsi"/>
          <w:b w:val="0"/>
          <w:lang w:val="en-US"/>
        </w:rPr>
      </w:pPr>
      <w:r w:rsidRPr="00A97C36">
        <w:rPr>
          <w:rStyle w:val="Voetnootmarkering"/>
          <w:rFonts w:asciiTheme="minorHAnsi" w:hAnsiTheme="minorHAnsi" w:cstheme="minorHAnsi"/>
          <w:b w:val="0"/>
        </w:rPr>
        <w:footnoteRef/>
      </w:r>
      <w:r w:rsidRPr="00A97C36">
        <w:rPr>
          <w:rFonts w:asciiTheme="minorHAnsi" w:hAnsiTheme="minorHAnsi" w:cstheme="minorHAnsi"/>
          <w:b w:val="0"/>
          <w:lang w:val="en-US"/>
        </w:rPr>
        <w:t xml:space="preserve"> HR 1 </w:t>
      </w:r>
      <w:proofErr w:type="spellStart"/>
      <w:r w:rsidRPr="00A97C36">
        <w:rPr>
          <w:rFonts w:asciiTheme="minorHAnsi" w:hAnsiTheme="minorHAnsi" w:cstheme="minorHAnsi"/>
          <w:b w:val="0"/>
          <w:lang w:val="en-US"/>
        </w:rPr>
        <w:t>februari</w:t>
      </w:r>
      <w:proofErr w:type="spellEnd"/>
      <w:r w:rsidRPr="00A97C36">
        <w:rPr>
          <w:rFonts w:asciiTheme="minorHAnsi" w:hAnsiTheme="minorHAnsi" w:cstheme="minorHAnsi"/>
          <w:b w:val="0"/>
          <w:lang w:val="en-US"/>
        </w:rPr>
        <w:t xml:space="preserve"> 2013, ECLI:NL:HR:2013:BY4134. </w:t>
      </w:r>
      <w:proofErr w:type="spellStart"/>
      <w:r w:rsidRPr="00A97C36">
        <w:rPr>
          <w:rFonts w:asciiTheme="minorHAnsi" w:hAnsiTheme="minorHAnsi" w:cstheme="minorHAnsi"/>
          <w:b w:val="0"/>
          <w:lang w:val="en-US"/>
        </w:rPr>
        <w:t>r.o</w:t>
      </w:r>
      <w:proofErr w:type="spellEnd"/>
      <w:r w:rsidRPr="00A97C36">
        <w:rPr>
          <w:rFonts w:asciiTheme="minorHAnsi" w:hAnsiTheme="minorHAnsi" w:cstheme="minorHAnsi"/>
          <w:b w:val="0"/>
          <w:lang w:val="en-US"/>
        </w:rPr>
        <w:t>. 4.13 en 4.19.</w:t>
      </w:r>
    </w:p>
  </w:footnote>
  <w:footnote w:id="97">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Verstijlen</w:t>
      </w:r>
      <w:proofErr w:type="spellEnd"/>
      <w:r w:rsidRPr="00A97C36">
        <w:rPr>
          <w:rFonts w:asciiTheme="minorHAnsi" w:hAnsiTheme="minorHAnsi" w:cstheme="minorHAnsi"/>
          <w:b w:val="0"/>
        </w:rPr>
        <w:t xml:space="preserve">, </w:t>
      </w:r>
      <w:r w:rsidRPr="00A97C36">
        <w:rPr>
          <w:rFonts w:asciiTheme="minorHAnsi" w:hAnsiTheme="minorHAnsi" w:cstheme="minorHAnsi"/>
          <w:b w:val="0"/>
          <w:i/>
        </w:rPr>
        <w:t>NJB</w:t>
      </w:r>
      <w:r w:rsidRPr="00A97C36">
        <w:rPr>
          <w:rFonts w:asciiTheme="minorHAnsi" w:hAnsiTheme="minorHAnsi" w:cstheme="minorHAnsi"/>
          <w:b w:val="0"/>
        </w:rPr>
        <w:t xml:space="preserve"> 2013/156, noot 5.</w:t>
      </w:r>
    </w:p>
  </w:footnote>
  <w:footnote w:id="98">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Rb. Limburg 9 maart 2016, ECLI:NL:RBLIM:2016:1936, </w:t>
      </w:r>
      <w:proofErr w:type="spellStart"/>
      <w:r w:rsidRPr="00A97C36">
        <w:rPr>
          <w:b w:val="0"/>
        </w:rPr>
        <w:t>r.o.</w:t>
      </w:r>
      <w:proofErr w:type="spellEnd"/>
      <w:r w:rsidRPr="00A97C36">
        <w:rPr>
          <w:b w:val="0"/>
        </w:rPr>
        <w:t xml:space="preserve"> 4.31 en 4.32.</w:t>
      </w:r>
    </w:p>
  </w:footnote>
  <w:footnote w:id="99">
    <w:p w:rsidR="00A97C36" w:rsidRPr="00A97C36" w:rsidRDefault="00A97C36" w:rsidP="00A97C36">
      <w:pPr>
        <w:pStyle w:val="Voetnoottekst"/>
        <w:jc w:val="left"/>
        <w:rPr>
          <w:b w:val="0"/>
        </w:rPr>
      </w:pPr>
      <w:r w:rsidRPr="00A97C36">
        <w:rPr>
          <w:rStyle w:val="Voetnootmarkering"/>
          <w:b w:val="0"/>
        </w:rPr>
        <w:footnoteRef/>
      </w:r>
      <w:r w:rsidRPr="00A97C36">
        <w:rPr>
          <w:b w:val="0"/>
        </w:rPr>
        <w:t xml:space="preserve"> HR 30 oktober 2009, ECLI:NL:HR:2009:BJ0861 </w:t>
      </w:r>
      <w:proofErr w:type="spellStart"/>
      <w:r w:rsidRPr="00A97C36">
        <w:rPr>
          <w:b w:val="0"/>
        </w:rPr>
        <w:t>r.o.</w:t>
      </w:r>
      <w:proofErr w:type="spellEnd"/>
      <w:r w:rsidRPr="00A97C36">
        <w:rPr>
          <w:b w:val="0"/>
        </w:rPr>
        <w:t xml:space="preserve"> 4.1.</w:t>
      </w:r>
      <w:r>
        <w:rPr>
          <w:b w:val="0"/>
        </w:rPr>
        <w:t>3</w:t>
      </w:r>
      <w:r w:rsidRPr="00A97C36">
        <w:rPr>
          <w:b w:val="0"/>
        </w:rPr>
        <w:t>.</w:t>
      </w:r>
    </w:p>
  </w:footnote>
  <w:footnote w:id="100">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HR 30 oktober 2009, ECLI:NL:HR:2009:BJ0861 </w:t>
      </w:r>
      <w:proofErr w:type="spellStart"/>
      <w:r w:rsidRPr="00A97C36">
        <w:rPr>
          <w:b w:val="0"/>
        </w:rPr>
        <w:t>r.o.</w:t>
      </w:r>
      <w:proofErr w:type="spellEnd"/>
      <w:r w:rsidRPr="00A97C36">
        <w:rPr>
          <w:b w:val="0"/>
        </w:rPr>
        <w:t xml:space="preserve"> 4.1.2 – 4.2.2.</w:t>
      </w:r>
    </w:p>
  </w:footnote>
  <w:footnote w:id="101">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HR 22 juni 2007, </w:t>
      </w:r>
      <w:r w:rsidRPr="00A97C36">
        <w:rPr>
          <w:rFonts w:cstheme="minorHAnsi"/>
          <w:b w:val="0"/>
        </w:rPr>
        <w:t xml:space="preserve">ECLI:NL:HR:2007:BA2511, </w:t>
      </w:r>
      <w:proofErr w:type="spellStart"/>
      <w:r w:rsidRPr="00A97C36">
        <w:rPr>
          <w:rFonts w:cstheme="minorHAnsi"/>
          <w:b w:val="0"/>
        </w:rPr>
        <w:t>r.o.</w:t>
      </w:r>
      <w:proofErr w:type="spellEnd"/>
      <w:r w:rsidRPr="00A97C36">
        <w:rPr>
          <w:rFonts w:cstheme="minorHAnsi"/>
          <w:b w:val="0"/>
        </w:rPr>
        <w:t xml:space="preserve"> 3.4.</w:t>
      </w:r>
    </w:p>
  </w:footnote>
  <w:footnote w:id="102">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Rb. Overijssel 15 juni 2016, ECLI:NL:RBOVE:2016:2381, </w:t>
      </w:r>
      <w:proofErr w:type="spellStart"/>
      <w:r w:rsidRPr="00A97C36">
        <w:rPr>
          <w:b w:val="0"/>
        </w:rPr>
        <w:t>r.o.</w:t>
      </w:r>
      <w:proofErr w:type="spellEnd"/>
      <w:r w:rsidRPr="00A97C36">
        <w:rPr>
          <w:b w:val="0"/>
        </w:rPr>
        <w:t xml:space="preserve"> 5.1 – 5.26.</w:t>
      </w:r>
    </w:p>
  </w:footnote>
  <w:footnote w:id="103">
    <w:p w:rsidR="00473D7F" w:rsidRPr="00A97C36" w:rsidRDefault="00473D7F" w:rsidP="00A97C36">
      <w:pPr>
        <w:pStyle w:val="Voetnoottekst"/>
        <w:jc w:val="left"/>
        <w:rPr>
          <w:rFonts w:asciiTheme="minorHAnsi" w:hAnsiTheme="minorHAnsi" w:cstheme="minorHAnsi"/>
          <w:b w:val="0"/>
          <w:lang w:val="en-US"/>
        </w:rPr>
      </w:pPr>
      <w:r w:rsidRPr="00A97C36">
        <w:rPr>
          <w:rStyle w:val="Voetnootmarkering"/>
          <w:rFonts w:asciiTheme="minorHAnsi" w:hAnsiTheme="minorHAnsi" w:cstheme="minorHAnsi"/>
          <w:b w:val="0"/>
        </w:rPr>
        <w:footnoteRef/>
      </w:r>
      <w:r w:rsidRPr="00A97C36">
        <w:rPr>
          <w:rFonts w:asciiTheme="minorHAnsi" w:hAnsiTheme="minorHAnsi" w:cstheme="minorHAnsi"/>
          <w:b w:val="0"/>
          <w:lang w:val="en-US"/>
        </w:rPr>
        <w:t xml:space="preserve"> HR 1 </w:t>
      </w:r>
      <w:proofErr w:type="spellStart"/>
      <w:r w:rsidRPr="00A97C36">
        <w:rPr>
          <w:rFonts w:asciiTheme="minorHAnsi" w:hAnsiTheme="minorHAnsi" w:cstheme="minorHAnsi"/>
          <w:b w:val="0"/>
          <w:lang w:val="en-US"/>
        </w:rPr>
        <w:t>februari</w:t>
      </w:r>
      <w:proofErr w:type="spellEnd"/>
      <w:r w:rsidRPr="00A97C36">
        <w:rPr>
          <w:rFonts w:asciiTheme="minorHAnsi" w:hAnsiTheme="minorHAnsi" w:cstheme="minorHAnsi"/>
          <w:b w:val="0"/>
          <w:lang w:val="en-US"/>
        </w:rPr>
        <w:t xml:space="preserve"> 2013, ECLI:NL:HR:2013:BY4134. </w:t>
      </w:r>
      <w:proofErr w:type="spellStart"/>
      <w:r w:rsidRPr="00A97C36">
        <w:rPr>
          <w:rFonts w:asciiTheme="minorHAnsi" w:hAnsiTheme="minorHAnsi" w:cstheme="minorHAnsi"/>
          <w:b w:val="0"/>
          <w:lang w:val="en-US"/>
        </w:rPr>
        <w:t>r.o</w:t>
      </w:r>
      <w:proofErr w:type="spellEnd"/>
      <w:r w:rsidRPr="00A97C36">
        <w:rPr>
          <w:rFonts w:asciiTheme="minorHAnsi" w:hAnsiTheme="minorHAnsi" w:cstheme="minorHAnsi"/>
          <w:b w:val="0"/>
          <w:lang w:val="en-US"/>
        </w:rPr>
        <w:t>. 4.13 en 4.19.</w:t>
      </w:r>
    </w:p>
  </w:footnote>
  <w:footnote w:id="104">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w:t>
      </w:r>
      <w:proofErr w:type="spellStart"/>
      <w:r w:rsidRPr="00A97C36">
        <w:rPr>
          <w:rFonts w:asciiTheme="minorHAnsi" w:hAnsiTheme="minorHAnsi" w:cstheme="minorHAnsi"/>
          <w:b w:val="0"/>
        </w:rPr>
        <w:t>Verstijlen</w:t>
      </w:r>
      <w:proofErr w:type="spellEnd"/>
      <w:r w:rsidRPr="00A97C36">
        <w:rPr>
          <w:rFonts w:asciiTheme="minorHAnsi" w:hAnsiTheme="minorHAnsi" w:cstheme="minorHAnsi"/>
          <w:b w:val="0"/>
        </w:rPr>
        <w:t xml:space="preserve">, </w:t>
      </w:r>
      <w:r w:rsidRPr="00A97C36">
        <w:rPr>
          <w:rFonts w:asciiTheme="minorHAnsi" w:hAnsiTheme="minorHAnsi" w:cstheme="minorHAnsi"/>
          <w:b w:val="0"/>
          <w:i/>
        </w:rPr>
        <w:t>NJB</w:t>
      </w:r>
      <w:r w:rsidRPr="00A97C36">
        <w:rPr>
          <w:rFonts w:asciiTheme="minorHAnsi" w:hAnsiTheme="minorHAnsi" w:cstheme="minorHAnsi"/>
          <w:b w:val="0"/>
        </w:rPr>
        <w:t xml:space="preserve"> 2013/156, noot 5.</w:t>
      </w:r>
    </w:p>
  </w:footnote>
  <w:footnote w:id="105">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Rb. Oost-Brabant 12 oktober 2016, ECLI:NL:RBOBR:2016:5618, </w:t>
      </w:r>
      <w:proofErr w:type="spellStart"/>
      <w:r w:rsidRPr="00A97C36">
        <w:rPr>
          <w:b w:val="0"/>
        </w:rPr>
        <w:t>r.o.</w:t>
      </w:r>
      <w:proofErr w:type="spellEnd"/>
      <w:r w:rsidRPr="00A97C36">
        <w:rPr>
          <w:b w:val="0"/>
        </w:rPr>
        <w:t xml:space="preserve"> 4.16.</w:t>
      </w:r>
    </w:p>
  </w:footnote>
  <w:footnote w:id="106">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Hof Arnhem-Leeuwarden 12 augustus 2014, </w:t>
      </w:r>
      <w:r w:rsidRPr="00A97C36">
        <w:rPr>
          <w:rFonts w:cstheme="minorHAnsi"/>
          <w:b w:val="0"/>
        </w:rPr>
        <w:t xml:space="preserve">ECLI:NL:GHARL:2014:6338, </w:t>
      </w:r>
      <w:proofErr w:type="spellStart"/>
      <w:r w:rsidRPr="00A97C36">
        <w:rPr>
          <w:rFonts w:cstheme="minorHAnsi"/>
          <w:b w:val="0"/>
        </w:rPr>
        <w:t>r.o.</w:t>
      </w:r>
      <w:proofErr w:type="spellEnd"/>
      <w:r w:rsidRPr="00A97C36">
        <w:rPr>
          <w:rFonts w:cstheme="minorHAnsi"/>
          <w:b w:val="0"/>
        </w:rPr>
        <w:t xml:space="preserve"> 3.10.</w:t>
      </w:r>
    </w:p>
  </w:footnote>
  <w:footnote w:id="107">
    <w:p w:rsidR="00290DFC" w:rsidRPr="00A97C36" w:rsidRDefault="00290DFC" w:rsidP="00A97C36">
      <w:pPr>
        <w:pStyle w:val="Voetnoottekst"/>
        <w:jc w:val="left"/>
        <w:rPr>
          <w:b w:val="0"/>
        </w:rPr>
      </w:pPr>
      <w:r w:rsidRPr="00A97C36">
        <w:rPr>
          <w:rStyle w:val="Voetnootmarkering"/>
          <w:b w:val="0"/>
        </w:rPr>
        <w:footnoteRef/>
      </w:r>
      <w:r w:rsidRPr="00A97C36">
        <w:rPr>
          <w:b w:val="0"/>
        </w:rPr>
        <w:t xml:space="preserve"> HR 17 februari 2012, </w:t>
      </w:r>
      <w:r w:rsidRPr="00A97C36">
        <w:rPr>
          <w:rFonts w:cstheme="minorHAnsi"/>
          <w:b w:val="0"/>
        </w:rPr>
        <w:t xml:space="preserve">ECLI:NL:HR:2012:BU6552, </w:t>
      </w:r>
      <w:proofErr w:type="spellStart"/>
      <w:r w:rsidRPr="00A97C36">
        <w:rPr>
          <w:rFonts w:cstheme="minorHAnsi"/>
          <w:b w:val="0"/>
        </w:rPr>
        <w:t>r.o.</w:t>
      </w:r>
      <w:proofErr w:type="spellEnd"/>
      <w:r w:rsidRPr="00A97C36">
        <w:rPr>
          <w:rFonts w:cstheme="minorHAnsi"/>
          <w:b w:val="0"/>
        </w:rPr>
        <w:t xml:space="preserve"> 3.6.</w:t>
      </w:r>
    </w:p>
  </w:footnote>
  <w:footnote w:id="108">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HR 17 februari 2012, </w:t>
      </w:r>
      <w:r w:rsidRPr="00A97C36">
        <w:rPr>
          <w:rFonts w:cstheme="minorHAnsi"/>
          <w:b w:val="0"/>
        </w:rPr>
        <w:t xml:space="preserve">ECLI:NL:HR:2012:BU6552, </w:t>
      </w:r>
      <w:proofErr w:type="spellStart"/>
      <w:r w:rsidRPr="00A97C36">
        <w:rPr>
          <w:rFonts w:cstheme="minorHAnsi"/>
          <w:b w:val="0"/>
        </w:rPr>
        <w:t>r.o.</w:t>
      </w:r>
      <w:proofErr w:type="spellEnd"/>
      <w:r w:rsidRPr="00A97C36">
        <w:rPr>
          <w:rFonts w:cstheme="minorHAnsi"/>
          <w:b w:val="0"/>
        </w:rPr>
        <w:t xml:space="preserve"> 3.5, 3.6 en 3.8. </w:t>
      </w:r>
    </w:p>
  </w:footnote>
  <w:footnote w:id="109">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Rb. 's-Hertogenbosch 23 juni 2010, </w:t>
      </w:r>
      <w:r w:rsidRPr="00A97C36">
        <w:rPr>
          <w:rFonts w:cstheme="minorHAnsi"/>
          <w:b w:val="0"/>
        </w:rPr>
        <w:t xml:space="preserve">ECLI:NL:RBSHE:2010:BY9833, </w:t>
      </w:r>
      <w:proofErr w:type="spellStart"/>
      <w:r w:rsidRPr="00A97C36">
        <w:rPr>
          <w:rFonts w:cstheme="minorHAnsi"/>
          <w:b w:val="0"/>
        </w:rPr>
        <w:t>r.o.</w:t>
      </w:r>
      <w:proofErr w:type="spellEnd"/>
      <w:r w:rsidRPr="00A97C36">
        <w:rPr>
          <w:rFonts w:cstheme="minorHAnsi"/>
          <w:b w:val="0"/>
        </w:rPr>
        <w:t xml:space="preserve"> 4.5 en 4.6.</w:t>
      </w:r>
    </w:p>
  </w:footnote>
  <w:footnote w:id="110">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Rb. Amsterdam 9 mei 2012, </w:t>
      </w:r>
      <w:r w:rsidRPr="00A97C36">
        <w:rPr>
          <w:rFonts w:cstheme="minorHAnsi"/>
          <w:b w:val="0"/>
        </w:rPr>
        <w:t xml:space="preserve">ECLI:NL:RBAMS:2012:BX2300, </w:t>
      </w:r>
      <w:proofErr w:type="spellStart"/>
      <w:r w:rsidRPr="00A97C36">
        <w:rPr>
          <w:rFonts w:cstheme="minorHAnsi"/>
          <w:b w:val="0"/>
        </w:rPr>
        <w:t>r.o.</w:t>
      </w:r>
      <w:proofErr w:type="spellEnd"/>
      <w:r w:rsidRPr="00A97C36">
        <w:rPr>
          <w:rFonts w:cstheme="minorHAnsi"/>
          <w:b w:val="0"/>
        </w:rPr>
        <w:t xml:space="preserve"> 4.1 – 4.6.</w:t>
      </w:r>
    </w:p>
  </w:footnote>
  <w:footnote w:id="111">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Rb. Oost-Brabant 19 februari 2015, ECLI:NL:RBOBR:2015:995, </w:t>
      </w:r>
      <w:proofErr w:type="spellStart"/>
      <w:r w:rsidRPr="00A97C36">
        <w:rPr>
          <w:b w:val="0"/>
        </w:rPr>
        <w:t>r.o.</w:t>
      </w:r>
      <w:proofErr w:type="spellEnd"/>
      <w:r w:rsidRPr="00A97C36">
        <w:rPr>
          <w:b w:val="0"/>
        </w:rPr>
        <w:t xml:space="preserve"> 4.9.3.</w:t>
      </w:r>
    </w:p>
  </w:footnote>
  <w:footnote w:id="112">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Rb. Rotterdam 16 oktober 2013, ECLI:NL:RBROT:2013:10417, </w:t>
      </w:r>
      <w:proofErr w:type="spellStart"/>
      <w:r w:rsidRPr="00A97C36">
        <w:rPr>
          <w:b w:val="0"/>
        </w:rPr>
        <w:t>r.o.</w:t>
      </w:r>
      <w:proofErr w:type="spellEnd"/>
      <w:r w:rsidRPr="00A97C36">
        <w:rPr>
          <w:b w:val="0"/>
        </w:rPr>
        <w:t xml:space="preserve"> 4.21.</w:t>
      </w:r>
    </w:p>
  </w:footnote>
  <w:footnote w:id="113">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Rb. ’s-Hertogenbosch 14 juni 2007, </w:t>
      </w:r>
      <w:r w:rsidRPr="00A97C36">
        <w:rPr>
          <w:rFonts w:cstheme="minorHAnsi"/>
          <w:b w:val="0"/>
        </w:rPr>
        <w:t xml:space="preserve">ECLI:NL:RBSHE:2007:BB1660, </w:t>
      </w:r>
      <w:proofErr w:type="spellStart"/>
      <w:r w:rsidRPr="00A97C36">
        <w:rPr>
          <w:rFonts w:cstheme="minorHAnsi"/>
          <w:b w:val="0"/>
        </w:rPr>
        <w:t>r.o.</w:t>
      </w:r>
      <w:proofErr w:type="spellEnd"/>
      <w:r w:rsidRPr="00A97C36">
        <w:rPr>
          <w:rFonts w:cstheme="minorHAnsi"/>
          <w:b w:val="0"/>
        </w:rPr>
        <w:t xml:space="preserve"> 3.10, 3.11 en 3.12.</w:t>
      </w:r>
    </w:p>
  </w:footnote>
  <w:footnote w:id="114">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Hof Den Haag 25 september 2007, </w:t>
      </w:r>
      <w:r w:rsidRPr="00A97C36">
        <w:rPr>
          <w:rFonts w:cstheme="minorHAnsi"/>
          <w:b w:val="0"/>
        </w:rPr>
        <w:t xml:space="preserve">ECLI:NL:GHSGR:2007:BB6934, </w:t>
      </w:r>
      <w:proofErr w:type="spellStart"/>
      <w:r w:rsidRPr="00A97C36">
        <w:rPr>
          <w:rFonts w:cstheme="minorHAnsi"/>
          <w:b w:val="0"/>
        </w:rPr>
        <w:t>r.o.</w:t>
      </w:r>
      <w:proofErr w:type="spellEnd"/>
      <w:r w:rsidRPr="00A97C36">
        <w:rPr>
          <w:rFonts w:cstheme="minorHAnsi"/>
          <w:b w:val="0"/>
        </w:rPr>
        <w:t xml:space="preserve"> 42.</w:t>
      </w:r>
    </w:p>
  </w:footnote>
  <w:footnote w:id="115">
    <w:p w:rsidR="0089321F" w:rsidRPr="00A97C36" w:rsidRDefault="0089321F" w:rsidP="00A97C36">
      <w:pPr>
        <w:pStyle w:val="Voetnoottekst"/>
        <w:jc w:val="left"/>
        <w:rPr>
          <w:b w:val="0"/>
        </w:rPr>
      </w:pPr>
      <w:r w:rsidRPr="00A97C36">
        <w:rPr>
          <w:rStyle w:val="Voetnootmarkering"/>
          <w:b w:val="0"/>
        </w:rPr>
        <w:footnoteRef/>
      </w:r>
      <w:r w:rsidRPr="00A97C36">
        <w:rPr>
          <w:b w:val="0"/>
        </w:rPr>
        <w:t xml:space="preserve"> HR 14 juni 2013, ECLI:NL:HR:2013:BZ5663, </w:t>
      </w:r>
      <w:proofErr w:type="spellStart"/>
      <w:r w:rsidRPr="00A97C36">
        <w:rPr>
          <w:b w:val="0"/>
        </w:rPr>
        <w:t>r.o.</w:t>
      </w:r>
      <w:proofErr w:type="spellEnd"/>
      <w:r w:rsidRPr="00A97C36">
        <w:rPr>
          <w:b w:val="0"/>
        </w:rPr>
        <w:t xml:space="preserve"> 4.3.2.</w:t>
      </w:r>
    </w:p>
  </w:footnote>
  <w:footnote w:id="116">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HR 14 juni 2013, ECLI:NL:HR:2013:BZ5663, </w:t>
      </w:r>
      <w:proofErr w:type="spellStart"/>
      <w:r w:rsidRPr="00A97C36">
        <w:rPr>
          <w:b w:val="0"/>
        </w:rPr>
        <w:t>r.o.</w:t>
      </w:r>
      <w:proofErr w:type="spellEnd"/>
      <w:r w:rsidRPr="00A97C36">
        <w:rPr>
          <w:b w:val="0"/>
        </w:rPr>
        <w:t xml:space="preserve"> 3.6, 3.7 en 4.3.2.</w:t>
      </w:r>
    </w:p>
  </w:footnote>
  <w:footnote w:id="117">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Hof 's-Hertogenbosch 16 september 2008, </w:t>
      </w:r>
      <w:r w:rsidRPr="00A97C36">
        <w:rPr>
          <w:rFonts w:cstheme="minorHAnsi"/>
          <w:b w:val="0"/>
        </w:rPr>
        <w:t xml:space="preserve">ECLI:NL:GHSHE:2008:BG4528, </w:t>
      </w:r>
      <w:proofErr w:type="spellStart"/>
      <w:r w:rsidRPr="00A97C36">
        <w:rPr>
          <w:rFonts w:cstheme="minorHAnsi"/>
          <w:b w:val="0"/>
        </w:rPr>
        <w:t>r.o.</w:t>
      </w:r>
      <w:proofErr w:type="spellEnd"/>
      <w:r w:rsidRPr="00A97C36">
        <w:rPr>
          <w:rFonts w:cstheme="minorHAnsi"/>
          <w:b w:val="0"/>
        </w:rPr>
        <w:t xml:space="preserve"> 4.7.2.</w:t>
      </w:r>
    </w:p>
  </w:footnote>
  <w:footnote w:id="118">
    <w:p w:rsidR="00800CCE" w:rsidRPr="00A97C36" w:rsidRDefault="00800CCE" w:rsidP="00A97C36">
      <w:pPr>
        <w:pStyle w:val="Voetnoottekst"/>
        <w:jc w:val="left"/>
        <w:rPr>
          <w:b w:val="0"/>
        </w:rPr>
      </w:pPr>
      <w:r w:rsidRPr="00A97C36">
        <w:rPr>
          <w:rStyle w:val="Voetnootmarkering"/>
          <w:b w:val="0"/>
        </w:rPr>
        <w:footnoteRef/>
      </w:r>
      <w:r w:rsidRPr="00A97C36">
        <w:rPr>
          <w:b w:val="0"/>
        </w:rPr>
        <w:t xml:space="preserve"> HR 21 juni 2013, </w:t>
      </w:r>
      <w:r w:rsidRPr="00A97C36">
        <w:rPr>
          <w:rFonts w:cstheme="minorHAnsi"/>
          <w:b w:val="0"/>
        </w:rPr>
        <w:t xml:space="preserve">ECLI:NL:HR:2013:BZ7199, </w:t>
      </w:r>
      <w:proofErr w:type="spellStart"/>
      <w:r w:rsidRPr="00A97C36">
        <w:rPr>
          <w:rFonts w:cstheme="minorHAnsi"/>
          <w:b w:val="0"/>
        </w:rPr>
        <w:t>r.o.</w:t>
      </w:r>
      <w:proofErr w:type="spellEnd"/>
      <w:r w:rsidRPr="00A97C36">
        <w:rPr>
          <w:rFonts w:cstheme="minorHAnsi"/>
          <w:b w:val="0"/>
        </w:rPr>
        <w:t xml:space="preserve"> 5.2</w:t>
      </w:r>
    </w:p>
  </w:footnote>
  <w:footnote w:id="119">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HR 21 juni 2013, </w:t>
      </w:r>
      <w:r w:rsidRPr="00A97C36">
        <w:rPr>
          <w:rFonts w:cstheme="minorHAnsi"/>
          <w:b w:val="0"/>
        </w:rPr>
        <w:t xml:space="preserve">ECLI:NL:HR:2013:BZ7199, </w:t>
      </w:r>
      <w:proofErr w:type="spellStart"/>
      <w:r w:rsidRPr="00A97C36">
        <w:rPr>
          <w:rFonts w:cstheme="minorHAnsi"/>
          <w:b w:val="0"/>
        </w:rPr>
        <w:t>r.o.</w:t>
      </w:r>
      <w:proofErr w:type="spellEnd"/>
      <w:r w:rsidRPr="00A97C36">
        <w:rPr>
          <w:rFonts w:cstheme="minorHAnsi"/>
          <w:b w:val="0"/>
        </w:rPr>
        <w:t xml:space="preserve"> 4.12, 5.1 en 5.2.</w:t>
      </w:r>
    </w:p>
  </w:footnote>
  <w:footnote w:id="120">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HR 14 februari 2014, ECLI:NL:HR:2014:319, </w:t>
      </w:r>
      <w:proofErr w:type="spellStart"/>
      <w:r w:rsidRPr="00A97C36">
        <w:rPr>
          <w:b w:val="0"/>
        </w:rPr>
        <w:t>r.o.</w:t>
      </w:r>
      <w:proofErr w:type="spellEnd"/>
      <w:r w:rsidRPr="00A97C36">
        <w:rPr>
          <w:b w:val="0"/>
        </w:rPr>
        <w:t xml:space="preserve"> 3.4.2.</w:t>
      </w:r>
    </w:p>
  </w:footnote>
  <w:footnote w:id="121">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Rb. Zwolle-Lelystad 8 april 2009, ECLI:NL:RBZLY:2009:BI6124, </w:t>
      </w:r>
      <w:proofErr w:type="spellStart"/>
      <w:r w:rsidRPr="00A97C36">
        <w:rPr>
          <w:b w:val="0"/>
        </w:rPr>
        <w:t>r.o.</w:t>
      </w:r>
      <w:proofErr w:type="spellEnd"/>
      <w:r w:rsidRPr="00A97C36">
        <w:rPr>
          <w:b w:val="0"/>
        </w:rPr>
        <w:t xml:space="preserve"> 3.1.4 – 4.1.4.</w:t>
      </w:r>
    </w:p>
  </w:footnote>
  <w:footnote w:id="122">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Rb. Rotterdam 16 oktober 2013, ECLI:NL:RBROT:2013:10417, </w:t>
      </w:r>
      <w:proofErr w:type="spellStart"/>
      <w:r w:rsidRPr="00A97C36">
        <w:rPr>
          <w:b w:val="0"/>
        </w:rPr>
        <w:t>r.o.</w:t>
      </w:r>
      <w:proofErr w:type="spellEnd"/>
      <w:r w:rsidRPr="00A97C36">
        <w:rPr>
          <w:b w:val="0"/>
        </w:rPr>
        <w:t xml:space="preserve"> 4.21.</w:t>
      </w:r>
    </w:p>
  </w:footnote>
  <w:footnote w:id="123">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Hof Arnhem 1 november 2011, </w:t>
      </w:r>
      <w:r w:rsidRPr="00A97C36">
        <w:rPr>
          <w:rFonts w:cstheme="minorHAnsi"/>
          <w:b w:val="0"/>
        </w:rPr>
        <w:t xml:space="preserve">ECLI:NL:GHARN:2011:BU3293, </w:t>
      </w:r>
      <w:proofErr w:type="spellStart"/>
      <w:r w:rsidRPr="00A97C36">
        <w:rPr>
          <w:rFonts w:cstheme="minorHAnsi"/>
          <w:b w:val="0"/>
        </w:rPr>
        <w:t>r.o.</w:t>
      </w:r>
      <w:proofErr w:type="spellEnd"/>
      <w:r w:rsidRPr="00A97C36">
        <w:rPr>
          <w:rFonts w:cstheme="minorHAnsi"/>
          <w:b w:val="0"/>
        </w:rPr>
        <w:t xml:space="preserve"> 4.12.</w:t>
      </w:r>
    </w:p>
  </w:footnote>
  <w:footnote w:id="124">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Rb. ’s-Hertogenbosch 14 juni 2007, </w:t>
      </w:r>
      <w:r w:rsidRPr="00A97C36">
        <w:rPr>
          <w:rFonts w:cstheme="minorHAnsi"/>
          <w:b w:val="0"/>
        </w:rPr>
        <w:t xml:space="preserve">ECLI:NL:RBSHE:2007:BB1660, </w:t>
      </w:r>
      <w:proofErr w:type="spellStart"/>
      <w:r w:rsidRPr="00A97C36">
        <w:rPr>
          <w:rFonts w:cstheme="minorHAnsi"/>
          <w:b w:val="0"/>
        </w:rPr>
        <w:t>r.o.</w:t>
      </w:r>
      <w:proofErr w:type="spellEnd"/>
      <w:r w:rsidRPr="00A97C36">
        <w:rPr>
          <w:rFonts w:cstheme="minorHAnsi"/>
          <w:b w:val="0"/>
        </w:rPr>
        <w:t xml:space="preserve"> 3.10, 3.11 en 3.12.</w:t>
      </w:r>
    </w:p>
  </w:footnote>
  <w:footnote w:id="125">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Hof Den Haag 25 september 2007, </w:t>
      </w:r>
      <w:r w:rsidRPr="00A97C36">
        <w:rPr>
          <w:rFonts w:cstheme="minorHAnsi"/>
          <w:b w:val="0"/>
        </w:rPr>
        <w:t xml:space="preserve">ECLI:NL:GHSGR:2007:BB6934, </w:t>
      </w:r>
      <w:proofErr w:type="spellStart"/>
      <w:r w:rsidRPr="00A97C36">
        <w:rPr>
          <w:rFonts w:cstheme="minorHAnsi"/>
          <w:b w:val="0"/>
        </w:rPr>
        <w:t>r.o.</w:t>
      </w:r>
      <w:proofErr w:type="spellEnd"/>
      <w:r w:rsidRPr="00A97C36">
        <w:rPr>
          <w:rFonts w:cstheme="minorHAnsi"/>
          <w:b w:val="0"/>
        </w:rPr>
        <w:t xml:space="preserve"> 42.</w:t>
      </w:r>
    </w:p>
  </w:footnote>
  <w:footnote w:id="126">
    <w:p w:rsidR="00473D7F" w:rsidRPr="00A97C36" w:rsidRDefault="00473D7F" w:rsidP="00A97C36">
      <w:pPr>
        <w:pStyle w:val="Voetnoottekst"/>
        <w:jc w:val="left"/>
        <w:rPr>
          <w:rFonts w:asciiTheme="minorHAnsi" w:hAnsiTheme="minorHAnsi" w:cstheme="minorHAnsi"/>
          <w:b w:val="0"/>
        </w:rPr>
      </w:pPr>
      <w:r w:rsidRPr="00A97C36">
        <w:rPr>
          <w:rStyle w:val="Voetnootmarkering"/>
          <w:rFonts w:asciiTheme="minorHAnsi" w:hAnsiTheme="minorHAnsi" w:cstheme="minorHAnsi"/>
          <w:b w:val="0"/>
        </w:rPr>
        <w:footnoteRef/>
      </w:r>
      <w:r w:rsidRPr="00A97C36">
        <w:rPr>
          <w:rFonts w:asciiTheme="minorHAnsi" w:hAnsiTheme="minorHAnsi" w:cstheme="minorHAnsi"/>
          <w:b w:val="0"/>
        </w:rPr>
        <w:t xml:space="preserve"> HR 16 juni 2000, ECLI:NL:HR:2000:AA6234.</w:t>
      </w:r>
    </w:p>
  </w:footnote>
  <w:footnote w:id="127">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Rb. Zwolle-Lelystad 8 april 2009, ECLI:NL:RBZLY:2009:BI6124, </w:t>
      </w:r>
      <w:proofErr w:type="spellStart"/>
      <w:r w:rsidRPr="00A97C36">
        <w:rPr>
          <w:b w:val="0"/>
        </w:rPr>
        <w:t>r.o.</w:t>
      </w:r>
      <w:proofErr w:type="spellEnd"/>
      <w:r w:rsidRPr="00A97C36">
        <w:rPr>
          <w:b w:val="0"/>
        </w:rPr>
        <w:t xml:space="preserve"> 4.2.</w:t>
      </w:r>
    </w:p>
  </w:footnote>
  <w:footnote w:id="128">
    <w:p w:rsidR="00473D7F" w:rsidRPr="00A97C36" w:rsidRDefault="00473D7F" w:rsidP="00A97C36">
      <w:pPr>
        <w:pStyle w:val="Voetnoottekst"/>
        <w:jc w:val="left"/>
        <w:rPr>
          <w:b w:val="0"/>
        </w:rPr>
      </w:pPr>
      <w:r w:rsidRPr="00A97C36">
        <w:rPr>
          <w:rStyle w:val="Voetnootmarkering"/>
          <w:b w:val="0"/>
        </w:rPr>
        <w:footnoteRef/>
      </w:r>
      <w:r w:rsidRPr="00A97C36">
        <w:rPr>
          <w:b w:val="0"/>
        </w:rPr>
        <w:t xml:space="preserve"> Rb. Breda 4 augustus 2010, </w:t>
      </w:r>
      <w:r w:rsidRPr="00A97C36">
        <w:rPr>
          <w:rFonts w:cstheme="minorHAnsi"/>
          <w:b w:val="0"/>
        </w:rPr>
        <w:t xml:space="preserve">ECLI:NL:RBBRE:2010:BO0941, </w:t>
      </w:r>
      <w:proofErr w:type="spellStart"/>
      <w:r w:rsidRPr="00A97C36">
        <w:rPr>
          <w:rFonts w:cstheme="minorHAnsi"/>
          <w:b w:val="0"/>
        </w:rPr>
        <w:t>r.o.</w:t>
      </w:r>
      <w:proofErr w:type="spellEnd"/>
      <w:r w:rsidRPr="00A97C36">
        <w:rPr>
          <w:rFonts w:cstheme="minorHAnsi"/>
          <w:b w:val="0"/>
        </w:rPr>
        <w:t xml:space="preserve"> 3.24 en 3.30.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7F" w:rsidRDefault="00473D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7F" w:rsidRDefault="00473D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39F"/>
    <w:multiLevelType w:val="hybridMultilevel"/>
    <w:tmpl w:val="0C58E17A"/>
    <w:lvl w:ilvl="0" w:tplc="2D58D4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ED126A"/>
    <w:multiLevelType w:val="hybridMultilevel"/>
    <w:tmpl w:val="82DCC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2465E2"/>
    <w:multiLevelType w:val="hybridMultilevel"/>
    <w:tmpl w:val="5594A06E"/>
    <w:lvl w:ilvl="0" w:tplc="5F48CE2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0B25DF"/>
    <w:multiLevelType w:val="hybridMultilevel"/>
    <w:tmpl w:val="AE243CBE"/>
    <w:lvl w:ilvl="0" w:tplc="7C7E82CE">
      <w:start w:val="1"/>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906E89"/>
    <w:multiLevelType w:val="hybridMultilevel"/>
    <w:tmpl w:val="ADA62E94"/>
    <w:lvl w:ilvl="0" w:tplc="BF9C479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842FEE"/>
    <w:multiLevelType w:val="hybridMultilevel"/>
    <w:tmpl w:val="1E924C02"/>
    <w:lvl w:ilvl="0" w:tplc="8436AC3C">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445514"/>
    <w:multiLevelType w:val="multilevel"/>
    <w:tmpl w:val="351C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D2111"/>
    <w:multiLevelType w:val="hybridMultilevel"/>
    <w:tmpl w:val="87C4E2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A446376"/>
    <w:multiLevelType w:val="hybridMultilevel"/>
    <w:tmpl w:val="CA6629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1DF61B9E"/>
    <w:multiLevelType w:val="hybridMultilevel"/>
    <w:tmpl w:val="7D7ED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2941DB"/>
    <w:multiLevelType w:val="hybridMultilevel"/>
    <w:tmpl w:val="BB065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87024E"/>
    <w:multiLevelType w:val="hybridMultilevel"/>
    <w:tmpl w:val="2D2EBF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29387909"/>
    <w:multiLevelType w:val="hybridMultilevel"/>
    <w:tmpl w:val="EAA2D9BA"/>
    <w:lvl w:ilvl="0" w:tplc="FBB04CE8">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C323F28"/>
    <w:multiLevelType w:val="hybridMultilevel"/>
    <w:tmpl w:val="497434F4"/>
    <w:lvl w:ilvl="0" w:tplc="6D363B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7F44DFA"/>
    <w:multiLevelType w:val="hybridMultilevel"/>
    <w:tmpl w:val="A202B508"/>
    <w:lvl w:ilvl="0" w:tplc="A4F6ED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19B0F60"/>
    <w:multiLevelType w:val="hybridMultilevel"/>
    <w:tmpl w:val="D4A090CA"/>
    <w:lvl w:ilvl="0" w:tplc="1B68E174">
      <w:start w:val="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2BD18D2"/>
    <w:multiLevelType w:val="hybridMultilevel"/>
    <w:tmpl w:val="87C4E2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8691C39"/>
    <w:multiLevelType w:val="hybridMultilevel"/>
    <w:tmpl w:val="DC4A8C9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CAC3497"/>
    <w:multiLevelType w:val="hybridMultilevel"/>
    <w:tmpl w:val="1DD6F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D864EB9"/>
    <w:multiLevelType w:val="hybridMultilevel"/>
    <w:tmpl w:val="76B21F9A"/>
    <w:lvl w:ilvl="0" w:tplc="EC9CD31C">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E8622D8"/>
    <w:multiLevelType w:val="hybridMultilevel"/>
    <w:tmpl w:val="B9D6C692"/>
    <w:lvl w:ilvl="0" w:tplc="424A8202">
      <w:start w:val="1"/>
      <w:numFmt w:val="upperLetter"/>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502E3AF5"/>
    <w:multiLevelType w:val="hybridMultilevel"/>
    <w:tmpl w:val="729C6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16E2982"/>
    <w:multiLevelType w:val="hybridMultilevel"/>
    <w:tmpl w:val="976EBE14"/>
    <w:lvl w:ilvl="0" w:tplc="1566316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2C46EE9"/>
    <w:multiLevelType w:val="hybridMultilevel"/>
    <w:tmpl w:val="E0A6C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2DF031D"/>
    <w:multiLevelType w:val="hybridMultilevel"/>
    <w:tmpl w:val="153E4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4F46388"/>
    <w:multiLevelType w:val="hybridMultilevel"/>
    <w:tmpl w:val="8416D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50F7891"/>
    <w:multiLevelType w:val="multilevel"/>
    <w:tmpl w:val="24B0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C67E93"/>
    <w:multiLevelType w:val="hybridMultilevel"/>
    <w:tmpl w:val="D35060F4"/>
    <w:lvl w:ilvl="0" w:tplc="4F0C18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F61AD5"/>
    <w:multiLevelType w:val="hybridMultilevel"/>
    <w:tmpl w:val="B4A6E25A"/>
    <w:lvl w:ilvl="0" w:tplc="58620E2A">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A3F48F8"/>
    <w:multiLevelType w:val="hybridMultilevel"/>
    <w:tmpl w:val="5156CA3E"/>
    <w:lvl w:ilvl="0" w:tplc="FAB0C7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B167568"/>
    <w:multiLevelType w:val="hybridMultilevel"/>
    <w:tmpl w:val="C674E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06B14F9"/>
    <w:multiLevelType w:val="hybridMultilevel"/>
    <w:tmpl w:val="7332E7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19E004D"/>
    <w:multiLevelType w:val="hybridMultilevel"/>
    <w:tmpl w:val="09903910"/>
    <w:lvl w:ilvl="0" w:tplc="5B24D4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2550F2"/>
    <w:multiLevelType w:val="hybridMultilevel"/>
    <w:tmpl w:val="3A58D540"/>
    <w:lvl w:ilvl="0" w:tplc="587AD8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57312A9"/>
    <w:multiLevelType w:val="hybridMultilevel"/>
    <w:tmpl w:val="14E041C6"/>
    <w:lvl w:ilvl="0" w:tplc="4F8AC3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5894AEC"/>
    <w:multiLevelType w:val="hybridMultilevel"/>
    <w:tmpl w:val="24E0EDFA"/>
    <w:lvl w:ilvl="0" w:tplc="BAA247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F135124"/>
    <w:multiLevelType w:val="hybridMultilevel"/>
    <w:tmpl w:val="573C3258"/>
    <w:lvl w:ilvl="0" w:tplc="12349D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5"/>
  </w:num>
  <w:num w:numId="4">
    <w:abstractNumId w:val="34"/>
  </w:num>
  <w:num w:numId="5">
    <w:abstractNumId w:val="5"/>
  </w:num>
  <w:num w:numId="6">
    <w:abstractNumId w:val="29"/>
  </w:num>
  <w:num w:numId="7">
    <w:abstractNumId w:val="4"/>
  </w:num>
  <w:num w:numId="8">
    <w:abstractNumId w:val="0"/>
  </w:num>
  <w:num w:numId="9">
    <w:abstractNumId w:val="13"/>
  </w:num>
  <w:num w:numId="10">
    <w:abstractNumId w:val="26"/>
  </w:num>
  <w:num w:numId="11">
    <w:abstractNumId w:val="14"/>
  </w:num>
  <w:num w:numId="12">
    <w:abstractNumId w:val="27"/>
  </w:num>
  <w:num w:numId="13">
    <w:abstractNumId w:val="6"/>
  </w:num>
  <w:num w:numId="14">
    <w:abstractNumId w:val="36"/>
  </w:num>
  <w:num w:numId="15">
    <w:abstractNumId w:val="19"/>
  </w:num>
  <w:num w:numId="16">
    <w:abstractNumId w:val="18"/>
  </w:num>
  <w:num w:numId="17">
    <w:abstractNumId w:val="1"/>
  </w:num>
  <w:num w:numId="18">
    <w:abstractNumId w:val="10"/>
  </w:num>
  <w:num w:numId="19">
    <w:abstractNumId w:val="25"/>
  </w:num>
  <w:num w:numId="20">
    <w:abstractNumId w:val="23"/>
  </w:num>
  <w:num w:numId="21">
    <w:abstractNumId w:val="9"/>
  </w:num>
  <w:num w:numId="22">
    <w:abstractNumId w:val="21"/>
  </w:num>
  <w:num w:numId="23">
    <w:abstractNumId w:val="24"/>
  </w:num>
  <w:num w:numId="24">
    <w:abstractNumId w:val="30"/>
  </w:num>
  <w:num w:numId="25">
    <w:abstractNumId w:val="7"/>
  </w:num>
  <w:num w:numId="26">
    <w:abstractNumId w:val="17"/>
  </w:num>
  <w:num w:numId="27">
    <w:abstractNumId w:val="3"/>
  </w:num>
  <w:num w:numId="28">
    <w:abstractNumId w:val="16"/>
  </w:num>
  <w:num w:numId="29">
    <w:abstractNumId w:val="22"/>
  </w:num>
  <w:num w:numId="30">
    <w:abstractNumId w:val="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3"/>
  </w:num>
  <w:num w:numId="34">
    <w:abstractNumId w:val="31"/>
  </w:num>
  <w:num w:numId="35">
    <w:abstractNumId w:val="28"/>
  </w:num>
  <w:num w:numId="36">
    <w:abstractNumId w:val="1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59"/>
    <w:rsid w:val="000026B4"/>
    <w:rsid w:val="000043FC"/>
    <w:rsid w:val="00004EB0"/>
    <w:rsid w:val="000059FA"/>
    <w:rsid w:val="00006FC5"/>
    <w:rsid w:val="00007964"/>
    <w:rsid w:val="00007A13"/>
    <w:rsid w:val="000103AB"/>
    <w:rsid w:val="00010D36"/>
    <w:rsid w:val="0001120F"/>
    <w:rsid w:val="00011E0A"/>
    <w:rsid w:val="000123D4"/>
    <w:rsid w:val="000144C5"/>
    <w:rsid w:val="00014705"/>
    <w:rsid w:val="000148D4"/>
    <w:rsid w:val="00014EF2"/>
    <w:rsid w:val="000154EA"/>
    <w:rsid w:val="0001597D"/>
    <w:rsid w:val="0001734E"/>
    <w:rsid w:val="00021C6A"/>
    <w:rsid w:val="00022697"/>
    <w:rsid w:val="000226EE"/>
    <w:rsid w:val="00024240"/>
    <w:rsid w:val="0002552B"/>
    <w:rsid w:val="00030A9B"/>
    <w:rsid w:val="00033B89"/>
    <w:rsid w:val="0003482B"/>
    <w:rsid w:val="000360BE"/>
    <w:rsid w:val="000367D0"/>
    <w:rsid w:val="00037E05"/>
    <w:rsid w:val="000404BE"/>
    <w:rsid w:val="00041595"/>
    <w:rsid w:val="00042318"/>
    <w:rsid w:val="0004242B"/>
    <w:rsid w:val="00043296"/>
    <w:rsid w:val="00043CF6"/>
    <w:rsid w:val="00044867"/>
    <w:rsid w:val="000456D0"/>
    <w:rsid w:val="000465A2"/>
    <w:rsid w:val="00047852"/>
    <w:rsid w:val="00050A36"/>
    <w:rsid w:val="0005189F"/>
    <w:rsid w:val="000519DC"/>
    <w:rsid w:val="00052760"/>
    <w:rsid w:val="000536E6"/>
    <w:rsid w:val="00053822"/>
    <w:rsid w:val="00053BCB"/>
    <w:rsid w:val="00054BA9"/>
    <w:rsid w:val="00055A5F"/>
    <w:rsid w:val="0005712C"/>
    <w:rsid w:val="00060088"/>
    <w:rsid w:val="000616B8"/>
    <w:rsid w:val="00063098"/>
    <w:rsid w:val="00064FB2"/>
    <w:rsid w:val="00065686"/>
    <w:rsid w:val="00066103"/>
    <w:rsid w:val="00066829"/>
    <w:rsid w:val="00066854"/>
    <w:rsid w:val="00066C39"/>
    <w:rsid w:val="00066E11"/>
    <w:rsid w:val="00066F94"/>
    <w:rsid w:val="0007004D"/>
    <w:rsid w:val="000700BF"/>
    <w:rsid w:val="000700FD"/>
    <w:rsid w:val="00072131"/>
    <w:rsid w:val="00072531"/>
    <w:rsid w:val="00073290"/>
    <w:rsid w:val="00073BD9"/>
    <w:rsid w:val="00074B4A"/>
    <w:rsid w:val="00074ED9"/>
    <w:rsid w:val="000765F1"/>
    <w:rsid w:val="00076AAA"/>
    <w:rsid w:val="0007747E"/>
    <w:rsid w:val="00077FDF"/>
    <w:rsid w:val="00080947"/>
    <w:rsid w:val="000809D8"/>
    <w:rsid w:val="000809FA"/>
    <w:rsid w:val="00082E29"/>
    <w:rsid w:val="00083A8E"/>
    <w:rsid w:val="00086AB6"/>
    <w:rsid w:val="00086CCA"/>
    <w:rsid w:val="00086E63"/>
    <w:rsid w:val="00091881"/>
    <w:rsid w:val="00092EAF"/>
    <w:rsid w:val="00093324"/>
    <w:rsid w:val="00093BB4"/>
    <w:rsid w:val="00094F1B"/>
    <w:rsid w:val="00096565"/>
    <w:rsid w:val="00096A02"/>
    <w:rsid w:val="00096AC5"/>
    <w:rsid w:val="000A139E"/>
    <w:rsid w:val="000A2445"/>
    <w:rsid w:val="000A2610"/>
    <w:rsid w:val="000A3FF7"/>
    <w:rsid w:val="000A4BE8"/>
    <w:rsid w:val="000A514A"/>
    <w:rsid w:val="000A6F5D"/>
    <w:rsid w:val="000B01F6"/>
    <w:rsid w:val="000B0ECF"/>
    <w:rsid w:val="000B1572"/>
    <w:rsid w:val="000B2EF7"/>
    <w:rsid w:val="000B329A"/>
    <w:rsid w:val="000B36BA"/>
    <w:rsid w:val="000B3A5B"/>
    <w:rsid w:val="000B4079"/>
    <w:rsid w:val="000B4FDF"/>
    <w:rsid w:val="000B62C8"/>
    <w:rsid w:val="000B64E8"/>
    <w:rsid w:val="000B68A8"/>
    <w:rsid w:val="000B6F32"/>
    <w:rsid w:val="000B776A"/>
    <w:rsid w:val="000C0A37"/>
    <w:rsid w:val="000C0D08"/>
    <w:rsid w:val="000C158F"/>
    <w:rsid w:val="000C221D"/>
    <w:rsid w:val="000C3480"/>
    <w:rsid w:val="000C45A3"/>
    <w:rsid w:val="000C596A"/>
    <w:rsid w:val="000C5FD9"/>
    <w:rsid w:val="000C615A"/>
    <w:rsid w:val="000C626E"/>
    <w:rsid w:val="000C6D68"/>
    <w:rsid w:val="000D059A"/>
    <w:rsid w:val="000D0A68"/>
    <w:rsid w:val="000D0BD0"/>
    <w:rsid w:val="000D1DF5"/>
    <w:rsid w:val="000D320E"/>
    <w:rsid w:val="000D34CB"/>
    <w:rsid w:val="000D380A"/>
    <w:rsid w:val="000D3AD4"/>
    <w:rsid w:val="000D4BE5"/>
    <w:rsid w:val="000D4F87"/>
    <w:rsid w:val="000D5C56"/>
    <w:rsid w:val="000D5FB7"/>
    <w:rsid w:val="000D6975"/>
    <w:rsid w:val="000D72E5"/>
    <w:rsid w:val="000D736F"/>
    <w:rsid w:val="000D7955"/>
    <w:rsid w:val="000E02AB"/>
    <w:rsid w:val="000E1A5D"/>
    <w:rsid w:val="000E27C7"/>
    <w:rsid w:val="000E59B7"/>
    <w:rsid w:val="000E67A4"/>
    <w:rsid w:val="000E6A67"/>
    <w:rsid w:val="000E72BB"/>
    <w:rsid w:val="000E7D99"/>
    <w:rsid w:val="000F330C"/>
    <w:rsid w:val="000F58C8"/>
    <w:rsid w:val="000F6497"/>
    <w:rsid w:val="000F6C85"/>
    <w:rsid w:val="001033D3"/>
    <w:rsid w:val="001049A9"/>
    <w:rsid w:val="001054C9"/>
    <w:rsid w:val="001067BE"/>
    <w:rsid w:val="00106A9E"/>
    <w:rsid w:val="00106E33"/>
    <w:rsid w:val="00107063"/>
    <w:rsid w:val="001071B3"/>
    <w:rsid w:val="001102F0"/>
    <w:rsid w:val="00111A8E"/>
    <w:rsid w:val="00111CD4"/>
    <w:rsid w:val="0011250F"/>
    <w:rsid w:val="00112B0E"/>
    <w:rsid w:val="00112E66"/>
    <w:rsid w:val="0011358E"/>
    <w:rsid w:val="00113C00"/>
    <w:rsid w:val="00114D62"/>
    <w:rsid w:val="00114E4E"/>
    <w:rsid w:val="00115A47"/>
    <w:rsid w:val="0011639C"/>
    <w:rsid w:val="00116D99"/>
    <w:rsid w:val="0012021D"/>
    <w:rsid w:val="001221C7"/>
    <w:rsid w:val="00122DBA"/>
    <w:rsid w:val="00123D9B"/>
    <w:rsid w:val="00126372"/>
    <w:rsid w:val="001266D2"/>
    <w:rsid w:val="001275E6"/>
    <w:rsid w:val="00127710"/>
    <w:rsid w:val="0013049A"/>
    <w:rsid w:val="0013076D"/>
    <w:rsid w:val="00130BFF"/>
    <w:rsid w:val="00130D7D"/>
    <w:rsid w:val="001310CD"/>
    <w:rsid w:val="0013195E"/>
    <w:rsid w:val="00132361"/>
    <w:rsid w:val="0013241F"/>
    <w:rsid w:val="00133936"/>
    <w:rsid w:val="0013467B"/>
    <w:rsid w:val="001355E0"/>
    <w:rsid w:val="00135BE0"/>
    <w:rsid w:val="00136316"/>
    <w:rsid w:val="0013659D"/>
    <w:rsid w:val="00136CA7"/>
    <w:rsid w:val="00136CF0"/>
    <w:rsid w:val="00136F9F"/>
    <w:rsid w:val="00140A8D"/>
    <w:rsid w:val="00141F42"/>
    <w:rsid w:val="00142B16"/>
    <w:rsid w:val="00144874"/>
    <w:rsid w:val="00144BC1"/>
    <w:rsid w:val="00145566"/>
    <w:rsid w:val="00145F51"/>
    <w:rsid w:val="00147E71"/>
    <w:rsid w:val="001501E6"/>
    <w:rsid w:val="0015058F"/>
    <w:rsid w:val="0015062F"/>
    <w:rsid w:val="0015114F"/>
    <w:rsid w:val="00151506"/>
    <w:rsid w:val="001528D2"/>
    <w:rsid w:val="001530C1"/>
    <w:rsid w:val="001541F6"/>
    <w:rsid w:val="0015493D"/>
    <w:rsid w:val="00155284"/>
    <w:rsid w:val="001552EF"/>
    <w:rsid w:val="001567C2"/>
    <w:rsid w:val="001606A2"/>
    <w:rsid w:val="00160A9F"/>
    <w:rsid w:val="0016174B"/>
    <w:rsid w:val="001618EE"/>
    <w:rsid w:val="001619FD"/>
    <w:rsid w:val="00161FA8"/>
    <w:rsid w:val="00162C23"/>
    <w:rsid w:val="00162EFB"/>
    <w:rsid w:val="001632F2"/>
    <w:rsid w:val="0016341C"/>
    <w:rsid w:val="00163D4E"/>
    <w:rsid w:val="00164020"/>
    <w:rsid w:val="00164910"/>
    <w:rsid w:val="00164A9F"/>
    <w:rsid w:val="00164E92"/>
    <w:rsid w:val="00164F25"/>
    <w:rsid w:val="00166C7B"/>
    <w:rsid w:val="001673B3"/>
    <w:rsid w:val="00170F73"/>
    <w:rsid w:val="001742EA"/>
    <w:rsid w:val="00174EC7"/>
    <w:rsid w:val="001757FA"/>
    <w:rsid w:val="00176772"/>
    <w:rsid w:val="001774B8"/>
    <w:rsid w:val="001777C4"/>
    <w:rsid w:val="00180AD1"/>
    <w:rsid w:val="00180D55"/>
    <w:rsid w:val="0018162E"/>
    <w:rsid w:val="001818E6"/>
    <w:rsid w:val="00181BD3"/>
    <w:rsid w:val="00182A2E"/>
    <w:rsid w:val="00184707"/>
    <w:rsid w:val="00184BC4"/>
    <w:rsid w:val="00185616"/>
    <w:rsid w:val="00186208"/>
    <w:rsid w:val="00187401"/>
    <w:rsid w:val="00192A2F"/>
    <w:rsid w:val="00192A58"/>
    <w:rsid w:val="00192DB1"/>
    <w:rsid w:val="00192E69"/>
    <w:rsid w:val="00193005"/>
    <w:rsid w:val="0019366E"/>
    <w:rsid w:val="001942E7"/>
    <w:rsid w:val="0019447C"/>
    <w:rsid w:val="00195E4E"/>
    <w:rsid w:val="00196529"/>
    <w:rsid w:val="00196ACA"/>
    <w:rsid w:val="00197824"/>
    <w:rsid w:val="00197E27"/>
    <w:rsid w:val="001A0213"/>
    <w:rsid w:val="001A11FF"/>
    <w:rsid w:val="001A26F2"/>
    <w:rsid w:val="001A3783"/>
    <w:rsid w:val="001A442F"/>
    <w:rsid w:val="001A4880"/>
    <w:rsid w:val="001A4B46"/>
    <w:rsid w:val="001A56A5"/>
    <w:rsid w:val="001A5880"/>
    <w:rsid w:val="001A5D6D"/>
    <w:rsid w:val="001A668E"/>
    <w:rsid w:val="001A732B"/>
    <w:rsid w:val="001B0004"/>
    <w:rsid w:val="001B0436"/>
    <w:rsid w:val="001B0780"/>
    <w:rsid w:val="001B1AF2"/>
    <w:rsid w:val="001B1FE6"/>
    <w:rsid w:val="001B2E73"/>
    <w:rsid w:val="001B34BE"/>
    <w:rsid w:val="001B5A97"/>
    <w:rsid w:val="001B60C0"/>
    <w:rsid w:val="001B616A"/>
    <w:rsid w:val="001B63A3"/>
    <w:rsid w:val="001B73B0"/>
    <w:rsid w:val="001C0254"/>
    <w:rsid w:val="001C03C4"/>
    <w:rsid w:val="001C0F0A"/>
    <w:rsid w:val="001C1E27"/>
    <w:rsid w:val="001C3640"/>
    <w:rsid w:val="001C3CA3"/>
    <w:rsid w:val="001C3E7A"/>
    <w:rsid w:val="001C74DF"/>
    <w:rsid w:val="001D03C7"/>
    <w:rsid w:val="001D089F"/>
    <w:rsid w:val="001D0C86"/>
    <w:rsid w:val="001D0F7C"/>
    <w:rsid w:val="001D1D98"/>
    <w:rsid w:val="001D2206"/>
    <w:rsid w:val="001D2A2E"/>
    <w:rsid w:val="001D39CD"/>
    <w:rsid w:val="001D5526"/>
    <w:rsid w:val="001D5570"/>
    <w:rsid w:val="001D5F49"/>
    <w:rsid w:val="001D6880"/>
    <w:rsid w:val="001D6B32"/>
    <w:rsid w:val="001D725C"/>
    <w:rsid w:val="001D7CE5"/>
    <w:rsid w:val="001E0CDA"/>
    <w:rsid w:val="001E1C2B"/>
    <w:rsid w:val="001E22E6"/>
    <w:rsid w:val="001E28B7"/>
    <w:rsid w:val="001E47EE"/>
    <w:rsid w:val="001E6760"/>
    <w:rsid w:val="001E70D5"/>
    <w:rsid w:val="001F0B13"/>
    <w:rsid w:val="001F0B67"/>
    <w:rsid w:val="001F0BF9"/>
    <w:rsid w:val="001F11D9"/>
    <w:rsid w:val="001F2AAE"/>
    <w:rsid w:val="001F53DF"/>
    <w:rsid w:val="001F54B1"/>
    <w:rsid w:val="001F5B0A"/>
    <w:rsid w:val="001F5C72"/>
    <w:rsid w:val="001F6100"/>
    <w:rsid w:val="001F6431"/>
    <w:rsid w:val="001F662F"/>
    <w:rsid w:val="001F7EF3"/>
    <w:rsid w:val="00200B7B"/>
    <w:rsid w:val="00200DDA"/>
    <w:rsid w:val="0020126A"/>
    <w:rsid w:val="002019C2"/>
    <w:rsid w:val="00201F19"/>
    <w:rsid w:val="0020256B"/>
    <w:rsid w:val="002026F9"/>
    <w:rsid w:val="00202B3C"/>
    <w:rsid w:val="002031E8"/>
    <w:rsid w:val="002031EC"/>
    <w:rsid w:val="00204E4D"/>
    <w:rsid w:val="002052D6"/>
    <w:rsid w:val="00205409"/>
    <w:rsid w:val="0020558B"/>
    <w:rsid w:val="002062E3"/>
    <w:rsid w:val="00206827"/>
    <w:rsid w:val="002069C4"/>
    <w:rsid w:val="0020719E"/>
    <w:rsid w:val="00207B14"/>
    <w:rsid w:val="00210367"/>
    <w:rsid w:val="002107CE"/>
    <w:rsid w:val="00210AA1"/>
    <w:rsid w:val="00210C52"/>
    <w:rsid w:val="00210EFA"/>
    <w:rsid w:val="002129CB"/>
    <w:rsid w:val="00212D81"/>
    <w:rsid w:val="00212F5B"/>
    <w:rsid w:val="00214687"/>
    <w:rsid w:val="0021579F"/>
    <w:rsid w:val="0022076B"/>
    <w:rsid w:val="00220B05"/>
    <w:rsid w:val="00220BD0"/>
    <w:rsid w:val="00221C11"/>
    <w:rsid w:val="00222101"/>
    <w:rsid w:val="002222B2"/>
    <w:rsid w:val="002224EC"/>
    <w:rsid w:val="00224263"/>
    <w:rsid w:val="0022499A"/>
    <w:rsid w:val="00224C14"/>
    <w:rsid w:val="00226A9F"/>
    <w:rsid w:val="00227A09"/>
    <w:rsid w:val="00230888"/>
    <w:rsid w:val="0023265C"/>
    <w:rsid w:val="002329F2"/>
    <w:rsid w:val="00233735"/>
    <w:rsid w:val="00233877"/>
    <w:rsid w:val="00233E03"/>
    <w:rsid w:val="00233E91"/>
    <w:rsid w:val="00233EF0"/>
    <w:rsid w:val="0023457F"/>
    <w:rsid w:val="00235F1C"/>
    <w:rsid w:val="00237AB3"/>
    <w:rsid w:val="002411AF"/>
    <w:rsid w:val="00241BCB"/>
    <w:rsid w:val="002425A0"/>
    <w:rsid w:val="00242788"/>
    <w:rsid w:val="002435BE"/>
    <w:rsid w:val="002439A4"/>
    <w:rsid w:val="002447BD"/>
    <w:rsid w:val="00244E36"/>
    <w:rsid w:val="0024520D"/>
    <w:rsid w:val="002452B3"/>
    <w:rsid w:val="002461E3"/>
    <w:rsid w:val="002464B4"/>
    <w:rsid w:val="002467BE"/>
    <w:rsid w:val="00247C2D"/>
    <w:rsid w:val="00250925"/>
    <w:rsid w:val="00250DC0"/>
    <w:rsid w:val="0025104E"/>
    <w:rsid w:val="00251D2D"/>
    <w:rsid w:val="00252EF1"/>
    <w:rsid w:val="0025313E"/>
    <w:rsid w:val="00255103"/>
    <w:rsid w:val="00255759"/>
    <w:rsid w:val="00255D31"/>
    <w:rsid w:val="00256B80"/>
    <w:rsid w:val="00256F52"/>
    <w:rsid w:val="0026040D"/>
    <w:rsid w:val="00261678"/>
    <w:rsid w:val="00261D01"/>
    <w:rsid w:val="00261DAD"/>
    <w:rsid w:val="00262AFD"/>
    <w:rsid w:val="00263B50"/>
    <w:rsid w:val="00263B86"/>
    <w:rsid w:val="00263B9D"/>
    <w:rsid w:val="00264D38"/>
    <w:rsid w:val="00265B23"/>
    <w:rsid w:val="00266916"/>
    <w:rsid w:val="00266C2F"/>
    <w:rsid w:val="00266ECB"/>
    <w:rsid w:val="00267EFE"/>
    <w:rsid w:val="0027086D"/>
    <w:rsid w:val="00270CCF"/>
    <w:rsid w:val="00271468"/>
    <w:rsid w:val="002726C6"/>
    <w:rsid w:val="00272754"/>
    <w:rsid w:val="00272E3E"/>
    <w:rsid w:val="002743C8"/>
    <w:rsid w:val="002753CD"/>
    <w:rsid w:val="00275CD6"/>
    <w:rsid w:val="00277884"/>
    <w:rsid w:val="00277911"/>
    <w:rsid w:val="002803D2"/>
    <w:rsid w:val="00280402"/>
    <w:rsid w:val="00280575"/>
    <w:rsid w:val="00280866"/>
    <w:rsid w:val="00281005"/>
    <w:rsid w:val="002820A0"/>
    <w:rsid w:val="002820B7"/>
    <w:rsid w:val="002821E2"/>
    <w:rsid w:val="00282B16"/>
    <w:rsid w:val="00282B8A"/>
    <w:rsid w:val="00283347"/>
    <w:rsid w:val="00284D2A"/>
    <w:rsid w:val="002866BC"/>
    <w:rsid w:val="00286B21"/>
    <w:rsid w:val="00287C74"/>
    <w:rsid w:val="00287E85"/>
    <w:rsid w:val="00287ECE"/>
    <w:rsid w:val="00290DFC"/>
    <w:rsid w:val="0029142F"/>
    <w:rsid w:val="002921CE"/>
    <w:rsid w:val="00292CFA"/>
    <w:rsid w:val="00293BC2"/>
    <w:rsid w:val="00293E5F"/>
    <w:rsid w:val="0029470B"/>
    <w:rsid w:val="00295033"/>
    <w:rsid w:val="00295852"/>
    <w:rsid w:val="00295AD0"/>
    <w:rsid w:val="0029620C"/>
    <w:rsid w:val="002969F5"/>
    <w:rsid w:val="002A1E7F"/>
    <w:rsid w:val="002A32B0"/>
    <w:rsid w:val="002A341C"/>
    <w:rsid w:val="002A4A9B"/>
    <w:rsid w:val="002A4B8F"/>
    <w:rsid w:val="002B09AB"/>
    <w:rsid w:val="002B1EEE"/>
    <w:rsid w:val="002B2F0C"/>
    <w:rsid w:val="002B5083"/>
    <w:rsid w:val="002B539D"/>
    <w:rsid w:val="002B53AA"/>
    <w:rsid w:val="002B58D2"/>
    <w:rsid w:val="002B797C"/>
    <w:rsid w:val="002B7AD4"/>
    <w:rsid w:val="002C0286"/>
    <w:rsid w:val="002C0414"/>
    <w:rsid w:val="002C072A"/>
    <w:rsid w:val="002C1739"/>
    <w:rsid w:val="002C26CF"/>
    <w:rsid w:val="002C2F66"/>
    <w:rsid w:val="002C42E3"/>
    <w:rsid w:val="002C490B"/>
    <w:rsid w:val="002C4C4E"/>
    <w:rsid w:val="002C609D"/>
    <w:rsid w:val="002C69B4"/>
    <w:rsid w:val="002C73A2"/>
    <w:rsid w:val="002C76CF"/>
    <w:rsid w:val="002D002C"/>
    <w:rsid w:val="002D1398"/>
    <w:rsid w:val="002D2BD8"/>
    <w:rsid w:val="002D35F7"/>
    <w:rsid w:val="002D41C0"/>
    <w:rsid w:val="002D4CCB"/>
    <w:rsid w:val="002D6D1D"/>
    <w:rsid w:val="002E0CE2"/>
    <w:rsid w:val="002E15AE"/>
    <w:rsid w:val="002E2014"/>
    <w:rsid w:val="002E32D5"/>
    <w:rsid w:val="002E3851"/>
    <w:rsid w:val="002E3AAB"/>
    <w:rsid w:val="002E3FAE"/>
    <w:rsid w:val="002E4B0C"/>
    <w:rsid w:val="002E5043"/>
    <w:rsid w:val="002E6495"/>
    <w:rsid w:val="002E72A1"/>
    <w:rsid w:val="002E7482"/>
    <w:rsid w:val="002F001A"/>
    <w:rsid w:val="002F1E1F"/>
    <w:rsid w:val="002F2320"/>
    <w:rsid w:val="002F2F20"/>
    <w:rsid w:val="002F33BC"/>
    <w:rsid w:val="002F33F1"/>
    <w:rsid w:val="002F3FA8"/>
    <w:rsid w:val="002F511F"/>
    <w:rsid w:val="002F60D8"/>
    <w:rsid w:val="002F68A1"/>
    <w:rsid w:val="002F6C82"/>
    <w:rsid w:val="002F6CB3"/>
    <w:rsid w:val="002F722E"/>
    <w:rsid w:val="002F767E"/>
    <w:rsid w:val="00300316"/>
    <w:rsid w:val="003004EF"/>
    <w:rsid w:val="003018B4"/>
    <w:rsid w:val="00303012"/>
    <w:rsid w:val="00303063"/>
    <w:rsid w:val="003038D1"/>
    <w:rsid w:val="00304E4A"/>
    <w:rsid w:val="00304F9D"/>
    <w:rsid w:val="00305387"/>
    <w:rsid w:val="00305A98"/>
    <w:rsid w:val="0030629B"/>
    <w:rsid w:val="0030645A"/>
    <w:rsid w:val="003068D4"/>
    <w:rsid w:val="00306B2F"/>
    <w:rsid w:val="00306BAF"/>
    <w:rsid w:val="00307636"/>
    <w:rsid w:val="0030768F"/>
    <w:rsid w:val="00310224"/>
    <w:rsid w:val="00310237"/>
    <w:rsid w:val="00310496"/>
    <w:rsid w:val="00312763"/>
    <w:rsid w:val="003133B0"/>
    <w:rsid w:val="00313915"/>
    <w:rsid w:val="00314272"/>
    <w:rsid w:val="00315034"/>
    <w:rsid w:val="00315855"/>
    <w:rsid w:val="0031586A"/>
    <w:rsid w:val="00315946"/>
    <w:rsid w:val="00315E7F"/>
    <w:rsid w:val="003215A1"/>
    <w:rsid w:val="00323478"/>
    <w:rsid w:val="00323AB0"/>
    <w:rsid w:val="00323B91"/>
    <w:rsid w:val="00325F44"/>
    <w:rsid w:val="00326DD2"/>
    <w:rsid w:val="0032729C"/>
    <w:rsid w:val="003276F9"/>
    <w:rsid w:val="0032772F"/>
    <w:rsid w:val="003305D1"/>
    <w:rsid w:val="0033067F"/>
    <w:rsid w:val="003309EB"/>
    <w:rsid w:val="00330B06"/>
    <w:rsid w:val="00330CD9"/>
    <w:rsid w:val="00330EDD"/>
    <w:rsid w:val="00331282"/>
    <w:rsid w:val="0033361C"/>
    <w:rsid w:val="00333EF7"/>
    <w:rsid w:val="003346EF"/>
    <w:rsid w:val="00336354"/>
    <w:rsid w:val="00341578"/>
    <w:rsid w:val="00341AB9"/>
    <w:rsid w:val="00341B5B"/>
    <w:rsid w:val="00343D97"/>
    <w:rsid w:val="00344E78"/>
    <w:rsid w:val="003462F2"/>
    <w:rsid w:val="00346599"/>
    <w:rsid w:val="00350AD8"/>
    <w:rsid w:val="00351060"/>
    <w:rsid w:val="003512F2"/>
    <w:rsid w:val="0035278C"/>
    <w:rsid w:val="00352C2D"/>
    <w:rsid w:val="00354599"/>
    <w:rsid w:val="0035533D"/>
    <w:rsid w:val="0035620A"/>
    <w:rsid w:val="003562C8"/>
    <w:rsid w:val="003600BD"/>
    <w:rsid w:val="00360822"/>
    <w:rsid w:val="0036124F"/>
    <w:rsid w:val="0036315C"/>
    <w:rsid w:val="003642CB"/>
    <w:rsid w:val="003649C6"/>
    <w:rsid w:val="00364A8F"/>
    <w:rsid w:val="0036504D"/>
    <w:rsid w:val="00365546"/>
    <w:rsid w:val="003656AE"/>
    <w:rsid w:val="0036675D"/>
    <w:rsid w:val="00367329"/>
    <w:rsid w:val="00367D19"/>
    <w:rsid w:val="00370C9A"/>
    <w:rsid w:val="00371CE9"/>
    <w:rsid w:val="003721E6"/>
    <w:rsid w:val="00372460"/>
    <w:rsid w:val="00372DB3"/>
    <w:rsid w:val="003735B1"/>
    <w:rsid w:val="00374AD2"/>
    <w:rsid w:val="00375687"/>
    <w:rsid w:val="00376742"/>
    <w:rsid w:val="00376EA7"/>
    <w:rsid w:val="00377DA4"/>
    <w:rsid w:val="003813BE"/>
    <w:rsid w:val="00381F6F"/>
    <w:rsid w:val="00382053"/>
    <w:rsid w:val="0038230C"/>
    <w:rsid w:val="003830C7"/>
    <w:rsid w:val="00383363"/>
    <w:rsid w:val="00383B94"/>
    <w:rsid w:val="00383E3D"/>
    <w:rsid w:val="003844FD"/>
    <w:rsid w:val="003865B3"/>
    <w:rsid w:val="00386841"/>
    <w:rsid w:val="00386A24"/>
    <w:rsid w:val="00387D1D"/>
    <w:rsid w:val="003902CD"/>
    <w:rsid w:val="00390B76"/>
    <w:rsid w:val="00390EB5"/>
    <w:rsid w:val="00391927"/>
    <w:rsid w:val="00391DDB"/>
    <w:rsid w:val="00392EE4"/>
    <w:rsid w:val="0039313D"/>
    <w:rsid w:val="00393734"/>
    <w:rsid w:val="0039406F"/>
    <w:rsid w:val="0039448B"/>
    <w:rsid w:val="00394784"/>
    <w:rsid w:val="00396214"/>
    <w:rsid w:val="00397198"/>
    <w:rsid w:val="003971A8"/>
    <w:rsid w:val="0039764E"/>
    <w:rsid w:val="00397D62"/>
    <w:rsid w:val="00397EF7"/>
    <w:rsid w:val="003A04DD"/>
    <w:rsid w:val="003A0560"/>
    <w:rsid w:val="003A25C5"/>
    <w:rsid w:val="003A300E"/>
    <w:rsid w:val="003A37DC"/>
    <w:rsid w:val="003A431A"/>
    <w:rsid w:val="003A4DB0"/>
    <w:rsid w:val="003A4F35"/>
    <w:rsid w:val="003A65E0"/>
    <w:rsid w:val="003A683D"/>
    <w:rsid w:val="003A6A87"/>
    <w:rsid w:val="003A768F"/>
    <w:rsid w:val="003B1D82"/>
    <w:rsid w:val="003B25EA"/>
    <w:rsid w:val="003B34A9"/>
    <w:rsid w:val="003B5CB6"/>
    <w:rsid w:val="003B697D"/>
    <w:rsid w:val="003B7809"/>
    <w:rsid w:val="003B79B8"/>
    <w:rsid w:val="003C233B"/>
    <w:rsid w:val="003C24A9"/>
    <w:rsid w:val="003C27C9"/>
    <w:rsid w:val="003C37C9"/>
    <w:rsid w:val="003C425D"/>
    <w:rsid w:val="003C4A15"/>
    <w:rsid w:val="003C528A"/>
    <w:rsid w:val="003C5AA5"/>
    <w:rsid w:val="003C5EE6"/>
    <w:rsid w:val="003C6050"/>
    <w:rsid w:val="003C6704"/>
    <w:rsid w:val="003D0123"/>
    <w:rsid w:val="003D0B60"/>
    <w:rsid w:val="003D3853"/>
    <w:rsid w:val="003D5039"/>
    <w:rsid w:val="003D521C"/>
    <w:rsid w:val="003D5936"/>
    <w:rsid w:val="003D6F9A"/>
    <w:rsid w:val="003D7486"/>
    <w:rsid w:val="003D76EE"/>
    <w:rsid w:val="003E055F"/>
    <w:rsid w:val="003E1725"/>
    <w:rsid w:val="003E172A"/>
    <w:rsid w:val="003E186C"/>
    <w:rsid w:val="003E2735"/>
    <w:rsid w:val="003E27F8"/>
    <w:rsid w:val="003E3B6A"/>
    <w:rsid w:val="003E3F9D"/>
    <w:rsid w:val="003E4FCC"/>
    <w:rsid w:val="003E52E4"/>
    <w:rsid w:val="003E603A"/>
    <w:rsid w:val="003E6636"/>
    <w:rsid w:val="003E741A"/>
    <w:rsid w:val="003F2176"/>
    <w:rsid w:val="003F24D0"/>
    <w:rsid w:val="003F3E79"/>
    <w:rsid w:val="003F4BEC"/>
    <w:rsid w:val="003F6400"/>
    <w:rsid w:val="003F750A"/>
    <w:rsid w:val="003F7ECE"/>
    <w:rsid w:val="004001B6"/>
    <w:rsid w:val="00400726"/>
    <w:rsid w:val="004018CF"/>
    <w:rsid w:val="00402B27"/>
    <w:rsid w:val="00402DB2"/>
    <w:rsid w:val="00402E11"/>
    <w:rsid w:val="0040362A"/>
    <w:rsid w:val="00405D32"/>
    <w:rsid w:val="004063B7"/>
    <w:rsid w:val="00406994"/>
    <w:rsid w:val="00407478"/>
    <w:rsid w:val="004079B6"/>
    <w:rsid w:val="00410E33"/>
    <w:rsid w:val="00411BDF"/>
    <w:rsid w:val="004124E6"/>
    <w:rsid w:val="0041266D"/>
    <w:rsid w:val="00412FD8"/>
    <w:rsid w:val="00413F09"/>
    <w:rsid w:val="004149D5"/>
    <w:rsid w:val="0041572A"/>
    <w:rsid w:val="00415827"/>
    <w:rsid w:val="004161B5"/>
    <w:rsid w:val="00416DBC"/>
    <w:rsid w:val="004170BA"/>
    <w:rsid w:val="0041717F"/>
    <w:rsid w:val="00417357"/>
    <w:rsid w:val="00420417"/>
    <w:rsid w:val="0042083D"/>
    <w:rsid w:val="00421771"/>
    <w:rsid w:val="004223DD"/>
    <w:rsid w:val="004227AE"/>
    <w:rsid w:val="0042299D"/>
    <w:rsid w:val="004233BE"/>
    <w:rsid w:val="004237C6"/>
    <w:rsid w:val="004249C7"/>
    <w:rsid w:val="00424C42"/>
    <w:rsid w:val="004257A8"/>
    <w:rsid w:val="004261FB"/>
    <w:rsid w:val="00426C75"/>
    <w:rsid w:val="00426C98"/>
    <w:rsid w:val="00431588"/>
    <w:rsid w:val="00432360"/>
    <w:rsid w:val="00432493"/>
    <w:rsid w:val="0043408C"/>
    <w:rsid w:val="00434E94"/>
    <w:rsid w:val="00437DB0"/>
    <w:rsid w:val="00437F3E"/>
    <w:rsid w:val="004406FB"/>
    <w:rsid w:val="00440A02"/>
    <w:rsid w:val="00440E70"/>
    <w:rsid w:val="00440ED4"/>
    <w:rsid w:val="0044271C"/>
    <w:rsid w:val="0044407D"/>
    <w:rsid w:val="00444B48"/>
    <w:rsid w:val="004474D9"/>
    <w:rsid w:val="0045052E"/>
    <w:rsid w:val="0045095A"/>
    <w:rsid w:val="00451527"/>
    <w:rsid w:val="00451D0E"/>
    <w:rsid w:val="00453E90"/>
    <w:rsid w:val="004576AB"/>
    <w:rsid w:val="004577A7"/>
    <w:rsid w:val="004577DA"/>
    <w:rsid w:val="0046092F"/>
    <w:rsid w:val="00461809"/>
    <w:rsid w:val="00463383"/>
    <w:rsid w:val="004641B2"/>
    <w:rsid w:val="00467453"/>
    <w:rsid w:val="004675E3"/>
    <w:rsid w:val="00467E07"/>
    <w:rsid w:val="00470139"/>
    <w:rsid w:val="004701FE"/>
    <w:rsid w:val="00470340"/>
    <w:rsid w:val="00470F5A"/>
    <w:rsid w:val="004712F3"/>
    <w:rsid w:val="0047186D"/>
    <w:rsid w:val="00471A11"/>
    <w:rsid w:val="00471F52"/>
    <w:rsid w:val="00472FF4"/>
    <w:rsid w:val="00473D7F"/>
    <w:rsid w:val="00473F58"/>
    <w:rsid w:val="00476BCB"/>
    <w:rsid w:val="00476D6F"/>
    <w:rsid w:val="004778FE"/>
    <w:rsid w:val="00480774"/>
    <w:rsid w:val="00480F18"/>
    <w:rsid w:val="00484DBF"/>
    <w:rsid w:val="00485C5C"/>
    <w:rsid w:val="0048637E"/>
    <w:rsid w:val="00486F26"/>
    <w:rsid w:val="00487121"/>
    <w:rsid w:val="004876FF"/>
    <w:rsid w:val="004879B3"/>
    <w:rsid w:val="004902B5"/>
    <w:rsid w:val="00490CC7"/>
    <w:rsid w:val="00491F1D"/>
    <w:rsid w:val="004923FA"/>
    <w:rsid w:val="0049240C"/>
    <w:rsid w:val="004926D8"/>
    <w:rsid w:val="00492772"/>
    <w:rsid w:val="00494D8A"/>
    <w:rsid w:val="004951EB"/>
    <w:rsid w:val="004951EC"/>
    <w:rsid w:val="00495CEF"/>
    <w:rsid w:val="00495FAC"/>
    <w:rsid w:val="00496040"/>
    <w:rsid w:val="004969D1"/>
    <w:rsid w:val="004A0457"/>
    <w:rsid w:val="004A05D9"/>
    <w:rsid w:val="004A0F12"/>
    <w:rsid w:val="004A29A9"/>
    <w:rsid w:val="004A2C14"/>
    <w:rsid w:val="004A436C"/>
    <w:rsid w:val="004A5C2F"/>
    <w:rsid w:val="004A66F7"/>
    <w:rsid w:val="004A6D56"/>
    <w:rsid w:val="004A6E3D"/>
    <w:rsid w:val="004A7222"/>
    <w:rsid w:val="004B1020"/>
    <w:rsid w:val="004B114C"/>
    <w:rsid w:val="004B235A"/>
    <w:rsid w:val="004B2E4B"/>
    <w:rsid w:val="004B38E2"/>
    <w:rsid w:val="004B5B7A"/>
    <w:rsid w:val="004B630B"/>
    <w:rsid w:val="004B68B2"/>
    <w:rsid w:val="004B7E24"/>
    <w:rsid w:val="004C19A9"/>
    <w:rsid w:val="004C2763"/>
    <w:rsid w:val="004C2772"/>
    <w:rsid w:val="004C321F"/>
    <w:rsid w:val="004C36F0"/>
    <w:rsid w:val="004C4917"/>
    <w:rsid w:val="004C64D6"/>
    <w:rsid w:val="004C752B"/>
    <w:rsid w:val="004D0139"/>
    <w:rsid w:val="004D0A22"/>
    <w:rsid w:val="004D0AB1"/>
    <w:rsid w:val="004D3235"/>
    <w:rsid w:val="004D389A"/>
    <w:rsid w:val="004D3C08"/>
    <w:rsid w:val="004D4A60"/>
    <w:rsid w:val="004D5367"/>
    <w:rsid w:val="004D539A"/>
    <w:rsid w:val="004D55EB"/>
    <w:rsid w:val="004D5D44"/>
    <w:rsid w:val="004D6F04"/>
    <w:rsid w:val="004D773D"/>
    <w:rsid w:val="004D78C5"/>
    <w:rsid w:val="004E011A"/>
    <w:rsid w:val="004E040D"/>
    <w:rsid w:val="004E10A3"/>
    <w:rsid w:val="004E1F8B"/>
    <w:rsid w:val="004E24DB"/>
    <w:rsid w:val="004E3642"/>
    <w:rsid w:val="004E3761"/>
    <w:rsid w:val="004E45DD"/>
    <w:rsid w:val="004E4CAC"/>
    <w:rsid w:val="004E59E6"/>
    <w:rsid w:val="004E6B01"/>
    <w:rsid w:val="004F0587"/>
    <w:rsid w:val="004F0667"/>
    <w:rsid w:val="004F0F81"/>
    <w:rsid w:val="004F3AF1"/>
    <w:rsid w:val="004F54F6"/>
    <w:rsid w:val="004F60F7"/>
    <w:rsid w:val="004F6285"/>
    <w:rsid w:val="0050101C"/>
    <w:rsid w:val="00503147"/>
    <w:rsid w:val="00503327"/>
    <w:rsid w:val="005039AD"/>
    <w:rsid w:val="00504079"/>
    <w:rsid w:val="005048DD"/>
    <w:rsid w:val="005052B9"/>
    <w:rsid w:val="00506F64"/>
    <w:rsid w:val="005073BF"/>
    <w:rsid w:val="005077F4"/>
    <w:rsid w:val="0051042A"/>
    <w:rsid w:val="0051274F"/>
    <w:rsid w:val="005129BC"/>
    <w:rsid w:val="005134C1"/>
    <w:rsid w:val="005137EA"/>
    <w:rsid w:val="00513F2D"/>
    <w:rsid w:val="005167C6"/>
    <w:rsid w:val="00516CF8"/>
    <w:rsid w:val="005178A5"/>
    <w:rsid w:val="00517FE4"/>
    <w:rsid w:val="0052097D"/>
    <w:rsid w:val="00521BCE"/>
    <w:rsid w:val="00521C85"/>
    <w:rsid w:val="005220B6"/>
    <w:rsid w:val="005223AA"/>
    <w:rsid w:val="00524494"/>
    <w:rsid w:val="005262F6"/>
    <w:rsid w:val="00530197"/>
    <w:rsid w:val="00531C29"/>
    <w:rsid w:val="00531D01"/>
    <w:rsid w:val="0053254E"/>
    <w:rsid w:val="005326D2"/>
    <w:rsid w:val="00532F26"/>
    <w:rsid w:val="005332F5"/>
    <w:rsid w:val="005334D7"/>
    <w:rsid w:val="00534965"/>
    <w:rsid w:val="005359F2"/>
    <w:rsid w:val="00535BA0"/>
    <w:rsid w:val="00536AE7"/>
    <w:rsid w:val="005372AF"/>
    <w:rsid w:val="00537743"/>
    <w:rsid w:val="00537B97"/>
    <w:rsid w:val="00540954"/>
    <w:rsid w:val="00542537"/>
    <w:rsid w:val="00542B2C"/>
    <w:rsid w:val="00543A92"/>
    <w:rsid w:val="00543ECF"/>
    <w:rsid w:val="00545502"/>
    <w:rsid w:val="00545E48"/>
    <w:rsid w:val="0054695C"/>
    <w:rsid w:val="0055076B"/>
    <w:rsid w:val="0055203E"/>
    <w:rsid w:val="005534DF"/>
    <w:rsid w:val="005547BE"/>
    <w:rsid w:val="00554C97"/>
    <w:rsid w:val="00554D90"/>
    <w:rsid w:val="00554F69"/>
    <w:rsid w:val="00555D57"/>
    <w:rsid w:val="00556024"/>
    <w:rsid w:val="005563AC"/>
    <w:rsid w:val="00556674"/>
    <w:rsid w:val="00556DF9"/>
    <w:rsid w:val="00557339"/>
    <w:rsid w:val="00560E16"/>
    <w:rsid w:val="00560FDE"/>
    <w:rsid w:val="00562424"/>
    <w:rsid w:val="00562C6F"/>
    <w:rsid w:val="00562E1C"/>
    <w:rsid w:val="0056385A"/>
    <w:rsid w:val="00564543"/>
    <w:rsid w:val="00565012"/>
    <w:rsid w:val="00565765"/>
    <w:rsid w:val="005657E3"/>
    <w:rsid w:val="00567844"/>
    <w:rsid w:val="00570D50"/>
    <w:rsid w:val="005719DF"/>
    <w:rsid w:val="00571B73"/>
    <w:rsid w:val="00571DF8"/>
    <w:rsid w:val="00572557"/>
    <w:rsid w:val="00572E3C"/>
    <w:rsid w:val="0057479E"/>
    <w:rsid w:val="0057535E"/>
    <w:rsid w:val="00575A73"/>
    <w:rsid w:val="00575A82"/>
    <w:rsid w:val="00575DAA"/>
    <w:rsid w:val="005764D7"/>
    <w:rsid w:val="00576744"/>
    <w:rsid w:val="005768C3"/>
    <w:rsid w:val="00576DF5"/>
    <w:rsid w:val="005778D2"/>
    <w:rsid w:val="00577BE7"/>
    <w:rsid w:val="00581231"/>
    <w:rsid w:val="00581454"/>
    <w:rsid w:val="00581494"/>
    <w:rsid w:val="005814D7"/>
    <w:rsid w:val="00581AE8"/>
    <w:rsid w:val="00581EEC"/>
    <w:rsid w:val="005827D0"/>
    <w:rsid w:val="005828C3"/>
    <w:rsid w:val="0058333A"/>
    <w:rsid w:val="00584096"/>
    <w:rsid w:val="0058492F"/>
    <w:rsid w:val="00585E26"/>
    <w:rsid w:val="00586681"/>
    <w:rsid w:val="00587569"/>
    <w:rsid w:val="00590E96"/>
    <w:rsid w:val="00591CEB"/>
    <w:rsid w:val="005928FC"/>
    <w:rsid w:val="005935DF"/>
    <w:rsid w:val="005941F8"/>
    <w:rsid w:val="00594D23"/>
    <w:rsid w:val="00594EB2"/>
    <w:rsid w:val="00595F93"/>
    <w:rsid w:val="00596561"/>
    <w:rsid w:val="005A0113"/>
    <w:rsid w:val="005A0964"/>
    <w:rsid w:val="005A1EFF"/>
    <w:rsid w:val="005A2402"/>
    <w:rsid w:val="005A28E3"/>
    <w:rsid w:val="005A2B05"/>
    <w:rsid w:val="005A2CD1"/>
    <w:rsid w:val="005A363F"/>
    <w:rsid w:val="005A4E56"/>
    <w:rsid w:val="005A53D2"/>
    <w:rsid w:val="005A5EC7"/>
    <w:rsid w:val="005A727D"/>
    <w:rsid w:val="005A7348"/>
    <w:rsid w:val="005A7B2A"/>
    <w:rsid w:val="005B075D"/>
    <w:rsid w:val="005B11A5"/>
    <w:rsid w:val="005B1B20"/>
    <w:rsid w:val="005B1D41"/>
    <w:rsid w:val="005B2309"/>
    <w:rsid w:val="005B283C"/>
    <w:rsid w:val="005B2863"/>
    <w:rsid w:val="005B3398"/>
    <w:rsid w:val="005B55B5"/>
    <w:rsid w:val="005B5901"/>
    <w:rsid w:val="005B6457"/>
    <w:rsid w:val="005B6985"/>
    <w:rsid w:val="005B7D8E"/>
    <w:rsid w:val="005C1B9A"/>
    <w:rsid w:val="005C378E"/>
    <w:rsid w:val="005C3881"/>
    <w:rsid w:val="005C3919"/>
    <w:rsid w:val="005C3A6D"/>
    <w:rsid w:val="005C4483"/>
    <w:rsid w:val="005C4905"/>
    <w:rsid w:val="005C4B43"/>
    <w:rsid w:val="005C4FEA"/>
    <w:rsid w:val="005C642C"/>
    <w:rsid w:val="005C6490"/>
    <w:rsid w:val="005C7654"/>
    <w:rsid w:val="005D1F2F"/>
    <w:rsid w:val="005D3639"/>
    <w:rsid w:val="005D38BB"/>
    <w:rsid w:val="005D3C2C"/>
    <w:rsid w:val="005D4ACF"/>
    <w:rsid w:val="005D5B95"/>
    <w:rsid w:val="005D5E88"/>
    <w:rsid w:val="005D67FA"/>
    <w:rsid w:val="005D72CD"/>
    <w:rsid w:val="005D7E3D"/>
    <w:rsid w:val="005E1B5C"/>
    <w:rsid w:val="005E1EDD"/>
    <w:rsid w:val="005E2BAE"/>
    <w:rsid w:val="005E34D2"/>
    <w:rsid w:val="005E3EF3"/>
    <w:rsid w:val="005E3FE0"/>
    <w:rsid w:val="005E5A2B"/>
    <w:rsid w:val="005E5A8A"/>
    <w:rsid w:val="005E765D"/>
    <w:rsid w:val="005F14DE"/>
    <w:rsid w:val="005F1C29"/>
    <w:rsid w:val="005F3769"/>
    <w:rsid w:val="005F3EF4"/>
    <w:rsid w:val="005F5FF5"/>
    <w:rsid w:val="005F66F1"/>
    <w:rsid w:val="005F7E02"/>
    <w:rsid w:val="00600C5B"/>
    <w:rsid w:val="00601D17"/>
    <w:rsid w:val="006023E9"/>
    <w:rsid w:val="0060258E"/>
    <w:rsid w:val="00602E59"/>
    <w:rsid w:val="00604E65"/>
    <w:rsid w:val="006054CC"/>
    <w:rsid w:val="006069F2"/>
    <w:rsid w:val="00606F54"/>
    <w:rsid w:val="00606FF4"/>
    <w:rsid w:val="006078AB"/>
    <w:rsid w:val="006106E5"/>
    <w:rsid w:val="006108C9"/>
    <w:rsid w:val="00611015"/>
    <w:rsid w:val="0061168E"/>
    <w:rsid w:val="006116C9"/>
    <w:rsid w:val="00613FBC"/>
    <w:rsid w:val="006141E7"/>
    <w:rsid w:val="00614B3F"/>
    <w:rsid w:val="00614F71"/>
    <w:rsid w:val="0061723B"/>
    <w:rsid w:val="00620688"/>
    <w:rsid w:val="006206D0"/>
    <w:rsid w:val="00622147"/>
    <w:rsid w:val="00622A8C"/>
    <w:rsid w:val="0062349B"/>
    <w:rsid w:val="006236E5"/>
    <w:rsid w:val="00624257"/>
    <w:rsid w:val="006258C4"/>
    <w:rsid w:val="00625BC6"/>
    <w:rsid w:val="00626410"/>
    <w:rsid w:val="006279DA"/>
    <w:rsid w:val="0063077C"/>
    <w:rsid w:val="00630E4D"/>
    <w:rsid w:val="00631152"/>
    <w:rsid w:val="00631AB9"/>
    <w:rsid w:val="00631D4A"/>
    <w:rsid w:val="00631F13"/>
    <w:rsid w:val="00632102"/>
    <w:rsid w:val="00632F90"/>
    <w:rsid w:val="00634DAC"/>
    <w:rsid w:val="00635550"/>
    <w:rsid w:val="00635F27"/>
    <w:rsid w:val="00636FDD"/>
    <w:rsid w:val="0063772F"/>
    <w:rsid w:val="00637A06"/>
    <w:rsid w:val="00637C7A"/>
    <w:rsid w:val="006402CC"/>
    <w:rsid w:val="00642518"/>
    <w:rsid w:val="0064252D"/>
    <w:rsid w:val="00643D89"/>
    <w:rsid w:val="006441E4"/>
    <w:rsid w:val="006442AA"/>
    <w:rsid w:val="00645705"/>
    <w:rsid w:val="00646088"/>
    <w:rsid w:val="00646CCE"/>
    <w:rsid w:val="00651065"/>
    <w:rsid w:val="00653015"/>
    <w:rsid w:val="00653A08"/>
    <w:rsid w:val="00653AAA"/>
    <w:rsid w:val="006543C4"/>
    <w:rsid w:val="00654A29"/>
    <w:rsid w:val="00654D3D"/>
    <w:rsid w:val="0065638C"/>
    <w:rsid w:val="00656D6C"/>
    <w:rsid w:val="0065727E"/>
    <w:rsid w:val="006572DA"/>
    <w:rsid w:val="006575F0"/>
    <w:rsid w:val="00661236"/>
    <w:rsid w:val="0066171A"/>
    <w:rsid w:val="006619A5"/>
    <w:rsid w:val="00662E71"/>
    <w:rsid w:val="00663CC6"/>
    <w:rsid w:val="0066447C"/>
    <w:rsid w:val="0066455A"/>
    <w:rsid w:val="0066578E"/>
    <w:rsid w:val="0066781A"/>
    <w:rsid w:val="00670626"/>
    <w:rsid w:val="00670C62"/>
    <w:rsid w:val="00670F7E"/>
    <w:rsid w:val="00670F89"/>
    <w:rsid w:val="00671433"/>
    <w:rsid w:val="0067171C"/>
    <w:rsid w:val="00672E4D"/>
    <w:rsid w:val="00673F81"/>
    <w:rsid w:val="00674613"/>
    <w:rsid w:val="006746CA"/>
    <w:rsid w:val="006746D3"/>
    <w:rsid w:val="0067573E"/>
    <w:rsid w:val="00675C83"/>
    <w:rsid w:val="00675F3C"/>
    <w:rsid w:val="00675FBC"/>
    <w:rsid w:val="006763B4"/>
    <w:rsid w:val="00676F0A"/>
    <w:rsid w:val="006801AB"/>
    <w:rsid w:val="006808F1"/>
    <w:rsid w:val="00680BC8"/>
    <w:rsid w:val="0068115F"/>
    <w:rsid w:val="006814FC"/>
    <w:rsid w:val="00681BBA"/>
    <w:rsid w:val="00682624"/>
    <w:rsid w:val="0068282F"/>
    <w:rsid w:val="00685B20"/>
    <w:rsid w:val="006864EE"/>
    <w:rsid w:val="006867FB"/>
    <w:rsid w:val="00686AE3"/>
    <w:rsid w:val="00686B7D"/>
    <w:rsid w:val="006872D0"/>
    <w:rsid w:val="00687B65"/>
    <w:rsid w:val="00690293"/>
    <w:rsid w:val="00690C3E"/>
    <w:rsid w:val="00690EBF"/>
    <w:rsid w:val="006913D7"/>
    <w:rsid w:val="0069170C"/>
    <w:rsid w:val="00691941"/>
    <w:rsid w:val="00691EE9"/>
    <w:rsid w:val="0069202B"/>
    <w:rsid w:val="0069218E"/>
    <w:rsid w:val="006925A1"/>
    <w:rsid w:val="006933C9"/>
    <w:rsid w:val="00695012"/>
    <w:rsid w:val="00695334"/>
    <w:rsid w:val="00695BFD"/>
    <w:rsid w:val="00697000"/>
    <w:rsid w:val="006974E8"/>
    <w:rsid w:val="00697C59"/>
    <w:rsid w:val="006A11FD"/>
    <w:rsid w:val="006A20FF"/>
    <w:rsid w:val="006A2459"/>
    <w:rsid w:val="006A4A71"/>
    <w:rsid w:val="006A606B"/>
    <w:rsid w:val="006A79D1"/>
    <w:rsid w:val="006B0A13"/>
    <w:rsid w:val="006B1674"/>
    <w:rsid w:val="006B20D5"/>
    <w:rsid w:val="006B26EC"/>
    <w:rsid w:val="006B2C03"/>
    <w:rsid w:val="006B3688"/>
    <w:rsid w:val="006B3B85"/>
    <w:rsid w:val="006B3F12"/>
    <w:rsid w:val="006B44F1"/>
    <w:rsid w:val="006B4CF3"/>
    <w:rsid w:val="006B5AC1"/>
    <w:rsid w:val="006B66C2"/>
    <w:rsid w:val="006B6CA9"/>
    <w:rsid w:val="006C0464"/>
    <w:rsid w:val="006C12E0"/>
    <w:rsid w:val="006C134A"/>
    <w:rsid w:val="006C16E8"/>
    <w:rsid w:val="006C1738"/>
    <w:rsid w:val="006C2026"/>
    <w:rsid w:val="006C28F5"/>
    <w:rsid w:val="006C34AA"/>
    <w:rsid w:val="006C37B1"/>
    <w:rsid w:val="006C410D"/>
    <w:rsid w:val="006C43AD"/>
    <w:rsid w:val="006C4ADE"/>
    <w:rsid w:val="006C4E8C"/>
    <w:rsid w:val="006C55C9"/>
    <w:rsid w:val="006C6FCF"/>
    <w:rsid w:val="006C78F5"/>
    <w:rsid w:val="006C7D64"/>
    <w:rsid w:val="006D0CDE"/>
    <w:rsid w:val="006D18D0"/>
    <w:rsid w:val="006D3729"/>
    <w:rsid w:val="006D4133"/>
    <w:rsid w:val="006D6070"/>
    <w:rsid w:val="006D659F"/>
    <w:rsid w:val="006D6F74"/>
    <w:rsid w:val="006D7012"/>
    <w:rsid w:val="006D7814"/>
    <w:rsid w:val="006E08DA"/>
    <w:rsid w:val="006E0D4A"/>
    <w:rsid w:val="006E0DED"/>
    <w:rsid w:val="006E201D"/>
    <w:rsid w:val="006E28CA"/>
    <w:rsid w:val="006E2964"/>
    <w:rsid w:val="006E324D"/>
    <w:rsid w:val="006E3572"/>
    <w:rsid w:val="006E57F2"/>
    <w:rsid w:val="006E595B"/>
    <w:rsid w:val="006E5EBB"/>
    <w:rsid w:val="006E64FB"/>
    <w:rsid w:val="006E6A4C"/>
    <w:rsid w:val="006E7C31"/>
    <w:rsid w:val="006E7E42"/>
    <w:rsid w:val="006F156D"/>
    <w:rsid w:val="006F1AB8"/>
    <w:rsid w:val="006F1DC9"/>
    <w:rsid w:val="006F2AAB"/>
    <w:rsid w:val="006F2F66"/>
    <w:rsid w:val="006F52A3"/>
    <w:rsid w:val="006F5E14"/>
    <w:rsid w:val="006F5FBA"/>
    <w:rsid w:val="006F65DD"/>
    <w:rsid w:val="006F6BB9"/>
    <w:rsid w:val="006F6CFD"/>
    <w:rsid w:val="006F6DF8"/>
    <w:rsid w:val="006F6FC1"/>
    <w:rsid w:val="00700643"/>
    <w:rsid w:val="00702248"/>
    <w:rsid w:val="0070343C"/>
    <w:rsid w:val="007036BF"/>
    <w:rsid w:val="00704B52"/>
    <w:rsid w:val="00704BFB"/>
    <w:rsid w:val="007054E0"/>
    <w:rsid w:val="007061F0"/>
    <w:rsid w:val="007062EA"/>
    <w:rsid w:val="007067B7"/>
    <w:rsid w:val="007100A9"/>
    <w:rsid w:val="00710391"/>
    <w:rsid w:val="00710D4F"/>
    <w:rsid w:val="00711FA5"/>
    <w:rsid w:val="00713DD5"/>
    <w:rsid w:val="007141A3"/>
    <w:rsid w:val="007141D0"/>
    <w:rsid w:val="0071469E"/>
    <w:rsid w:val="00714ABE"/>
    <w:rsid w:val="00715DA2"/>
    <w:rsid w:val="007178BC"/>
    <w:rsid w:val="007219BA"/>
    <w:rsid w:val="00721F14"/>
    <w:rsid w:val="00722E37"/>
    <w:rsid w:val="00723673"/>
    <w:rsid w:val="00723937"/>
    <w:rsid w:val="00725449"/>
    <w:rsid w:val="00725AB8"/>
    <w:rsid w:val="00726913"/>
    <w:rsid w:val="00726A30"/>
    <w:rsid w:val="00726DC3"/>
    <w:rsid w:val="0072746B"/>
    <w:rsid w:val="00727673"/>
    <w:rsid w:val="00731505"/>
    <w:rsid w:val="0073259B"/>
    <w:rsid w:val="007326E6"/>
    <w:rsid w:val="00732B33"/>
    <w:rsid w:val="00733C59"/>
    <w:rsid w:val="0073568A"/>
    <w:rsid w:val="007356E1"/>
    <w:rsid w:val="007375B6"/>
    <w:rsid w:val="0073773E"/>
    <w:rsid w:val="00737ACD"/>
    <w:rsid w:val="00737D81"/>
    <w:rsid w:val="00740481"/>
    <w:rsid w:val="00741AB8"/>
    <w:rsid w:val="00741CB9"/>
    <w:rsid w:val="00742F50"/>
    <w:rsid w:val="007436AE"/>
    <w:rsid w:val="00743C56"/>
    <w:rsid w:val="00743C8F"/>
    <w:rsid w:val="007447A3"/>
    <w:rsid w:val="00744B7D"/>
    <w:rsid w:val="00745712"/>
    <w:rsid w:val="00745CE5"/>
    <w:rsid w:val="00745D99"/>
    <w:rsid w:val="007462E1"/>
    <w:rsid w:val="00746BEB"/>
    <w:rsid w:val="00747099"/>
    <w:rsid w:val="00747723"/>
    <w:rsid w:val="007479E6"/>
    <w:rsid w:val="00747A88"/>
    <w:rsid w:val="007502B8"/>
    <w:rsid w:val="00750C6F"/>
    <w:rsid w:val="00751060"/>
    <w:rsid w:val="007514C1"/>
    <w:rsid w:val="0075161E"/>
    <w:rsid w:val="00751952"/>
    <w:rsid w:val="00751CC2"/>
    <w:rsid w:val="00751FE9"/>
    <w:rsid w:val="00751FF4"/>
    <w:rsid w:val="00752D8B"/>
    <w:rsid w:val="007540E5"/>
    <w:rsid w:val="0075431F"/>
    <w:rsid w:val="007546BB"/>
    <w:rsid w:val="00755261"/>
    <w:rsid w:val="007558CD"/>
    <w:rsid w:val="00756554"/>
    <w:rsid w:val="00757D20"/>
    <w:rsid w:val="00761C7E"/>
    <w:rsid w:val="00762029"/>
    <w:rsid w:val="00762550"/>
    <w:rsid w:val="00762683"/>
    <w:rsid w:val="00763792"/>
    <w:rsid w:val="007641C2"/>
    <w:rsid w:val="00764FD5"/>
    <w:rsid w:val="007656ED"/>
    <w:rsid w:val="00765782"/>
    <w:rsid w:val="007659BB"/>
    <w:rsid w:val="00765CF6"/>
    <w:rsid w:val="00767C50"/>
    <w:rsid w:val="00767CB1"/>
    <w:rsid w:val="007716A3"/>
    <w:rsid w:val="00772479"/>
    <w:rsid w:val="00772E3E"/>
    <w:rsid w:val="00772FF7"/>
    <w:rsid w:val="007730E1"/>
    <w:rsid w:val="007736D6"/>
    <w:rsid w:val="007736FE"/>
    <w:rsid w:val="0077424D"/>
    <w:rsid w:val="007742F3"/>
    <w:rsid w:val="00774AF3"/>
    <w:rsid w:val="00775151"/>
    <w:rsid w:val="00776670"/>
    <w:rsid w:val="00776F30"/>
    <w:rsid w:val="00777345"/>
    <w:rsid w:val="007773F0"/>
    <w:rsid w:val="00777539"/>
    <w:rsid w:val="0078018D"/>
    <w:rsid w:val="007803CF"/>
    <w:rsid w:val="00781CAD"/>
    <w:rsid w:val="007826C0"/>
    <w:rsid w:val="007832BD"/>
    <w:rsid w:val="00783C97"/>
    <w:rsid w:val="00783ED6"/>
    <w:rsid w:val="007848FD"/>
    <w:rsid w:val="00785AC2"/>
    <w:rsid w:val="0078689C"/>
    <w:rsid w:val="0079001C"/>
    <w:rsid w:val="00790DF2"/>
    <w:rsid w:val="007910F3"/>
    <w:rsid w:val="00791B5F"/>
    <w:rsid w:val="00794209"/>
    <w:rsid w:val="007950F5"/>
    <w:rsid w:val="00796060"/>
    <w:rsid w:val="00796B85"/>
    <w:rsid w:val="00796C58"/>
    <w:rsid w:val="00797D9E"/>
    <w:rsid w:val="007A1AEC"/>
    <w:rsid w:val="007A1F1D"/>
    <w:rsid w:val="007A2CE7"/>
    <w:rsid w:val="007A4BC8"/>
    <w:rsid w:val="007A4C06"/>
    <w:rsid w:val="007A4C26"/>
    <w:rsid w:val="007A5C74"/>
    <w:rsid w:val="007A6445"/>
    <w:rsid w:val="007A6AF2"/>
    <w:rsid w:val="007A75C6"/>
    <w:rsid w:val="007B052E"/>
    <w:rsid w:val="007B0B7E"/>
    <w:rsid w:val="007B0C39"/>
    <w:rsid w:val="007B0EFA"/>
    <w:rsid w:val="007B2749"/>
    <w:rsid w:val="007B29C0"/>
    <w:rsid w:val="007B3710"/>
    <w:rsid w:val="007B38D4"/>
    <w:rsid w:val="007B5758"/>
    <w:rsid w:val="007B58D3"/>
    <w:rsid w:val="007B6436"/>
    <w:rsid w:val="007B6C12"/>
    <w:rsid w:val="007B77E0"/>
    <w:rsid w:val="007B7815"/>
    <w:rsid w:val="007B7880"/>
    <w:rsid w:val="007B789B"/>
    <w:rsid w:val="007B7BAD"/>
    <w:rsid w:val="007C071D"/>
    <w:rsid w:val="007C07D6"/>
    <w:rsid w:val="007C0EF1"/>
    <w:rsid w:val="007C1918"/>
    <w:rsid w:val="007C256C"/>
    <w:rsid w:val="007C3884"/>
    <w:rsid w:val="007C428C"/>
    <w:rsid w:val="007C428E"/>
    <w:rsid w:val="007C50B3"/>
    <w:rsid w:val="007C50FB"/>
    <w:rsid w:val="007C52ED"/>
    <w:rsid w:val="007C5839"/>
    <w:rsid w:val="007C798E"/>
    <w:rsid w:val="007C7B46"/>
    <w:rsid w:val="007D0461"/>
    <w:rsid w:val="007D06E3"/>
    <w:rsid w:val="007D30C0"/>
    <w:rsid w:val="007D33F4"/>
    <w:rsid w:val="007D36D0"/>
    <w:rsid w:val="007D3838"/>
    <w:rsid w:val="007D3CD9"/>
    <w:rsid w:val="007D3D7F"/>
    <w:rsid w:val="007D3F27"/>
    <w:rsid w:val="007D40B5"/>
    <w:rsid w:val="007D45B0"/>
    <w:rsid w:val="007D6498"/>
    <w:rsid w:val="007D6EB1"/>
    <w:rsid w:val="007E078F"/>
    <w:rsid w:val="007E100E"/>
    <w:rsid w:val="007E18FF"/>
    <w:rsid w:val="007E1F52"/>
    <w:rsid w:val="007E2B48"/>
    <w:rsid w:val="007E2E88"/>
    <w:rsid w:val="007E3BC3"/>
    <w:rsid w:val="007E4595"/>
    <w:rsid w:val="007E485F"/>
    <w:rsid w:val="007E5391"/>
    <w:rsid w:val="007E6A7F"/>
    <w:rsid w:val="007E7494"/>
    <w:rsid w:val="007E776B"/>
    <w:rsid w:val="007F0B5F"/>
    <w:rsid w:val="007F1F61"/>
    <w:rsid w:val="007F331A"/>
    <w:rsid w:val="007F5685"/>
    <w:rsid w:val="007F5741"/>
    <w:rsid w:val="007F58B1"/>
    <w:rsid w:val="007F5BD0"/>
    <w:rsid w:val="007F5C35"/>
    <w:rsid w:val="007F67FD"/>
    <w:rsid w:val="007F6BEA"/>
    <w:rsid w:val="007F7BFD"/>
    <w:rsid w:val="007F7E8E"/>
    <w:rsid w:val="008009F3"/>
    <w:rsid w:val="00800CCE"/>
    <w:rsid w:val="00802973"/>
    <w:rsid w:val="00804264"/>
    <w:rsid w:val="00804879"/>
    <w:rsid w:val="00804CF3"/>
    <w:rsid w:val="00805DFC"/>
    <w:rsid w:val="00805F0B"/>
    <w:rsid w:val="00807514"/>
    <w:rsid w:val="008078CF"/>
    <w:rsid w:val="00807F52"/>
    <w:rsid w:val="00810884"/>
    <w:rsid w:val="00810E18"/>
    <w:rsid w:val="00812CBF"/>
    <w:rsid w:val="00813050"/>
    <w:rsid w:val="00813093"/>
    <w:rsid w:val="00813431"/>
    <w:rsid w:val="008150D2"/>
    <w:rsid w:val="008164CC"/>
    <w:rsid w:val="008167E3"/>
    <w:rsid w:val="0082184A"/>
    <w:rsid w:val="00821ACA"/>
    <w:rsid w:val="00822066"/>
    <w:rsid w:val="008228DA"/>
    <w:rsid w:val="00822BFD"/>
    <w:rsid w:val="00824CB5"/>
    <w:rsid w:val="00824E03"/>
    <w:rsid w:val="008252C9"/>
    <w:rsid w:val="00825BC8"/>
    <w:rsid w:val="00827B93"/>
    <w:rsid w:val="00827DBD"/>
    <w:rsid w:val="00830C66"/>
    <w:rsid w:val="00833C72"/>
    <w:rsid w:val="008348A8"/>
    <w:rsid w:val="00834B95"/>
    <w:rsid w:val="00834BF4"/>
    <w:rsid w:val="00834D05"/>
    <w:rsid w:val="00834DAC"/>
    <w:rsid w:val="0083603E"/>
    <w:rsid w:val="008375A2"/>
    <w:rsid w:val="00842BC2"/>
    <w:rsid w:val="008436ED"/>
    <w:rsid w:val="008443B4"/>
    <w:rsid w:val="00845040"/>
    <w:rsid w:val="008456B8"/>
    <w:rsid w:val="00845D2E"/>
    <w:rsid w:val="00845F50"/>
    <w:rsid w:val="00846202"/>
    <w:rsid w:val="00846622"/>
    <w:rsid w:val="00847000"/>
    <w:rsid w:val="008471F1"/>
    <w:rsid w:val="0084773A"/>
    <w:rsid w:val="0085037D"/>
    <w:rsid w:val="00852AA4"/>
    <w:rsid w:val="00852C1C"/>
    <w:rsid w:val="00852DD9"/>
    <w:rsid w:val="00852E17"/>
    <w:rsid w:val="00852FA3"/>
    <w:rsid w:val="00854A99"/>
    <w:rsid w:val="00854D49"/>
    <w:rsid w:val="00854D72"/>
    <w:rsid w:val="00860003"/>
    <w:rsid w:val="00860227"/>
    <w:rsid w:val="00860D3D"/>
    <w:rsid w:val="00861AD6"/>
    <w:rsid w:val="008620BD"/>
    <w:rsid w:val="00862307"/>
    <w:rsid w:val="00862C7B"/>
    <w:rsid w:val="00862DDD"/>
    <w:rsid w:val="00863C7D"/>
    <w:rsid w:val="0086414B"/>
    <w:rsid w:val="008641C9"/>
    <w:rsid w:val="00864E34"/>
    <w:rsid w:val="00865C5A"/>
    <w:rsid w:val="0086627C"/>
    <w:rsid w:val="00866BB8"/>
    <w:rsid w:val="008720F5"/>
    <w:rsid w:val="00872D21"/>
    <w:rsid w:val="008734ED"/>
    <w:rsid w:val="00873EA9"/>
    <w:rsid w:val="008756FB"/>
    <w:rsid w:val="00875D99"/>
    <w:rsid w:val="00875E37"/>
    <w:rsid w:val="0087610E"/>
    <w:rsid w:val="00876903"/>
    <w:rsid w:val="00876F12"/>
    <w:rsid w:val="00876F94"/>
    <w:rsid w:val="00880949"/>
    <w:rsid w:val="00880BAB"/>
    <w:rsid w:val="00881929"/>
    <w:rsid w:val="0088193A"/>
    <w:rsid w:val="00882D2E"/>
    <w:rsid w:val="00882DF0"/>
    <w:rsid w:val="0088333A"/>
    <w:rsid w:val="008846F6"/>
    <w:rsid w:val="00885760"/>
    <w:rsid w:val="00885B3C"/>
    <w:rsid w:val="0088669B"/>
    <w:rsid w:val="00886C01"/>
    <w:rsid w:val="00887091"/>
    <w:rsid w:val="00887241"/>
    <w:rsid w:val="00887281"/>
    <w:rsid w:val="0088761A"/>
    <w:rsid w:val="00890149"/>
    <w:rsid w:val="00891427"/>
    <w:rsid w:val="0089321F"/>
    <w:rsid w:val="008944CB"/>
    <w:rsid w:val="008953BA"/>
    <w:rsid w:val="008976C4"/>
    <w:rsid w:val="00897A27"/>
    <w:rsid w:val="008A2A97"/>
    <w:rsid w:val="008A34B1"/>
    <w:rsid w:val="008A3B99"/>
    <w:rsid w:val="008A4DC1"/>
    <w:rsid w:val="008A66E4"/>
    <w:rsid w:val="008A6B6F"/>
    <w:rsid w:val="008A6B82"/>
    <w:rsid w:val="008A7C41"/>
    <w:rsid w:val="008B0EC3"/>
    <w:rsid w:val="008B19A7"/>
    <w:rsid w:val="008B1CCB"/>
    <w:rsid w:val="008B2B2B"/>
    <w:rsid w:val="008B32E4"/>
    <w:rsid w:val="008B4D67"/>
    <w:rsid w:val="008B60A9"/>
    <w:rsid w:val="008B6DA6"/>
    <w:rsid w:val="008B73CA"/>
    <w:rsid w:val="008B75F8"/>
    <w:rsid w:val="008B7E9A"/>
    <w:rsid w:val="008C11A2"/>
    <w:rsid w:val="008C1D47"/>
    <w:rsid w:val="008C3F6C"/>
    <w:rsid w:val="008C41B8"/>
    <w:rsid w:val="008C4648"/>
    <w:rsid w:val="008C573F"/>
    <w:rsid w:val="008C59C0"/>
    <w:rsid w:val="008C5D07"/>
    <w:rsid w:val="008C644C"/>
    <w:rsid w:val="008C68F7"/>
    <w:rsid w:val="008C7AB7"/>
    <w:rsid w:val="008C7CDA"/>
    <w:rsid w:val="008D0201"/>
    <w:rsid w:val="008D1A12"/>
    <w:rsid w:val="008D249C"/>
    <w:rsid w:val="008D2B23"/>
    <w:rsid w:val="008D4ED4"/>
    <w:rsid w:val="008D6215"/>
    <w:rsid w:val="008D67AD"/>
    <w:rsid w:val="008D755C"/>
    <w:rsid w:val="008E0883"/>
    <w:rsid w:val="008E1146"/>
    <w:rsid w:val="008E143D"/>
    <w:rsid w:val="008E226A"/>
    <w:rsid w:val="008E4471"/>
    <w:rsid w:val="008E49BF"/>
    <w:rsid w:val="008E5504"/>
    <w:rsid w:val="008E5735"/>
    <w:rsid w:val="008E6573"/>
    <w:rsid w:val="008E68E5"/>
    <w:rsid w:val="008E735F"/>
    <w:rsid w:val="008E7D6B"/>
    <w:rsid w:val="008F1EBC"/>
    <w:rsid w:val="008F22CE"/>
    <w:rsid w:val="008F2626"/>
    <w:rsid w:val="008F28E6"/>
    <w:rsid w:val="008F2A1E"/>
    <w:rsid w:val="008F2AC9"/>
    <w:rsid w:val="008F43AA"/>
    <w:rsid w:val="008F4EDD"/>
    <w:rsid w:val="008F5BBA"/>
    <w:rsid w:val="008F7640"/>
    <w:rsid w:val="008F77AE"/>
    <w:rsid w:val="008F7B15"/>
    <w:rsid w:val="008F7FB1"/>
    <w:rsid w:val="009004F8"/>
    <w:rsid w:val="009014A3"/>
    <w:rsid w:val="00901669"/>
    <w:rsid w:val="00901C24"/>
    <w:rsid w:val="0090211A"/>
    <w:rsid w:val="009028FD"/>
    <w:rsid w:val="00902F42"/>
    <w:rsid w:val="00904E21"/>
    <w:rsid w:val="00905579"/>
    <w:rsid w:val="00905645"/>
    <w:rsid w:val="00905A9B"/>
    <w:rsid w:val="009062C9"/>
    <w:rsid w:val="00906518"/>
    <w:rsid w:val="00906B40"/>
    <w:rsid w:val="0090757F"/>
    <w:rsid w:val="0091081B"/>
    <w:rsid w:val="00910A4E"/>
    <w:rsid w:val="00910FC9"/>
    <w:rsid w:val="009116C4"/>
    <w:rsid w:val="009118C6"/>
    <w:rsid w:val="009118F0"/>
    <w:rsid w:val="00911A87"/>
    <w:rsid w:val="00911FE2"/>
    <w:rsid w:val="009125DE"/>
    <w:rsid w:val="00913723"/>
    <w:rsid w:val="00914D82"/>
    <w:rsid w:val="009154C3"/>
    <w:rsid w:val="00917EEF"/>
    <w:rsid w:val="00920107"/>
    <w:rsid w:val="0092051A"/>
    <w:rsid w:val="009208C1"/>
    <w:rsid w:val="009211DC"/>
    <w:rsid w:val="00922BB3"/>
    <w:rsid w:val="00924092"/>
    <w:rsid w:val="009243B0"/>
    <w:rsid w:val="00924726"/>
    <w:rsid w:val="00924CF7"/>
    <w:rsid w:val="00925F72"/>
    <w:rsid w:val="00926635"/>
    <w:rsid w:val="00926C29"/>
    <w:rsid w:val="00926E1A"/>
    <w:rsid w:val="00927079"/>
    <w:rsid w:val="0092717E"/>
    <w:rsid w:val="00927E27"/>
    <w:rsid w:val="009308E2"/>
    <w:rsid w:val="00930E59"/>
    <w:rsid w:val="009310C9"/>
    <w:rsid w:val="00931C5C"/>
    <w:rsid w:val="00931D90"/>
    <w:rsid w:val="00931E03"/>
    <w:rsid w:val="0093226F"/>
    <w:rsid w:val="009326CC"/>
    <w:rsid w:val="009330AE"/>
    <w:rsid w:val="00933B8A"/>
    <w:rsid w:val="0093531A"/>
    <w:rsid w:val="009357A4"/>
    <w:rsid w:val="00936C6E"/>
    <w:rsid w:val="00940FD2"/>
    <w:rsid w:val="009418E0"/>
    <w:rsid w:val="00942558"/>
    <w:rsid w:val="00943198"/>
    <w:rsid w:val="0094341C"/>
    <w:rsid w:val="00943A19"/>
    <w:rsid w:val="00943B73"/>
    <w:rsid w:val="00943CE9"/>
    <w:rsid w:val="009445F7"/>
    <w:rsid w:val="00944CFB"/>
    <w:rsid w:val="00946B47"/>
    <w:rsid w:val="00946DF5"/>
    <w:rsid w:val="00947594"/>
    <w:rsid w:val="00947AF1"/>
    <w:rsid w:val="00947CF7"/>
    <w:rsid w:val="00947F79"/>
    <w:rsid w:val="00950CED"/>
    <w:rsid w:val="00950D2B"/>
    <w:rsid w:val="009516D3"/>
    <w:rsid w:val="00954494"/>
    <w:rsid w:val="009547A8"/>
    <w:rsid w:val="00956A22"/>
    <w:rsid w:val="00956A85"/>
    <w:rsid w:val="009572EB"/>
    <w:rsid w:val="00957477"/>
    <w:rsid w:val="00960390"/>
    <w:rsid w:val="00960B74"/>
    <w:rsid w:val="00960DA6"/>
    <w:rsid w:val="0096142A"/>
    <w:rsid w:val="00961431"/>
    <w:rsid w:val="00962978"/>
    <w:rsid w:val="0096338B"/>
    <w:rsid w:val="009637B6"/>
    <w:rsid w:val="00963A5F"/>
    <w:rsid w:val="00964C74"/>
    <w:rsid w:val="0096541D"/>
    <w:rsid w:val="00966652"/>
    <w:rsid w:val="00966761"/>
    <w:rsid w:val="00966B86"/>
    <w:rsid w:val="00966F58"/>
    <w:rsid w:val="0096710F"/>
    <w:rsid w:val="0096782E"/>
    <w:rsid w:val="009701FE"/>
    <w:rsid w:val="00970534"/>
    <w:rsid w:val="00970BC5"/>
    <w:rsid w:val="00971A7E"/>
    <w:rsid w:val="00971E6F"/>
    <w:rsid w:val="00972607"/>
    <w:rsid w:val="009756EC"/>
    <w:rsid w:val="0097694E"/>
    <w:rsid w:val="009769C5"/>
    <w:rsid w:val="00980FAB"/>
    <w:rsid w:val="00982849"/>
    <w:rsid w:val="009834BC"/>
    <w:rsid w:val="009842BE"/>
    <w:rsid w:val="0098478D"/>
    <w:rsid w:val="009849A6"/>
    <w:rsid w:val="00984D5C"/>
    <w:rsid w:val="00986503"/>
    <w:rsid w:val="00990018"/>
    <w:rsid w:val="00990AE9"/>
    <w:rsid w:val="00991C4C"/>
    <w:rsid w:val="00991E6A"/>
    <w:rsid w:val="00994625"/>
    <w:rsid w:val="00994CCF"/>
    <w:rsid w:val="00995834"/>
    <w:rsid w:val="00995EE2"/>
    <w:rsid w:val="00996151"/>
    <w:rsid w:val="00996561"/>
    <w:rsid w:val="00996ABE"/>
    <w:rsid w:val="009A00A9"/>
    <w:rsid w:val="009A0885"/>
    <w:rsid w:val="009A119B"/>
    <w:rsid w:val="009A164C"/>
    <w:rsid w:val="009A182F"/>
    <w:rsid w:val="009A1C40"/>
    <w:rsid w:val="009A204D"/>
    <w:rsid w:val="009A26DD"/>
    <w:rsid w:val="009A32DC"/>
    <w:rsid w:val="009A5233"/>
    <w:rsid w:val="009A60F8"/>
    <w:rsid w:val="009A7F8A"/>
    <w:rsid w:val="009B0160"/>
    <w:rsid w:val="009B063A"/>
    <w:rsid w:val="009B0B65"/>
    <w:rsid w:val="009B1DD0"/>
    <w:rsid w:val="009B2018"/>
    <w:rsid w:val="009B29F9"/>
    <w:rsid w:val="009B3AD3"/>
    <w:rsid w:val="009B5493"/>
    <w:rsid w:val="009B66E5"/>
    <w:rsid w:val="009B6C2B"/>
    <w:rsid w:val="009B7EC6"/>
    <w:rsid w:val="009C0DA2"/>
    <w:rsid w:val="009C2747"/>
    <w:rsid w:val="009C2DA9"/>
    <w:rsid w:val="009C2DAD"/>
    <w:rsid w:val="009C3567"/>
    <w:rsid w:val="009C37F8"/>
    <w:rsid w:val="009C6FF2"/>
    <w:rsid w:val="009C78DF"/>
    <w:rsid w:val="009D0154"/>
    <w:rsid w:val="009D027C"/>
    <w:rsid w:val="009D0505"/>
    <w:rsid w:val="009D1B9F"/>
    <w:rsid w:val="009D1F08"/>
    <w:rsid w:val="009D2E97"/>
    <w:rsid w:val="009D4073"/>
    <w:rsid w:val="009D517C"/>
    <w:rsid w:val="009D567E"/>
    <w:rsid w:val="009D6441"/>
    <w:rsid w:val="009D7721"/>
    <w:rsid w:val="009E060B"/>
    <w:rsid w:val="009E2CA2"/>
    <w:rsid w:val="009E2FA1"/>
    <w:rsid w:val="009E46C2"/>
    <w:rsid w:val="009E46D7"/>
    <w:rsid w:val="009E4F68"/>
    <w:rsid w:val="009E5291"/>
    <w:rsid w:val="009E56C7"/>
    <w:rsid w:val="009E63C4"/>
    <w:rsid w:val="009E6B54"/>
    <w:rsid w:val="009E6BCD"/>
    <w:rsid w:val="009E7088"/>
    <w:rsid w:val="009E7538"/>
    <w:rsid w:val="009E7B71"/>
    <w:rsid w:val="009F0814"/>
    <w:rsid w:val="009F126D"/>
    <w:rsid w:val="009F2541"/>
    <w:rsid w:val="009F37CF"/>
    <w:rsid w:val="009F38EE"/>
    <w:rsid w:val="009F4306"/>
    <w:rsid w:val="009F588D"/>
    <w:rsid w:val="009F6515"/>
    <w:rsid w:val="009F653E"/>
    <w:rsid w:val="009F69D3"/>
    <w:rsid w:val="00A00021"/>
    <w:rsid w:val="00A00BD7"/>
    <w:rsid w:val="00A030CA"/>
    <w:rsid w:val="00A040EC"/>
    <w:rsid w:val="00A04D41"/>
    <w:rsid w:val="00A06B2F"/>
    <w:rsid w:val="00A06F4D"/>
    <w:rsid w:val="00A07892"/>
    <w:rsid w:val="00A07D2E"/>
    <w:rsid w:val="00A101C9"/>
    <w:rsid w:val="00A11AFE"/>
    <w:rsid w:val="00A11DAF"/>
    <w:rsid w:val="00A13636"/>
    <w:rsid w:val="00A13885"/>
    <w:rsid w:val="00A13DB9"/>
    <w:rsid w:val="00A13E65"/>
    <w:rsid w:val="00A14292"/>
    <w:rsid w:val="00A14949"/>
    <w:rsid w:val="00A14F3F"/>
    <w:rsid w:val="00A1586D"/>
    <w:rsid w:val="00A2206E"/>
    <w:rsid w:val="00A23201"/>
    <w:rsid w:val="00A236B8"/>
    <w:rsid w:val="00A2546D"/>
    <w:rsid w:val="00A264E4"/>
    <w:rsid w:val="00A2654F"/>
    <w:rsid w:val="00A265EC"/>
    <w:rsid w:val="00A265FD"/>
    <w:rsid w:val="00A273A3"/>
    <w:rsid w:val="00A27764"/>
    <w:rsid w:val="00A30221"/>
    <w:rsid w:val="00A30F1C"/>
    <w:rsid w:val="00A31CB9"/>
    <w:rsid w:val="00A31D44"/>
    <w:rsid w:val="00A3220D"/>
    <w:rsid w:val="00A32471"/>
    <w:rsid w:val="00A326B3"/>
    <w:rsid w:val="00A329E8"/>
    <w:rsid w:val="00A35154"/>
    <w:rsid w:val="00A354D2"/>
    <w:rsid w:val="00A35CCB"/>
    <w:rsid w:val="00A35D18"/>
    <w:rsid w:val="00A36B1A"/>
    <w:rsid w:val="00A36C06"/>
    <w:rsid w:val="00A36EBC"/>
    <w:rsid w:val="00A37FDA"/>
    <w:rsid w:val="00A40992"/>
    <w:rsid w:val="00A41528"/>
    <w:rsid w:val="00A41F1F"/>
    <w:rsid w:val="00A42AB5"/>
    <w:rsid w:val="00A43585"/>
    <w:rsid w:val="00A43F34"/>
    <w:rsid w:val="00A43F49"/>
    <w:rsid w:val="00A442DD"/>
    <w:rsid w:val="00A453B0"/>
    <w:rsid w:val="00A457D8"/>
    <w:rsid w:val="00A45EE2"/>
    <w:rsid w:val="00A46159"/>
    <w:rsid w:val="00A4620E"/>
    <w:rsid w:val="00A465FE"/>
    <w:rsid w:val="00A46C83"/>
    <w:rsid w:val="00A47CC9"/>
    <w:rsid w:val="00A47E8C"/>
    <w:rsid w:val="00A50B6B"/>
    <w:rsid w:val="00A5109B"/>
    <w:rsid w:val="00A51468"/>
    <w:rsid w:val="00A51535"/>
    <w:rsid w:val="00A51725"/>
    <w:rsid w:val="00A521D6"/>
    <w:rsid w:val="00A53C5F"/>
    <w:rsid w:val="00A54FD6"/>
    <w:rsid w:val="00A55240"/>
    <w:rsid w:val="00A55A5D"/>
    <w:rsid w:val="00A5776A"/>
    <w:rsid w:val="00A60794"/>
    <w:rsid w:val="00A60BBC"/>
    <w:rsid w:val="00A612D3"/>
    <w:rsid w:val="00A6178A"/>
    <w:rsid w:val="00A61943"/>
    <w:rsid w:val="00A64883"/>
    <w:rsid w:val="00A661EB"/>
    <w:rsid w:val="00A669C9"/>
    <w:rsid w:val="00A66DC9"/>
    <w:rsid w:val="00A70052"/>
    <w:rsid w:val="00A72256"/>
    <w:rsid w:val="00A7269C"/>
    <w:rsid w:val="00A7715C"/>
    <w:rsid w:val="00A7769E"/>
    <w:rsid w:val="00A816B3"/>
    <w:rsid w:val="00A82755"/>
    <w:rsid w:val="00A83B4B"/>
    <w:rsid w:val="00A83E8D"/>
    <w:rsid w:val="00A845B3"/>
    <w:rsid w:val="00A85776"/>
    <w:rsid w:val="00A85A03"/>
    <w:rsid w:val="00A86388"/>
    <w:rsid w:val="00A8671D"/>
    <w:rsid w:val="00A86952"/>
    <w:rsid w:val="00A87052"/>
    <w:rsid w:val="00A87E91"/>
    <w:rsid w:val="00A87EFA"/>
    <w:rsid w:val="00A90342"/>
    <w:rsid w:val="00A9035F"/>
    <w:rsid w:val="00A909B8"/>
    <w:rsid w:val="00A91498"/>
    <w:rsid w:val="00A955EF"/>
    <w:rsid w:val="00A95E0D"/>
    <w:rsid w:val="00A95F78"/>
    <w:rsid w:val="00A960D0"/>
    <w:rsid w:val="00A97069"/>
    <w:rsid w:val="00A976AC"/>
    <w:rsid w:val="00A97C36"/>
    <w:rsid w:val="00AA04D6"/>
    <w:rsid w:val="00AA0B87"/>
    <w:rsid w:val="00AA1451"/>
    <w:rsid w:val="00AA2B92"/>
    <w:rsid w:val="00AA34C1"/>
    <w:rsid w:val="00AA4511"/>
    <w:rsid w:val="00AA5CB5"/>
    <w:rsid w:val="00AA6417"/>
    <w:rsid w:val="00AA688A"/>
    <w:rsid w:val="00AA7141"/>
    <w:rsid w:val="00AA7291"/>
    <w:rsid w:val="00AA7950"/>
    <w:rsid w:val="00AB040B"/>
    <w:rsid w:val="00AB0997"/>
    <w:rsid w:val="00AB1E3B"/>
    <w:rsid w:val="00AB2498"/>
    <w:rsid w:val="00AB2DC0"/>
    <w:rsid w:val="00AB3B7D"/>
    <w:rsid w:val="00AB3BF6"/>
    <w:rsid w:val="00AB5FD0"/>
    <w:rsid w:val="00AB627E"/>
    <w:rsid w:val="00AB6CDE"/>
    <w:rsid w:val="00AB6DF1"/>
    <w:rsid w:val="00AC024F"/>
    <w:rsid w:val="00AC0631"/>
    <w:rsid w:val="00AC211C"/>
    <w:rsid w:val="00AC2554"/>
    <w:rsid w:val="00AC306F"/>
    <w:rsid w:val="00AC3585"/>
    <w:rsid w:val="00AC38C9"/>
    <w:rsid w:val="00AC3AE3"/>
    <w:rsid w:val="00AC3E5C"/>
    <w:rsid w:val="00AC3F31"/>
    <w:rsid w:val="00AC4155"/>
    <w:rsid w:val="00AC41A7"/>
    <w:rsid w:val="00AC43AF"/>
    <w:rsid w:val="00AC5193"/>
    <w:rsid w:val="00AC5C45"/>
    <w:rsid w:val="00AC5CA6"/>
    <w:rsid w:val="00AC5E04"/>
    <w:rsid w:val="00AC6EBB"/>
    <w:rsid w:val="00AC74BE"/>
    <w:rsid w:val="00AC7879"/>
    <w:rsid w:val="00AD165C"/>
    <w:rsid w:val="00AD1749"/>
    <w:rsid w:val="00AD31B1"/>
    <w:rsid w:val="00AD3A42"/>
    <w:rsid w:val="00AD3F45"/>
    <w:rsid w:val="00AD5231"/>
    <w:rsid w:val="00AD6E46"/>
    <w:rsid w:val="00AD72F3"/>
    <w:rsid w:val="00AD7360"/>
    <w:rsid w:val="00AE0317"/>
    <w:rsid w:val="00AE07D1"/>
    <w:rsid w:val="00AE0BF4"/>
    <w:rsid w:val="00AE14EA"/>
    <w:rsid w:val="00AE20EC"/>
    <w:rsid w:val="00AE25D1"/>
    <w:rsid w:val="00AE2760"/>
    <w:rsid w:val="00AE2A12"/>
    <w:rsid w:val="00AE3CD0"/>
    <w:rsid w:val="00AE5345"/>
    <w:rsid w:val="00AF03A8"/>
    <w:rsid w:val="00AF05F3"/>
    <w:rsid w:val="00AF08D1"/>
    <w:rsid w:val="00AF0BDD"/>
    <w:rsid w:val="00AF14D5"/>
    <w:rsid w:val="00AF1972"/>
    <w:rsid w:val="00AF23F6"/>
    <w:rsid w:val="00AF33C5"/>
    <w:rsid w:val="00AF4AB4"/>
    <w:rsid w:val="00AF4EBA"/>
    <w:rsid w:val="00AF5EF4"/>
    <w:rsid w:val="00AF727B"/>
    <w:rsid w:val="00B00CAD"/>
    <w:rsid w:val="00B0149A"/>
    <w:rsid w:val="00B02555"/>
    <w:rsid w:val="00B044A4"/>
    <w:rsid w:val="00B05B86"/>
    <w:rsid w:val="00B06105"/>
    <w:rsid w:val="00B06B5B"/>
    <w:rsid w:val="00B07829"/>
    <w:rsid w:val="00B07A52"/>
    <w:rsid w:val="00B07EC7"/>
    <w:rsid w:val="00B10381"/>
    <w:rsid w:val="00B103B2"/>
    <w:rsid w:val="00B110F8"/>
    <w:rsid w:val="00B11698"/>
    <w:rsid w:val="00B1238A"/>
    <w:rsid w:val="00B1337A"/>
    <w:rsid w:val="00B14029"/>
    <w:rsid w:val="00B14C45"/>
    <w:rsid w:val="00B16577"/>
    <w:rsid w:val="00B16DCA"/>
    <w:rsid w:val="00B17910"/>
    <w:rsid w:val="00B20292"/>
    <w:rsid w:val="00B2034E"/>
    <w:rsid w:val="00B2396F"/>
    <w:rsid w:val="00B23DBF"/>
    <w:rsid w:val="00B2477F"/>
    <w:rsid w:val="00B25A8C"/>
    <w:rsid w:val="00B25C56"/>
    <w:rsid w:val="00B26775"/>
    <w:rsid w:val="00B269E0"/>
    <w:rsid w:val="00B26C6A"/>
    <w:rsid w:val="00B30552"/>
    <w:rsid w:val="00B31123"/>
    <w:rsid w:val="00B311CC"/>
    <w:rsid w:val="00B3200B"/>
    <w:rsid w:val="00B37187"/>
    <w:rsid w:val="00B40848"/>
    <w:rsid w:val="00B40981"/>
    <w:rsid w:val="00B40C93"/>
    <w:rsid w:val="00B4163E"/>
    <w:rsid w:val="00B417E0"/>
    <w:rsid w:val="00B4225D"/>
    <w:rsid w:val="00B4234D"/>
    <w:rsid w:val="00B433A6"/>
    <w:rsid w:val="00B43762"/>
    <w:rsid w:val="00B4453C"/>
    <w:rsid w:val="00B447E2"/>
    <w:rsid w:val="00B452ED"/>
    <w:rsid w:val="00B476EF"/>
    <w:rsid w:val="00B47845"/>
    <w:rsid w:val="00B47EBD"/>
    <w:rsid w:val="00B519D8"/>
    <w:rsid w:val="00B51EA2"/>
    <w:rsid w:val="00B51EC9"/>
    <w:rsid w:val="00B5285F"/>
    <w:rsid w:val="00B5362F"/>
    <w:rsid w:val="00B55261"/>
    <w:rsid w:val="00B55E12"/>
    <w:rsid w:val="00B569D7"/>
    <w:rsid w:val="00B56D9F"/>
    <w:rsid w:val="00B625F7"/>
    <w:rsid w:val="00B62618"/>
    <w:rsid w:val="00B65C71"/>
    <w:rsid w:val="00B66B11"/>
    <w:rsid w:val="00B6734E"/>
    <w:rsid w:val="00B6768A"/>
    <w:rsid w:val="00B72581"/>
    <w:rsid w:val="00B72BF7"/>
    <w:rsid w:val="00B733FF"/>
    <w:rsid w:val="00B73B82"/>
    <w:rsid w:val="00B74427"/>
    <w:rsid w:val="00B7476D"/>
    <w:rsid w:val="00B75694"/>
    <w:rsid w:val="00B758CE"/>
    <w:rsid w:val="00B75C7A"/>
    <w:rsid w:val="00B7645C"/>
    <w:rsid w:val="00B766F7"/>
    <w:rsid w:val="00B77024"/>
    <w:rsid w:val="00B7725C"/>
    <w:rsid w:val="00B775E3"/>
    <w:rsid w:val="00B82BBC"/>
    <w:rsid w:val="00B833D0"/>
    <w:rsid w:val="00B835F4"/>
    <w:rsid w:val="00B84136"/>
    <w:rsid w:val="00B859A6"/>
    <w:rsid w:val="00B85D53"/>
    <w:rsid w:val="00B86192"/>
    <w:rsid w:val="00B87E3D"/>
    <w:rsid w:val="00B9069D"/>
    <w:rsid w:val="00B90865"/>
    <w:rsid w:val="00B91867"/>
    <w:rsid w:val="00B91E2B"/>
    <w:rsid w:val="00B923BE"/>
    <w:rsid w:val="00B9272E"/>
    <w:rsid w:val="00B9451F"/>
    <w:rsid w:val="00B97B22"/>
    <w:rsid w:val="00BA0106"/>
    <w:rsid w:val="00BA02AF"/>
    <w:rsid w:val="00BA08F7"/>
    <w:rsid w:val="00BA0EEE"/>
    <w:rsid w:val="00BA1284"/>
    <w:rsid w:val="00BA2D33"/>
    <w:rsid w:val="00BA3C75"/>
    <w:rsid w:val="00BA43BF"/>
    <w:rsid w:val="00BA48AF"/>
    <w:rsid w:val="00BA4A3C"/>
    <w:rsid w:val="00BA4B4C"/>
    <w:rsid w:val="00BA56F2"/>
    <w:rsid w:val="00BA6AED"/>
    <w:rsid w:val="00BB085B"/>
    <w:rsid w:val="00BB1DC7"/>
    <w:rsid w:val="00BB25F7"/>
    <w:rsid w:val="00BB3360"/>
    <w:rsid w:val="00BB5008"/>
    <w:rsid w:val="00BB52C6"/>
    <w:rsid w:val="00BB53ED"/>
    <w:rsid w:val="00BB65C3"/>
    <w:rsid w:val="00BB672B"/>
    <w:rsid w:val="00BB709E"/>
    <w:rsid w:val="00BC0AAF"/>
    <w:rsid w:val="00BC1642"/>
    <w:rsid w:val="00BC3EC3"/>
    <w:rsid w:val="00BC4017"/>
    <w:rsid w:val="00BC40D9"/>
    <w:rsid w:val="00BC6D15"/>
    <w:rsid w:val="00BD0299"/>
    <w:rsid w:val="00BD134E"/>
    <w:rsid w:val="00BD1622"/>
    <w:rsid w:val="00BD2046"/>
    <w:rsid w:val="00BD2244"/>
    <w:rsid w:val="00BD2442"/>
    <w:rsid w:val="00BD2691"/>
    <w:rsid w:val="00BD2D90"/>
    <w:rsid w:val="00BD2FF7"/>
    <w:rsid w:val="00BD343C"/>
    <w:rsid w:val="00BD3835"/>
    <w:rsid w:val="00BD4373"/>
    <w:rsid w:val="00BD726F"/>
    <w:rsid w:val="00BD735C"/>
    <w:rsid w:val="00BD7808"/>
    <w:rsid w:val="00BE0BB3"/>
    <w:rsid w:val="00BE0E1A"/>
    <w:rsid w:val="00BE145D"/>
    <w:rsid w:val="00BE1CC7"/>
    <w:rsid w:val="00BE28B5"/>
    <w:rsid w:val="00BE2B68"/>
    <w:rsid w:val="00BE2C1C"/>
    <w:rsid w:val="00BE31AC"/>
    <w:rsid w:val="00BE37E6"/>
    <w:rsid w:val="00BE462C"/>
    <w:rsid w:val="00BE5B96"/>
    <w:rsid w:val="00BE6375"/>
    <w:rsid w:val="00BE63D8"/>
    <w:rsid w:val="00BE65BD"/>
    <w:rsid w:val="00BE7745"/>
    <w:rsid w:val="00BE7986"/>
    <w:rsid w:val="00BE79DA"/>
    <w:rsid w:val="00BE7B47"/>
    <w:rsid w:val="00BF06FD"/>
    <w:rsid w:val="00BF1D0D"/>
    <w:rsid w:val="00BF2604"/>
    <w:rsid w:val="00BF3523"/>
    <w:rsid w:val="00BF3577"/>
    <w:rsid w:val="00BF3E73"/>
    <w:rsid w:val="00BF5F37"/>
    <w:rsid w:val="00BF650B"/>
    <w:rsid w:val="00BF6EC8"/>
    <w:rsid w:val="00BF76E7"/>
    <w:rsid w:val="00BF78FE"/>
    <w:rsid w:val="00C008ED"/>
    <w:rsid w:val="00C0098A"/>
    <w:rsid w:val="00C010B0"/>
    <w:rsid w:val="00C01C87"/>
    <w:rsid w:val="00C042A9"/>
    <w:rsid w:val="00C05404"/>
    <w:rsid w:val="00C05586"/>
    <w:rsid w:val="00C05E4F"/>
    <w:rsid w:val="00C069A7"/>
    <w:rsid w:val="00C071B3"/>
    <w:rsid w:val="00C10431"/>
    <w:rsid w:val="00C105ED"/>
    <w:rsid w:val="00C107F5"/>
    <w:rsid w:val="00C1162A"/>
    <w:rsid w:val="00C1182F"/>
    <w:rsid w:val="00C11E19"/>
    <w:rsid w:val="00C12BC5"/>
    <w:rsid w:val="00C12DD0"/>
    <w:rsid w:val="00C13C2D"/>
    <w:rsid w:val="00C13E57"/>
    <w:rsid w:val="00C14F6F"/>
    <w:rsid w:val="00C15102"/>
    <w:rsid w:val="00C1525C"/>
    <w:rsid w:val="00C15A59"/>
    <w:rsid w:val="00C166E1"/>
    <w:rsid w:val="00C171E8"/>
    <w:rsid w:val="00C17DCE"/>
    <w:rsid w:val="00C21315"/>
    <w:rsid w:val="00C21AF3"/>
    <w:rsid w:val="00C2228A"/>
    <w:rsid w:val="00C22548"/>
    <w:rsid w:val="00C22576"/>
    <w:rsid w:val="00C22C1B"/>
    <w:rsid w:val="00C23BB2"/>
    <w:rsid w:val="00C24687"/>
    <w:rsid w:val="00C2537D"/>
    <w:rsid w:val="00C253A0"/>
    <w:rsid w:val="00C253D0"/>
    <w:rsid w:val="00C25B6F"/>
    <w:rsid w:val="00C25C74"/>
    <w:rsid w:val="00C25D52"/>
    <w:rsid w:val="00C27B0F"/>
    <w:rsid w:val="00C27D44"/>
    <w:rsid w:val="00C3100C"/>
    <w:rsid w:val="00C32115"/>
    <w:rsid w:val="00C334BB"/>
    <w:rsid w:val="00C33804"/>
    <w:rsid w:val="00C341ED"/>
    <w:rsid w:val="00C3426C"/>
    <w:rsid w:val="00C35435"/>
    <w:rsid w:val="00C356DC"/>
    <w:rsid w:val="00C35757"/>
    <w:rsid w:val="00C3581A"/>
    <w:rsid w:val="00C35972"/>
    <w:rsid w:val="00C3640C"/>
    <w:rsid w:val="00C36429"/>
    <w:rsid w:val="00C36D2A"/>
    <w:rsid w:val="00C3788E"/>
    <w:rsid w:val="00C37ED0"/>
    <w:rsid w:val="00C40341"/>
    <w:rsid w:val="00C410E0"/>
    <w:rsid w:val="00C415B6"/>
    <w:rsid w:val="00C4272A"/>
    <w:rsid w:val="00C42CB8"/>
    <w:rsid w:val="00C42DE5"/>
    <w:rsid w:val="00C434C8"/>
    <w:rsid w:val="00C44615"/>
    <w:rsid w:val="00C46403"/>
    <w:rsid w:val="00C469E0"/>
    <w:rsid w:val="00C469F6"/>
    <w:rsid w:val="00C47F48"/>
    <w:rsid w:val="00C515C0"/>
    <w:rsid w:val="00C5201F"/>
    <w:rsid w:val="00C523E9"/>
    <w:rsid w:val="00C5280A"/>
    <w:rsid w:val="00C5296A"/>
    <w:rsid w:val="00C5387A"/>
    <w:rsid w:val="00C570ED"/>
    <w:rsid w:val="00C572D9"/>
    <w:rsid w:val="00C57A7D"/>
    <w:rsid w:val="00C60BC5"/>
    <w:rsid w:val="00C6168C"/>
    <w:rsid w:val="00C61970"/>
    <w:rsid w:val="00C626E9"/>
    <w:rsid w:val="00C63A5E"/>
    <w:rsid w:val="00C6407E"/>
    <w:rsid w:val="00C64620"/>
    <w:rsid w:val="00C64835"/>
    <w:rsid w:val="00C6561E"/>
    <w:rsid w:val="00C65632"/>
    <w:rsid w:val="00C65E35"/>
    <w:rsid w:val="00C65FBA"/>
    <w:rsid w:val="00C66587"/>
    <w:rsid w:val="00C66859"/>
    <w:rsid w:val="00C6776F"/>
    <w:rsid w:val="00C72224"/>
    <w:rsid w:val="00C725EF"/>
    <w:rsid w:val="00C729F2"/>
    <w:rsid w:val="00C7355A"/>
    <w:rsid w:val="00C743FB"/>
    <w:rsid w:val="00C74FD7"/>
    <w:rsid w:val="00C75043"/>
    <w:rsid w:val="00C75DCC"/>
    <w:rsid w:val="00C75ECD"/>
    <w:rsid w:val="00C7626E"/>
    <w:rsid w:val="00C76417"/>
    <w:rsid w:val="00C777A7"/>
    <w:rsid w:val="00C77A39"/>
    <w:rsid w:val="00C8173A"/>
    <w:rsid w:val="00C82901"/>
    <w:rsid w:val="00C82AD6"/>
    <w:rsid w:val="00C847E4"/>
    <w:rsid w:val="00C849D8"/>
    <w:rsid w:val="00C86A38"/>
    <w:rsid w:val="00C86E8B"/>
    <w:rsid w:val="00C871A2"/>
    <w:rsid w:val="00C872ED"/>
    <w:rsid w:val="00C90326"/>
    <w:rsid w:val="00C9265B"/>
    <w:rsid w:val="00C92A4E"/>
    <w:rsid w:val="00C935A0"/>
    <w:rsid w:val="00C94278"/>
    <w:rsid w:val="00C94DE4"/>
    <w:rsid w:val="00C94E1E"/>
    <w:rsid w:val="00C94F00"/>
    <w:rsid w:val="00C95B3A"/>
    <w:rsid w:val="00C95D24"/>
    <w:rsid w:val="00C95E94"/>
    <w:rsid w:val="00CA0B92"/>
    <w:rsid w:val="00CA0F54"/>
    <w:rsid w:val="00CA38E2"/>
    <w:rsid w:val="00CA3B1F"/>
    <w:rsid w:val="00CA3BD8"/>
    <w:rsid w:val="00CA3C70"/>
    <w:rsid w:val="00CA4D8A"/>
    <w:rsid w:val="00CA5C65"/>
    <w:rsid w:val="00CA6357"/>
    <w:rsid w:val="00CA68A0"/>
    <w:rsid w:val="00CA7475"/>
    <w:rsid w:val="00CB0865"/>
    <w:rsid w:val="00CB1943"/>
    <w:rsid w:val="00CB3C75"/>
    <w:rsid w:val="00CB40EA"/>
    <w:rsid w:val="00CB63D9"/>
    <w:rsid w:val="00CB6DCE"/>
    <w:rsid w:val="00CB6EC6"/>
    <w:rsid w:val="00CB73FF"/>
    <w:rsid w:val="00CB7433"/>
    <w:rsid w:val="00CC0636"/>
    <w:rsid w:val="00CC193A"/>
    <w:rsid w:val="00CC1D61"/>
    <w:rsid w:val="00CC221D"/>
    <w:rsid w:val="00CC3A10"/>
    <w:rsid w:val="00CC40B1"/>
    <w:rsid w:val="00CC47F1"/>
    <w:rsid w:val="00CC572B"/>
    <w:rsid w:val="00CC6F4B"/>
    <w:rsid w:val="00CD06F3"/>
    <w:rsid w:val="00CD0A59"/>
    <w:rsid w:val="00CD3549"/>
    <w:rsid w:val="00CD3AD8"/>
    <w:rsid w:val="00CD43CF"/>
    <w:rsid w:val="00CD5827"/>
    <w:rsid w:val="00CD6489"/>
    <w:rsid w:val="00CD6C7F"/>
    <w:rsid w:val="00CD7EC8"/>
    <w:rsid w:val="00CE0377"/>
    <w:rsid w:val="00CE179A"/>
    <w:rsid w:val="00CE1831"/>
    <w:rsid w:val="00CE1EDD"/>
    <w:rsid w:val="00CE20F2"/>
    <w:rsid w:val="00CE24FB"/>
    <w:rsid w:val="00CE265B"/>
    <w:rsid w:val="00CE450B"/>
    <w:rsid w:val="00CE45A8"/>
    <w:rsid w:val="00CE4DC4"/>
    <w:rsid w:val="00CE5C24"/>
    <w:rsid w:val="00CE5F0E"/>
    <w:rsid w:val="00CE62F1"/>
    <w:rsid w:val="00CE6C4C"/>
    <w:rsid w:val="00CE7E4B"/>
    <w:rsid w:val="00CE7E56"/>
    <w:rsid w:val="00CF0335"/>
    <w:rsid w:val="00CF0D66"/>
    <w:rsid w:val="00CF13C0"/>
    <w:rsid w:val="00CF1414"/>
    <w:rsid w:val="00CF194A"/>
    <w:rsid w:val="00CF2CC1"/>
    <w:rsid w:val="00CF33A2"/>
    <w:rsid w:val="00CF4306"/>
    <w:rsid w:val="00CF462E"/>
    <w:rsid w:val="00CF4A68"/>
    <w:rsid w:val="00CF4DC8"/>
    <w:rsid w:val="00CF6874"/>
    <w:rsid w:val="00CF68A8"/>
    <w:rsid w:val="00CF6F01"/>
    <w:rsid w:val="00CF6FAA"/>
    <w:rsid w:val="00CF7F05"/>
    <w:rsid w:val="00D0008A"/>
    <w:rsid w:val="00D011C7"/>
    <w:rsid w:val="00D01AF3"/>
    <w:rsid w:val="00D02972"/>
    <w:rsid w:val="00D0353D"/>
    <w:rsid w:val="00D036F0"/>
    <w:rsid w:val="00D05F98"/>
    <w:rsid w:val="00D06B51"/>
    <w:rsid w:val="00D1093C"/>
    <w:rsid w:val="00D10FA3"/>
    <w:rsid w:val="00D11D5A"/>
    <w:rsid w:val="00D11D7D"/>
    <w:rsid w:val="00D12656"/>
    <w:rsid w:val="00D140AD"/>
    <w:rsid w:val="00D161AF"/>
    <w:rsid w:val="00D17084"/>
    <w:rsid w:val="00D17126"/>
    <w:rsid w:val="00D1730A"/>
    <w:rsid w:val="00D176FA"/>
    <w:rsid w:val="00D22BEB"/>
    <w:rsid w:val="00D23D2E"/>
    <w:rsid w:val="00D2422F"/>
    <w:rsid w:val="00D2477A"/>
    <w:rsid w:val="00D2497B"/>
    <w:rsid w:val="00D26DFC"/>
    <w:rsid w:val="00D27956"/>
    <w:rsid w:val="00D27985"/>
    <w:rsid w:val="00D279A0"/>
    <w:rsid w:val="00D27E35"/>
    <w:rsid w:val="00D27E39"/>
    <w:rsid w:val="00D31760"/>
    <w:rsid w:val="00D31BD1"/>
    <w:rsid w:val="00D31FE1"/>
    <w:rsid w:val="00D333A0"/>
    <w:rsid w:val="00D34EEE"/>
    <w:rsid w:val="00D350C3"/>
    <w:rsid w:val="00D3644F"/>
    <w:rsid w:val="00D36A83"/>
    <w:rsid w:val="00D377F7"/>
    <w:rsid w:val="00D37A13"/>
    <w:rsid w:val="00D37EF7"/>
    <w:rsid w:val="00D404A9"/>
    <w:rsid w:val="00D4052E"/>
    <w:rsid w:val="00D41FE1"/>
    <w:rsid w:val="00D42111"/>
    <w:rsid w:val="00D42311"/>
    <w:rsid w:val="00D426D3"/>
    <w:rsid w:val="00D449BF"/>
    <w:rsid w:val="00D455A1"/>
    <w:rsid w:val="00D45A1E"/>
    <w:rsid w:val="00D4615C"/>
    <w:rsid w:val="00D46C69"/>
    <w:rsid w:val="00D47091"/>
    <w:rsid w:val="00D471A3"/>
    <w:rsid w:val="00D5045A"/>
    <w:rsid w:val="00D527C4"/>
    <w:rsid w:val="00D52CBE"/>
    <w:rsid w:val="00D52FBC"/>
    <w:rsid w:val="00D5361F"/>
    <w:rsid w:val="00D543C6"/>
    <w:rsid w:val="00D54E90"/>
    <w:rsid w:val="00D55475"/>
    <w:rsid w:val="00D559BB"/>
    <w:rsid w:val="00D56AD3"/>
    <w:rsid w:val="00D60F62"/>
    <w:rsid w:val="00D615AD"/>
    <w:rsid w:val="00D62034"/>
    <w:rsid w:val="00D63A4F"/>
    <w:rsid w:val="00D63FED"/>
    <w:rsid w:val="00D64B0F"/>
    <w:rsid w:val="00D64BD5"/>
    <w:rsid w:val="00D652E5"/>
    <w:rsid w:val="00D65E43"/>
    <w:rsid w:val="00D65F9B"/>
    <w:rsid w:val="00D671E8"/>
    <w:rsid w:val="00D6787C"/>
    <w:rsid w:val="00D678AF"/>
    <w:rsid w:val="00D70855"/>
    <w:rsid w:val="00D70E58"/>
    <w:rsid w:val="00D71417"/>
    <w:rsid w:val="00D71EEF"/>
    <w:rsid w:val="00D7292E"/>
    <w:rsid w:val="00D7352F"/>
    <w:rsid w:val="00D73A45"/>
    <w:rsid w:val="00D73D06"/>
    <w:rsid w:val="00D73F0D"/>
    <w:rsid w:val="00D73F55"/>
    <w:rsid w:val="00D74335"/>
    <w:rsid w:val="00D754D5"/>
    <w:rsid w:val="00D75BBA"/>
    <w:rsid w:val="00D76593"/>
    <w:rsid w:val="00D8007F"/>
    <w:rsid w:val="00D80EF4"/>
    <w:rsid w:val="00D81745"/>
    <w:rsid w:val="00D81951"/>
    <w:rsid w:val="00D829A3"/>
    <w:rsid w:val="00D82AD5"/>
    <w:rsid w:val="00D82AFF"/>
    <w:rsid w:val="00D84DB4"/>
    <w:rsid w:val="00D84F13"/>
    <w:rsid w:val="00D8632E"/>
    <w:rsid w:val="00D86731"/>
    <w:rsid w:val="00D86D7E"/>
    <w:rsid w:val="00D879B7"/>
    <w:rsid w:val="00D9150C"/>
    <w:rsid w:val="00D9242C"/>
    <w:rsid w:val="00D92AC9"/>
    <w:rsid w:val="00D93523"/>
    <w:rsid w:val="00D93891"/>
    <w:rsid w:val="00D93A14"/>
    <w:rsid w:val="00D95412"/>
    <w:rsid w:val="00D9596F"/>
    <w:rsid w:val="00D95C14"/>
    <w:rsid w:val="00D9684C"/>
    <w:rsid w:val="00D96AAF"/>
    <w:rsid w:val="00D97A8A"/>
    <w:rsid w:val="00D97EB1"/>
    <w:rsid w:val="00DA0744"/>
    <w:rsid w:val="00DA0C1E"/>
    <w:rsid w:val="00DA23B1"/>
    <w:rsid w:val="00DA38A0"/>
    <w:rsid w:val="00DA4528"/>
    <w:rsid w:val="00DA466A"/>
    <w:rsid w:val="00DA4A5B"/>
    <w:rsid w:val="00DA52AB"/>
    <w:rsid w:val="00DA53A8"/>
    <w:rsid w:val="00DA60A5"/>
    <w:rsid w:val="00DA6CB7"/>
    <w:rsid w:val="00DA6EE1"/>
    <w:rsid w:val="00DA75F5"/>
    <w:rsid w:val="00DA7952"/>
    <w:rsid w:val="00DA7E31"/>
    <w:rsid w:val="00DB0552"/>
    <w:rsid w:val="00DB07CA"/>
    <w:rsid w:val="00DB084B"/>
    <w:rsid w:val="00DB43EE"/>
    <w:rsid w:val="00DB488F"/>
    <w:rsid w:val="00DB5101"/>
    <w:rsid w:val="00DB558E"/>
    <w:rsid w:val="00DB5F81"/>
    <w:rsid w:val="00DB6C04"/>
    <w:rsid w:val="00DB6F1E"/>
    <w:rsid w:val="00DB70BC"/>
    <w:rsid w:val="00DB7670"/>
    <w:rsid w:val="00DB7D69"/>
    <w:rsid w:val="00DC12AF"/>
    <w:rsid w:val="00DC29DB"/>
    <w:rsid w:val="00DC3130"/>
    <w:rsid w:val="00DC43CE"/>
    <w:rsid w:val="00DC5113"/>
    <w:rsid w:val="00DC5D88"/>
    <w:rsid w:val="00DC6B0F"/>
    <w:rsid w:val="00DC70AD"/>
    <w:rsid w:val="00DC784D"/>
    <w:rsid w:val="00DC7876"/>
    <w:rsid w:val="00DD09E7"/>
    <w:rsid w:val="00DD0DC6"/>
    <w:rsid w:val="00DD176A"/>
    <w:rsid w:val="00DD25A3"/>
    <w:rsid w:val="00DD38A1"/>
    <w:rsid w:val="00DD4BE9"/>
    <w:rsid w:val="00DD5DFF"/>
    <w:rsid w:val="00DD606C"/>
    <w:rsid w:val="00DD692C"/>
    <w:rsid w:val="00DD731F"/>
    <w:rsid w:val="00DE029E"/>
    <w:rsid w:val="00DE0436"/>
    <w:rsid w:val="00DE0E8F"/>
    <w:rsid w:val="00DE1705"/>
    <w:rsid w:val="00DE2AB5"/>
    <w:rsid w:val="00DE304F"/>
    <w:rsid w:val="00DE31C9"/>
    <w:rsid w:val="00DE46B3"/>
    <w:rsid w:val="00DE4AE9"/>
    <w:rsid w:val="00DE67FC"/>
    <w:rsid w:val="00DE6B1C"/>
    <w:rsid w:val="00DE6D89"/>
    <w:rsid w:val="00DF15C6"/>
    <w:rsid w:val="00DF20F8"/>
    <w:rsid w:val="00DF220E"/>
    <w:rsid w:val="00DF2331"/>
    <w:rsid w:val="00DF237D"/>
    <w:rsid w:val="00DF376D"/>
    <w:rsid w:val="00DF3E51"/>
    <w:rsid w:val="00DF512B"/>
    <w:rsid w:val="00DF5FB3"/>
    <w:rsid w:val="00DF6D52"/>
    <w:rsid w:val="00DF7E40"/>
    <w:rsid w:val="00E01089"/>
    <w:rsid w:val="00E013ED"/>
    <w:rsid w:val="00E01EA5"/>
    <w:rsid w:val="00E02A32"/>
    <w:rsid w:val="00E03527"/>
    <w:rsid w:val="00E0404B"/>
    <w:rsid w:val="00E04349"/>
    <w:rsid w:val="00E04356"/>
    <w:rsid w:val="00E0631E"/>
    <w:rsid w:val="00E06530"/>
    <w:rsid w:val="00E06A0B"/>
    <w:rsid w:val="00E06F23"/>
    <w:rsid w:val="00E10030"/>
    <w:rsid w:val="00E10198"/>
    <w:rsid w:val="00E11189"/>
    <w:rsid w:val="00E11C9B"/>
    <w:rsid w:val="00E1325E"/>
    <w:rsid w:val="00E1332C"/>
    <w:rsid w:val="00E14238"/>
    <w:rsid w:val="00E14388"/>
    <w:rsid w:val="00E1641F"/>
    <w:rsid w:val="00E1688B"/>
    <w:rsid w:val="00E168DE"/>
    <w:rsid w:val="00E16DC8"/>
    <w:rsid w:val="00E17B94"/>
    <w:rsid w:val="00E2162C"/>
    <w:rsid w:val="00E219DB"/>
    <w:rsid w:val="00E23192"/>
    <w:rsid w:val="00E244C6"/>
    <w:rsid w:val="00E259BB"/>
    <w:rsid w:val="00E259EA"/>
    <w:rsid w:val="00E2620F"/>
    <w:rsid w:val="00E26C3A"/>
    <w:rsid w:val="00E27686"/>
    <w:rsid w:val="00E31A1F"/>
    <w:rsid w:val="00E3218A"/>
    <w:rsid w:val="00E3293D"/>
    <w:rsid w:val="00E33178"/>
    <w:rsid w:val="00E334E3"/>
    <w:rsid w:val="00E33E2F"/>
    <w:rsid w:val="00E34832"/>
    <w:rsid w:val="00E35CA4"/>
    <w:rsid w:val="00E35DE7"/>
    <w:rsid w:val="00E364FE"/>
    <w:rsid w:val="00E365BA"/>
    <w:rsid w:val="00E366DA"/>
    <w:rsid w:val="00E37AC3"/>
    <w:rsid w:val="00E37D96"/>
    <w:rsid w:val="00E404AC"/>
    <w:rsid w:val="00E4083A"/>
    <w:rsid w:val="00E42321"/>
    <w:rsid w:val="00E42335"/>
    <w:rsid w:val="00E4236F"/>
    <w:rsid w:val="00E42A9B"/>
    <w:rsid w:val="00E42AA0"/>
    <w:rsid w:val="00E43097"/>
    <w:rsid w:val="00E43D5E"/>
    <w:rsid w:val="00E453F3"/>
    <w:rsid w:val="00E45A11"/>
    <w:rsid w:val="00E474D1"/>
    <w:rsid w:val="00E5125B"/>
    <w:rsid w:val="00E51F5F"/>
    <w:rsid w:val="00E552B1"/>
    <w:rsid w:val="00E55C1C"/>
    <w:rsid w:val="00E55CB2"/>
    <w:rsid w:val="00E60E0C"/>
    <w:rsid w:val="00E61967"/>
    <w:rsid w:val="00E61C84"/>
    <w:rsid w:val="00E62339"/>
    <w:rsid w:val="00E63A20"/>
    <w:rsid w:val="00E64238"/>
    <w:rsid w:val="00E64606"/>
    <w:rsid w:val="00E64B38"/>
    <w:rsid w:val="00E666F2"/>
    <w:rsid w:val="00E6672D"/>
    <w:rsid w:val="00E66F43"/>
    <w:rsid w:val="00E67518"/>
    <w:rsid w:val="00E702B2"/>
    <w:rsid w:val="00E703FD"/>
    <w:rsid w:val="00E714F5"/>
    <w:rsid w:val="00E717AD"/>
    <w:rsid w:val="00E721E2"/>
    <w:rsid w:val="00E7329A"/>
    <w:rsid w:val="00E7434D"/>
    <w:rsid w:val="00E74694"/>
    <w:rsid w:val="00E756C8"/>
    <w:rsid w:val="00E7614F"/>
    <w:rsid w:val="00E77391"/>
    <w:rsid w:val="00E7767C"/>
    <w:rsid w:val="00E805FF"/>
    <w:rsid w:val="00E80BCA"/>
    <w:rsid w:val="00E810A7"/>
    <w:rsid w:val="00E81615"/>
    <w:rsid w:val="00E81765"/>
    <w:rsid w:val="00E83CE8"/>
    <w:rsid w:val="00E83F84"/>
    <w:rsid w:val="00E8403B"/>
    <w:rsid w:val="00E85EAB"/>
    <w:rsid w:val="00E8607A"/>
    <w:rsid w:val="00E86D97"/>
    <w:rsid w:val="00E87B97"/>
    <w:rsid w:val="00E87F26"/>
    <w:rsid w:val="00E90CFA"/>
    <w:rsid w:val="00E91984"/>
    <w:rsid w:val="00E92B60"/>
    <w:rsid w:val="00E92C97"/>
    <w:rsid w:val="00E92E3B"/>
    <w:rsid w:val="00E9301D"/>
    <w:rsid w:val="00E93F41"/>
    <w:rsid w:val="00E9434E"/>
    <w:rsid w:val="00E94B31"/>
    <w:rsid w:val="00E9550F"/>
    <w:rsid w:val="00E96A01"/>
    <w:rsid w:val="00E9796D"/>
    <w:rsid w:val="00E97BE4"/>
    <w:rsid w:val="00EA0E43"/>
    <w:rsid w:val="00EA18AB"/>
    <w:rsid w:val="00EA200C"/>
    <w:rsid w:val="00EA351C"/>
    <w:rsid w:val="00EA441D"/>
    <w:rsid w:val="00EA4E0E"/>
    <w:rsid w:val="00EA6162"/>
    <w:rsid w:val="00EA6CA7"/>
    <w:rsid w:val="00EB01A1"/>
    <w:rsid w:val="00EB114A"/>
    <w:rsid w:val="00EB1B2A"/>
    <w:rsid w:val="00EB3463"/>
    <w:rsid w:val="00EB3BA0"/>
    <w:rsid w:val="00EB4B15"/>
    <w:rsid w:val="00EB4F3B"/>
    <w:rsid w:val="00EB5F26"/>
    <w:rsid w:val="00EB6A6B"/>
    <w:rsid w:val="00EB7D24"/>
    <w:rsid w:val="00EB7E9C"/>
    <w:rsid w:val="00EB7FC5"/>
    <w:rsid w:val="00EC062F"/>
    <w:rsid w:val="00EC0BB9"/>
    <w:rsid w:val="00EC0CE3"/>
    <w:rsid w:val="00EC1308"/>
    <w:rsid w:val="00EC13EF"/>
    <w:rsid w:val="00EC188A"/>
    <w:rsid w:val="00EC19E8"/>
    <w:rsid w:val="00EC5402"/>
    <w:rsid w:val="00EC57D2"/>
    <w:rsid w:val="00EC5B3A"/>
    <w:rsid w:val="00EC7149"/>
    <w:rsid w:val="00ED03DD"/>
    <w:rsid w:val="00ED04D9"/>
    <w:rsid w:val="00ED0771"/>
    <w:rsid w:val="00ED091E"/>
    <w:rsid w:val="00ED1CF2"/>
    <w:rsid w:val="00ED1D63"/>
    <w:rsid w:val="00ED27F5"/>
    <w:rsid w:val="00ED506D"/>
    <w:rsid w:val="00ED647C"/>
    <w:rsid w:val="00ED68F8"/>
    <w:rsid w:val="00ED706C"/>
    <w:rsid w:val="00EE1905"/>
    <w:rsid w:val="00EE1B51"/>
    <w:rsid w:val="00EE3BB0"/>
    <w:rsid w:val="00EE46E9"/>
    <w:rsid w:val="00EE49EC"/>
    <w:rsid w:val="00EE4F21"/>
    <w:rsid w:val="00EE4FB4"/>
    <w:rsid w:val="00EE55A6"/>
    <w:rsid w:val="00EE57EC"/>
    <w:rsid w:val="00EE6E2A"/>
    <w:rsid w:val="00EE7C31"/>
    <w:rsid w:val="00EE7F3E"/>
    <w:rsid w:val="00EE7F98"/>
    <w:rsid w:val="00EF2938"/>
    <w:rsid w:val="00EF3473"/>
    <w:rsid w:val="00EF43C7"/>
    <w:rsid w:val="00EF4D09"/>
    <w:rsid w:val="00EF4D6B"/>
    <w:rsid w:val="00EF4EE6"/>
    <w:rsid w:val="00EF59E6"/>
    <w:rsid w:val="00EF5B37"/>
    <w:rsid w:val="00EF5C6E"/>
    <w:rsid w:val="00EF653B"/>
    <w:rsid w:val="00EF71CB"/>
    <w:rsid w:val="00EF729B"/>
    <w:rsid w:val="00EF77CF"/>
    <w:rsid w:val="00EF7A8C"/>
    <w:rsid w:val="00F013DD"/>
    <w:rsid w:val="00F0173D"/>
    <w:rsid w:val="00F01C69"/>
    <w:rsid w:val="00F01F6F"/>
    <w:rsid w:val="00F020C8"/>
    <w:rsid w:val="00F0218F"/>
    <w:rsid w:val="00F0227C"/>
    <w:rsid w:val="00F02A28"/>
    <w:rsid w:val="00F03F8F"/>
    <w:rsid w:val="00F04D6C"/>
    <w:rsid w:val="00F05A6B"/>
    <w:rsid w:val="00F05B5E"/>
    <w:rsid w:val="00F060C0"/>
    <w:rsid w:val="00F061B6"/>
    <w:rsid w:val="00F070DE"/>
    <w:rsid w:val="00F07565"/>
    <w:rsid w:val="00F07756"/>
    <w:rsid w:val="00F10D50"/>
    <w:rsid w:val="00F11095"/>
    <w:rsid w:val="00F11E35"/>
    <w:rsid w:val="00F13D78"/>
    <w:rsid w:val="00F13EDD"/>
    <w:rsid w:val="00F1482E"/>
    <w:rsid w:val="00F155F3"/>
    <w:rsid w:val="00F15B1C"/>
    <w:rsid w:val="00F16CE5"/>
    <w:rsid w:val="00F1719B"/>
    <w:rsid w:val="00F175D3"/>
    <w:rsid w:val="00F17C04"/>
    <w:rsid w:val="00F17F34"/>
    <w:rsid w:val="00F2098D"/>
    <w:rsid w:val="00F22D0F"/>
    <w:rsid w:val="00F232C5"/>
    <w:rsid w:val="00F23FBF"/>
    <w:rsid w:val="00F241BC"/>
    <w:rsid w:val="00F25F63"/>
    <w:rsid w:val="00F26C08"/>
    <w:rsid w:val="00F26D17"/>
    <w:rsid w:val="00F30092"/>
    <w:rsid w:val="00F3031B"/>
    <w:rsid w:val="00F30A78"/>
    <w:rsid w:val="00F30FEA"/>
    <w:rsid w:val="00F31FF6"/>
    <w:rsid w:val="00F324CB"/>
    <w:rsid w:val="00F333E6"/>
    <w:rsid w:val="00F3488B"/>
    <w:rsid w:val="00F34A32"/>
    <w:rsid w:val="00F37172"/>
    <w:rsid w:val="00F374D8"/>
    <w:rsid w:val="00F416BF"/>
    <w:rsid w:val="00F42DF4"/>
    <w:rsid w:val="00F43AE4"/>
    <w:rsid w:val="00F44028"/>
    <w:rsid w:val="00F44963"/>
    <w:rsid w:val="00F44AE3"/>
    <w:rsid w:val="00F4782A"/>
    <w:rsid w:val="00F50669"/>
    <w:rsid w:val="00F51F9A"/>
    <w:rsid w:val="00F521DF"/>
    <w:rsid w:val="00F52C34"/>
    <w:rsid w:val="00F53668"/>
    <w:rsid w:val="00F54DE7"/>
    <w:rsid w:val="00F55351"/>
    <w:rsid w:val="00F55F02"/>
    <w:rsid w:val="00F567F6"/>
    <w:rsid w:val="00F56BF5"/>
    <w:rsid w:val="00F56D90"/>
    <w:rsid w:val="00F56DE5"/>
    <w:rsid w:val="00F5785A"/>
    <w:rsid w:val="00F61067"/>
    <w:rsid w:val="00F616CE"/>
    <w:rsid w:val="00F6221E"/>
    <w:rsid w:val="00F624A6"/>
    <w:rsid w:val="00F628B0"/>
    <w:rsid w:val="00F62F6C"/>
    <w:rsid w:val="00F6375C"/>
    <w:rsid w:val="00F637A8"/>
    <w:rsid w:val="00F63E94"/>
    <w:rsid w:val="00F64043"/>
    <w:rsid w:val="00F64A6D"/>
    <w:rsid w:val="00F64EA6"/>
    <w:rsid w:val="00F65559"/>
    <w:rsid w:val="00F6570B"/>
    <w:rsid w:val="00F65756"/>
    <w:rsid w:val="00F6579A"/>
    <w:rsid w:val="00F67F71"/>
    <w:rsid w:val="00F708F2"/>
    <w:rsid w:val="00F725EF"/>
    <w:rsid w:val="00F72B7E"/>
    <w:rsid w:val="00F759F2"/>
    <w:rsid w:val="00F7686F"/>
    <w:rsid w:val="00F7791E"/>
    <w:rsid w:val="00F77C9D"/>
    <w:rsid w:val="00F77FA6"/>
    <w:rsid w:val="00F80692"/>
    <w:rsid w:val="00F8186D"/>
    <w:rsid w:val="00F838AC"/>
    <w:rsid w:val="00F84103"/>
    <w:rsid w:val="00F849A2"/>
    <w:rsid w:val="00F85161"/>
    <w:rsid w:val="00F8576F"/>
    <w:rsid w:val="00F85F66"/>
    <w:rsid w:val="00F8657B"/>
    <w:rsid w:val="00F868BC"/>
    <w:rsid w:val="00F8700F"/>
    <w:rsid w:val="00F914A6"/>
    <w:rsid w:val="00F92A29"/>
    <w:rsid w:val="00F92A44"/>
    <w:rsid w:val="00F92BCA"/>
    <w:rsid w:val="00F93854"/>
    <w:rsid w:val="00F951A9"/>
    <w:rsid w:val="00F95FEF"/>
    <w:rsid w:val="00F97224"/>
    <w:rsid w:val="00F97F59"/>
    <w:rsid w:val="00F97F60"/>
    <w:rsid w:val="00FA0D0C"/>
    <w:rsid w:val="00FA180F"/>
    <w:rsid w:val="00FA1C5A"/>
    <w:rsid w:val="00FA2BF5"/>
    <w:rsid w:val="00FA2FA4"/>
    <w:rsid w:val="00FA3450"/>
    <w:rsid w:val="00FA346C"/>
    <w:rsid w:val="00FA3CDD"/>
    <w:rsid w:val="00FA4C0E"/>
    <w:rsid w:val="00FA5797"/>
    <w:rsid w:val="00FA5F86"/>
    <w:rsid w:val="00FA623A"/>
    <w:rsid w:val="00FA63E9"/>
    <w:rsid w:val="00FA741C"/>
    <w:rsid w:val="00FA79F5"/>
    <w:rsid w:val="00FB080E"/>
    <w:rsid w:val="00FB09DB"/>
    <w:rsid w:val="00FB0DF1"/>
    <w:rsid w:val="00FB4B77"/>
    <w:rsid w:val="00FB5240"/>
    <w:rsid w:val="00FB529C"/>
    <w:rsid w:val="00FB5667"/>
    <w:rsid w:val="00FB5726"/>
    <w:rsid w:val="00FB5CE8"/>
    <w:rsid w:val="00FB5EB8"/>
    <w:rsid w:val="00FB6195"/>
    <w:rsid w:val="00FB7B60"/>
    <w:rsid w:val="00FC0441"/>
    <w:rsid w:val="00FC051F"/>
    <w:rsid w:val="00FC1289"/>
    <w:rsid w:val="00FC15E8"/>
    <w:rsid w:val="00FC1E9D"/>
    <w:rsid w:val="00FC2BF1"/>
    <w:rsid w:val="00FC36FF"/>
    <w:rsid w:val="00FC470A"/>
    <w:rsid w:val="00FC4744"/>
    <w:rsid w:val="00FC570C"/>
    <w:rsid w:val="00FC5F6C"/>
    <w:rsid w:val="00FC611E"/>
    <w:rsid w:val="00FC68A5"/>
    <w:rsid w:val="00FC7240"/>
    <w:rsid w:val="00FC7C93"/>
    <w:rsid w:val="00FC7D2D"/>
    <w:rsid w:val="00FC7EB6"/>
    <w:rsid w:val="00FD0D55"/>
    <w:rsid w:val="00FD3995"/>
    <w:rsid w:val="00FD4087"/>
    <w:rsid w:val="00FD4B31"/>
    <w:rsid w:val="00FD5871"/>
    <w:rsid w:val="00FD5D7E"/>
    <w:rsid w:val="00FD668A"/>
    <w:rsid w:val="00FD7AB5"/>
    <w:rsid w:val="00FD7D68"/>
    <w:rsid w:val="00FE11B4"/>
    <w:rsid w:val="00FE1715"/>
    <w:rsid w:val="00FE25F3"/>
    <w:rsid w:val="00FE26AA"/>
    <w:rsid w:val="00FE2BAB"/>
    <w:rsid w:val="00FE5AA4"/>
    <w:rsid w:val="00FE771F"/>
    <w:rsid w:val="00FE7B2B"/>
    <w:rsid w:val="00FE7C6A"/>
    <w:rsid w:val="00FF017F"/>
    <w:rsid w:val="00FF3985"/>
    <w:rsid w:val="00FF3A5A"/>
    <w:rsid w:val="00FF3DFD"/>
    <w:rsid w:val="00FF41D0"/>
    <w:rsid w:val="00FF55A5"/>
    <w:rsid w:val="00FF56D6"/>
    <w:rsid w:val="00FF5CC7"/>
    <w:rsid w:val="00FF6A02"/>
    <w:rsid w:val="00FF7580"/>
    <w:rsid w:val="00FF7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nl-N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b/>
      <w:bCs/>
      <w:sz w:val="24"/>
    </w:rPr>
  </w:style>
  <w:style w:type="paragraph" w:styleId="Kop1">
    <w:name w:val="heading 1"/>
    <w:basedOn w:val="Standaard"/>
    <w:next w:val="Standaard"/>
    <w:link w:val="Kop1Char"/>
    <w:uiPriority w:val="9"/>
    <w:qFormat/>
    <w:rsid w:val="000226EE"/>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Kop2">
    <w:name w:val="heading 2"/>
    <w:basedOn w:val="Standaard"/>
    <w:link w:val="Kop2Char"/>
    <w:uiPriority w:val="9"/>
    <w:qFormat/>
    <w:rsid w:val="00D64BD5"/>
    <w:pPr>
      <w:spacing w:before="100" w:beforeAutospacing="1" w:after="100" w:afterAutospacing="1"/>
      <w:jc w:val="left"/>
      <w:outlineLvl w:val="1"/>
    </w:pPr>
    <w:rPr>
      <w:rFonts w:ascii="Times New Roman" w:eastAsia="Times New Roman" w:hAnsi="Times New Roman"/>
      <w:bCs w:val="0"/>
      <w:sz w:val="36"/>
      <w:szCs w:val="36"/>
      <w:lang w:eastAsia="nl-NL"/>
    </w:rPr>
  </w:style>
  <w:style w:type="paragraph" w:styleId="Kop3">
    <w:name w:val="heading 3"/>
    <w:basedOn w:val="Standaard"/>
    <w:next w:val="Standaard"/>
    <w:link w:val="Kop3Char"/>
    <w:uiPriority w:val="9"/>
    <w:unhideWhenUsed/>
    <w:qFormat/>
    <w:rsid w:val="0033361C"/>
    <w:pPr>
      <w:keepNext/>
      <w:keepLines/>
      <w:spacing w:before="200"/>
      <w:outlineLvl w:val="2"/>
    </w:pPr>
    <w:rPr>
      <w:rFonts w:asciiTheme="majorHAnsi" w:eastAsiaTheme="majorEastAsia" w:hAnsiTheme="majorHAnsi" w:cstheme="majorBidi"/>
      <w:b w:val="0"/>
      <w:bCs w:val="0"/>
      <w:color w:val="4F81BD" w:themeColor="accent1"/>
    </w:rPr>
  </w:style>
  <w:style w:type="paragraph" w:styleId="Kop4">
    <w:name w:val="heading 4"/>
    <w:basedOn w:val="Standaard"/>
    <w:next w:val="Standaard"/>
    <w:link w:val="Kop4Char"/>
    <w:uiPriority w:val="9"/>
    <w:unhideWhenUsed/>
    <w:qFormat/>
    <w:rsid w:val="00B5285F"/>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Kop6">
    <w:name w:val="heading 6"/>
    <w:basedOn w:val="Standaard"/>
    <w:next w:val="Standaard"/>
    <w:link w:val="Kop6Char"/>
    <w:uiPriority w:val="9"/>
    <w:semiHidden/>
    <w:unhideWhenUsed/>
    <w:qFormat/>
    <w:rsid w:val="003C5E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F725EF"/>
    <w:rPr>
      <w:sz w:val="20"/>
      <w:szCs w:val="20"/>
    </w:rPr>
  </w:style>
  <w:style w:type="character" w:customStyle="1" w:styleId="EindnoottekstChar">
    <w:name w:val="Eindnoottekst Char"/>
    <w:basedOn w:val="Standaardalinea-lettertype"/>
    <w:link w:val="Eindnoottekst"/>
    <w:uiPriority w:val="99"/>
    <w:semiHidden/>
    <w:rsid w:val="00F725EF"/>
    <w:rPr>
      <w:b/>
      <w:bCs/>
      <w:sz w:val="20"/>
      <w:szCs w:val="20"/>
    </w:rPr>
  </w:style>
  <w:style w:type="character" w:styleId="Eindnootmarkering">
    <w:name w:val="endnote reference"/>
    <w:basedOn w:val="Standaardalinea-lettertype"/>
    <w:uiPriority w:val="99"/>
    <w:semiHidden/>
    <w:unhideWhenUsed/>
    <w:rsid w:val="00F725EF"/>
    <w:rPr>
      <w:vertAlign w:val="superscript"/>
    </w:rPr>
  </w:style>
  <w:style w:type="paragraph" w:styleId="Voetnoottekst">
    <w:name w:val="footnote text"/>
    <w:basedOn w:val="Standaard"/>
    <w:link w:val="VoetnoottekstChar"/>
    <w:uiPriority w:val="99"/>
    <w:unhideWhenUsed/>
    <w:rsid w:val="00F725EF"/>
    <w:rPr>
      <w:sz w:val="20"/>
      <w:szCs w:val="20"/>
    </w:rPr>
  </w:style>
  <w:style w:type="character" w:customStyle="1" w:styleId="VoetnoottekstChar">
    <w:name w:val="Voetnoottekst Char"/>
    <w:basedOn w:val="Standaardalinea-lettertype"/>
    <w:link w:val="Voetnoottekst"/>
    <w:uiPriority w:val="99"/>
    <w:rsid w:val="00F725EF"/>
    <w:rPr>
      <w:b/>
      <w:bCs/>
      <w:sz w:val="20"/>
      <w:szCs w:val="20"/>
    </w:rPr>
  </w:style>
  <w:style w:type="character" w:styleId="Voetnootmarkering">
    <w:name w:val="footnote reference"/>
    <w:basedOn w:val="Standaardalinea-lettertype"/>
    <w:uiPriority w:val="99"/>
    <w:semiHidden/>
    <w:unhideWhenUsed/>
    <w:rsid w:val="00F725EF"/>
    <w:rPr>
      <w:vertAlign w:val="superscript"/>
    </w:rPr>
  </w:style>
  <w:style w:type="character" w:customStyle="1" w:styleId="Kop2Char">
    <w:name w:val="Kop 2 Char"/>
    <w:basedOn w:val="Standaardalinea-lettertype"/>
    <w:link w:val="Kop2"/>
    <w:uiPriority w:val="9"/>
    <w:rsid w:val="00D64BD5"/>
    <w:rPr>
      <w:rFonts w:ascii="Times New Roman" w:eastAsia="Times New Roman" w:hAnsi="Times New Roman"/>
      <w:b/>
      <w:sz w:val="36"/>
      <w:szCs w:val="36"/>
      <w:lang w:eastAsia="nl-NL"/>
    </w:rPr>
  </w:style>
  <w:style w:type="paragraph" w:styleId="Lijstalinea">
    <w:name w:val="List Paragraph"/>
    <w:basedOn w:val="Standaard"/>
    <w:uiPriority w:val="34"/>
    <w:qFormat/>
    <w:rsid w:val="007C5839"/>
    <w:pPr>
      <w:ind w:left="720"/>
      <w:contextualSpacing/>
    </w:pPr>
  </w:style>
  <w:style w:type="character" w:styleId="Hyperlink">
    <w:name w:val="Hyperlink"/>
    <w:basedOn w:val="Standaardalinea-lettertype"/>
    <w:uiPriority w:val="99"/>
    <w:unhideWhenUsed/>
    <w:rsid w:val="00637A06"/>
    <w:rPr>
      <w:color w:val="0000FF" w:themeColor="hyperlink"/>
      <w:u w:val="single"/>
    </w:rPr>
  </w:style>
  <w:style w:type="character" w:customStyle="1" w:styleId="apple-converted-space">
    <w:name w:val="apple-converted-space"/>
    <w:basedOn w:val="Standaardalinea-lettertype"/>
    <w:rsid w:val="009118F0"/>
  </w:style>
  <w:style w:type="character" w:customStyle="1" w:styleId="docsearchterm">
    <w:name w:val="docsearchterm"/>
    <w:basedOn w:val="Standaardalinea-lettertype"/>
    <w:rsid w:val="009118F0"/>
  </w:style>
  <w:style w:type="paragraph" w:styleId="Normaalweb">
    <w:name w:val="Normal (Web)"/>
    <w:basedOn w:val="Standaard"/>
    <w:uiPriority w:val="99"/>
    <w:semiHidden/>
    <w:unhideWhenUsed/>
    <w:rsid w:val="007B2749"/>
    <w:pPr>
      <w:spacing w:before="100" w:beforeAutospacing="1" w:after="100" w:afterAutospacing="1"/>
      <w:jc w:val="left"/>
    </w:pPr>
    <w:rPr>
      <w:rFonts w:ascii="Times New Roman" w:eastAsia="Times New Roman" w:hAnsi="Times New Roman"/>
      <w:b w:val="0"/>
      <w:lang w:eastAsia="nl-NL"/>
    </w:rPr>
  </w:style>
  <w:style w:type="character" w:styleId="GevolgdeHyperlink">
    <w:name w:val="FollowedHyperlink"/>
    <w:basedOn w:val="Standaardalinea-lettertype"/>
    <w:uiPriority w:val="99"/>
    <w:semiHidden/>
    <w:unhideWhenUsed/>
    <w:rsid w:val="0033361C"/>
    <w:rPr>
      <w:color w:val="800080" w:themeColor="followedHyperlink"/>
      <w:u w:val="single"/>
    </w:rPr>
  </w:style>
  <w:style w:type="character" w:customStyle="1" w:styleId="Kop3Char">
    <w:name w:val="Kop 3 Char"/>
    <w:basedOn w:val="Standaardalinea-lettertype"/>
    <w:link w:val="Kop3"/>
    <w:uiPriority w:val="9"/>
    <w:rsid w:val="0033361C"/>
    <w:rPr>
      <w:rFonts w:asciiTheme="majorHAnsi" w:eastAsiaTheme="majorEastAsia" w:hAnsiTheme="majorHAnsi" w:cstheme="majorBidi"/>
      <w:color w:val="4F81BD" w:themeColor="accent1"/>
      <w:sz w:val="24"/>
    </w:rPr>
  </w:style>
  <w:style w:type="character" w:styleId="Nadruk">
    <w:name w:val="Emphasis"/>
    <w:basedOn w:val="Standaardalinea-lettertype"/>
    <w:uiPriority w:val="20"/>
    <w:qFormat/>
    <w:rsid w:val="0033361C"/>
    <w:rPr>
      <w:i/>
      <w:iCs/>
    </w:rPr>
  </w:style>
  <w:style w:type="character" w:customStyle="1" w:styleId="wknlgeenverwijzing">
    <w:name w:val="wknl_geenverwijzing"/>
    <w:basedOn w:val="Standaardalinea-lettertype"/>
    <w:rsid w:val="006872D0"/>
  </w:style>
  <w:style w:type="character" w:customStyle="1" w:styleId="Kop1Char">
    <w:name w:val="Kop 1 Char"/>
    <w:basedOn w:val="Standaardalinea-lettertype"/>
    <w:link w:val="Kop1"/>
    <w:uiPriority w:val="9"/>
    <w:rsid w:val="000226EE"/>
    <w:rPr>
      <w:rFonts w:asciiTheme="majorHAnsi" w:eastAsiaTheme="majorEastAsia" w:hAnsiTheme="majorHAnsi" w:cstheme="majorBidi"/>
      <w:color w:val="365F91" w:themeColor="accent1" w:themeShade="BF"/>
      <w:sz w:val="28"/>
      <w:szCs w:val="28"/>
    </w:rPr>
  </w:style>
  <w:style w:type="character" w:customStyle="1" w:styleId="wknlfootnotehref">
    <w:name w:val="wknl_footnote_href"/>
    <w:basedOn w:val="Standaardalinea-lettertype"/>
    <w:rsid w:val="005C4905"/>
  </w:style>
  <w:style w:type="character" w:customStyle="1" w:styleId="Kop6Char">
    <w:name w:val="Kop 6 Char"/>
    <w:basedOn w:val="Standaardalinea-lettertype"/>
    <w:link w:val="Kop6"/>
    <w:uiPriority w:val="9"/>
    <w:semiHidden/>
    <w:rsid w:val="003C5EE6"/>
    <w:rPr>
      <w:rFonts w:asciiTheme="majorHAnsi" w:eastAsiaTheme="majorEastAsia" w:hAnsiTheme="majorHAnsi" w:cstheme="majorBidi"/>
      <w:b/>
      <w:bCs/>
      <w:i/>
      <w:iCs/>
      <w:color w:val="243F60" w:themeColor="accent1" w:themeShade="7F"/>
      <w:sz w:val="24"/>
    </w:rPr>
  </w:style>
  <w:style w:type="table" w:styleId="Tabelraster">
    <w:name w:val="Table Grid"/>
    <w:basedOn w:val="Standaardtabel"/>
    <w:uiPriority w:val="59"/>
    <w:rsid w:val="00210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0343C"/>
    <w:pPr>
      <w:tabs>
        <w:tab w:val="center" w:pos="4536"/>
        <w:tab w:val="right" w:pos="9072"/>
      </w:tabs>
    </w:pPr>
  </w:style>
  <w:style w:type="character" w:customStyle="1" w:styleId="KoptekstChar">
    <w:name w:val="Koptekst Char"/>
    <w:basedOn w:val="Standaardalinea-lettertype"/>
    <w:link w:val="Koptekst"/>
    <w:uiPriority w:val="99"/>
    <w:rsid w:val="0070343C"/>
    <w:rPr>
      <w:b/>
      <w:bCs/>
      <w:sz w:val="24"/>
    </w:rPr>
  </w:style>
  <w:style w:type="paragraph" w:styleId="Voettekst">
    <w:name w:val="footer"/>
    <w:basedOn w:val="Standaard"/>
    <w:link w:val="VoettekstChar"/>
    <w:uiPriority w:val="99"/>
    <w:unhideWhenUsed/>
    <w:rsid w:val="0070343C"/>
    <w:pPr>
      <w:tabs>
        <w:tab w:val="center" w:pos="4536"/>
        <w:tab w:val="right" w:pos="9072"/>
      </w:tabs>
    </w:pPr>
  </w:style>
  <w:style w:type="character" w:customStyle="1" w:styleId="VoettekstChar">
    <w:name w:val="Voettekst Char"/>
    <w:basedOn w:val="Standaardalinea-lettertype"/>
    <w:link w:val="Voettekst"/>
    <w:uiPriority w:val="99"/>
    <w:rsid w:val="0070343C"/>
    <w:rPr>
      <w:b/>
      <w:bCs/>
      <w:sz w:val="24"/>
    </w:rPr>
  </w:style>
  <w:style w:type="paragraph" w:styleId="Ballontekst">
    <w:name w:val="Balloon Text"/>
    <w:basedOn w:val="Standaard"/>
    <w:link w:val="BallontekstChar"/>
    <w:uiPriority w:val="99"/>
    <w:semiHidden/>
    <w:unhideWhenUsed/>
    <w:rsid w:val="00E259BB"/>
    <w:rPr>
      <w:rFonts w:ascii="Tahoma" w:hAnsi="Tahoma" w:cs="Tahoma"/>
      <w:sz w:val="16"/>
      <w:szCs w:val="16"/>
    </w:rPr>
  </w:style>
  <w:style w:type="character" w:customStyle="1" w:styleId="BallontekstChar">
    <w:name w:val="Ballontekst Char"/>
    <w:basedOn w:val="Standaardalinea-lettertype"/>
    <w:link w:val="Ballontekst"/>
    <w:uiPriority w:val="99"/>
    <w:semiHidden/>
    <w:rsid w:val="00E259BB"/>
    <w:rPr>
      <w:rFonts w:ascii="Tahoma" w:hAnsi="Tahoma" w:cs="Tahoma"/>
      <w:b/>
      <w:bCs/>
      <w:sz w:val="16"/>
      <w:szCs w:val="16"/>
    </w:rPr>
  </w:style>
  <w:style w:type="character" w:customStyle="1" w:styleId="Kop4Char">
    <w:name w:val="Kop 4 Char"/>
    <w:basedOn w:val="Standaardalinea-lettertype"/>
    <w:link w:val="Kop4"/>
    <w:uiPriority w:val="9"/>
    <w:rsid w:val="00B5285F"/>
    <w:rPr>
      <w:rFonts w:asciiTheme="majorHAnsi" w:eastAsiaTheme="majorEastAsia" w:hAnsiTheme="majorHAnsi" w:cstheme="majorBidi"/>
      <w:i/>
      <w:iCs/>
      <w:color w:val="4F81BD" w:themeColor="accent1"/>
      <w:sz w:val="24"/>
    </w:rPr>
  </w:style>
  <w:style w:type="character" w:customStyle="1" w:styleId="wknlverwijzing">
    <w:name w:val="wknl_verwijzing"/>
    <w:basedOn w:val="Standaardalinea-lettertype"/>
    <w:rsid w:val="00AC4155"/>
  </w:style>
  <w:style w:type="paragraph" w:styleId="Geenafstand">
    <w:name w:val="No Spacing"/>
    <w:link w:val="GeenafstandChar"/>
    <w:uiPriority w:val="1"/>
    <w:qFormat/>
    <w:rsid w:val="00737ACD"/>
    <w:pPr>
      <w:jc w:val="left"/>
    </w:pPr>
    <w:rPr>
      <w:rFonts w:asciiTheme="minorHAnsi" w:hAnsiTheme="minorHAnsi" w:cstheme="minorBidi"/>
      <w:sz w:val="24"/>
    </w:rPr>
  </w:style>
  <w:style w:type="paragraph" w:customStyle="1" w:styleId="m7263927220724922756msolistparagraph">
    <w:name w:val="m_7263927220724922756msolistparagraph"/>
    <w:basedOn w:val="Standaard"/>
    <w:rsid w:val="00E805FF"/>
    <w:pPr>
      <w:spacing w:before="100" w:beforeAutospacing="1" w:after="100" w:afterAutospacing="1"/>
      <w:jc w:val="left"/>
    </w:pPr>
    <w:rPr>
      <w:rFonts w:ascii="Times New Roman" w:eastAsia="Times New Roman" w:hAnsi="Times New Roman"/>
      <w:b w:val="0"/>
      <w:bCs w:val="0"/>
      <w:lang w:eastAsia="nl-NL"/>
    </w:rPr>
  </w:style>
  <w:style w:type="paragraph" w:customStyle="1" w:styleId="m7263927220724922756default">
    <w:name w:val="m_7263927220724922756default"/>
    <w:basedOn w:val="Standaard"/>
    <w:rsid w:val="00D23D2E"/>
    <w:pPr>
      <w:spacing w:before="100" w:beforeAutospacing="1" w:after="100" w:afterAutospacing="1"/>
      <w:jc w:val="left"/>
    </w:pPr>
    <w:rPr>
      <w:rFonts w:ascii="Times New Roman" w:eastAsia="Times New Roman" w:hAnsi="Times New Roman"/>
      <w:b w:val="0"/>
      <w:bCs w:val="0"/>
      <w:lang w:eastAsia="nl-NL"/>
    </w:rPr>
  </w:style>
  <w:style w:type="paragraph" w:styleId="Kopvaninhoudsopgave">
    <w:name w:val="TOC Heading"/>
    <w:basedOn w:val="Kop1"/>
    <w:next w:val="Standaard"/>
    <w:uiPriority w:val="39"/>
    <w:semiHidden/>
    <w:unhideWhenUsed/>
    <w:qFormat/>
    <w:rsid w:val="00372460"/>
    <w:pPr>
      <w:spacing w:line="276" w:lineRule="auto"/>
      <w:jc w:val="left"/>
      <w:outlineLvl w:val="9"/>
    </w:pPr>
    <w:rPr>
      <w:b/>
      <w:bCs/>
      <w:lang w:eastAsia="nl-NL"/>
    </w:rPr>
  </w:style>
  <w:style w:type="paragraph" w:styleId="Inhopg1">
    <w:name w:val="toc 1"/>
    <w:basedOn w:val="Standaard"/>
    <w:next w:val="Standaard"/>
    <w:autoRedefine/>
    <w:uiPriority w:val="39"/>
    <w:unhideWhenUsed/>
    <w:qFormat/>
    <w:rsid w:val="00372460"/>
    <w:pPr>
      <w:spacing w:after="100"/>
    </w:pPr>
  </w:style>
  <w:style w:type="paragraph" w:styleId="Inhopg3">
    <w:name w:val="toc 3"/>
    <w:basedOn w:val="Standaard"/>
    <w:next w:val="Standaard"/>
    <w:autoRedefine/>
    <w:uiPriority w:val="39"/>
    <w:unhideWhenUsed/>
    <w:qFormat/>
    <w:rsid w:val="00372460"/>
    <w:pPr>
      <w:spacing w:after="100"/>
      <w:ind w:left="480"/>
    </w:pPr>
  </w:style>
  <w:style w:type="paragraph" w:styleId="Inhopg2">
    <w:name w:val="toc 2"/>
    <w:basedOn w:val="Standaard"/>
    <w:next w:val="Standaard"/>
    <w:autoRedefine/>
    <w:uiPriority w:val="39"/>
    <w:unhideWhenUsed/>
    <w:qFormat/>
    <w:rsid w:val="00372460"/>
    <w:pPr>
      <w:spacing w:after="100" w:line="276" w:lineRule="auto"/>
      <w:ind w:left="220"/>
      <w:jc w:val="left"/>
    </w:pPr>
    <w:rPr>
      <w:rFonts w:asciiTheme="minorHAnsi" w:eastAsiaTheme="minorEastAsia" w:hAnsiTheme="minorHAnsi" w:cstheme="minorBidi"/>
      <w:b w:val="0"/>
      <w:bCs w:val="0"/>
      <w:sz w:val="22"/>
      <w:szCs w:val="22"/>
      <w:lang w:eastAsia="nl-NL"/>
    </w:rPr>
  </w:style>
  <w:style w:type="character" w:customStyle="1" w:styleId="GeenafstandChar">
    <w:name w:val="Geen afstand Char"/>
    <w:basedOn w:val="Standaardalinea-lettertype"/>
    <w:link w:val="Geenafstand"/>
    <w:uiPriority w:val="1"/>
    <w:rsid w:val="00587569"/>
    <w:rPr>
      <w:rFonts w:asciiTheme="minorHAnsi" w:hAnsiTheme="minorHAnsi"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nl-N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b/>
      <w:bCs/>
      <w:sz w:val="24"/>
    </w:rPr>
  </w:style>
  <w:style w:type="paragraph" w:styleId="Kop1">
    <w:name w:val="heading 1"/>
    <w:basedOn w:val="Standaard"/>
    <w:next w:val="Standaard"/>
    <w:link w:val="Kop1Char"/>
    <w:uiPriority w:val="9"/>
    <w:qFormat/>
    <w:rsid w:val="000226EE"/>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Kop2">
    <w:name w:val="heading 2"/>
    <w:basedOn w:val="Standaard"/>
    <w:link w:val="Kop2Char"/>
    <w:uiPriority w:val="9"/>
    <w:qFormat/>
    <w:rsid w:val="00D64BD5"/>
    <w:pPr>
      <w:spacing w:before="100" w:beforeAutospacing="1" w:after="100" w:afterAutospacing="1"/>
      <w:jc w:val="left"/>
      <w:outlineLvl w:val="1"/>
    </w:pPr>
    <w:rPr>
      <w:rFonts w:ascii="Times New Roman" w:eastAsia="Times New Roman" w:hAnsi="Times New Roman"/>
      <w:bCs w:val="0"/>
      <w:sz w:val="36"/>
      <w:szCs w:val="36"/>
      <w:lang w:eastAsia="nl-NL"/>
    </w:rPr>
  </w:style>
  <w:style w:type="paragraph" w:styleId="Kop3">
    <w:name w:val="heading 3"/>
    <w:basedOn w:val="Standaard"/>
    <w:next w:val="Standaard"/>
    <w:link w:val="Kop3Char"/>
    <w:uiPriority w:val="9"/>
    <w:unhideWhenUsed/>
    <w:qFormat/>
    <w:rsid w:val="0033361C"/>
    <w:pPr>
      <w:keepNext/>
      <w:keepLines/>
      <w:spacing w:before="200"/>
      <w:outlineLvl w:val="2"/>
    </w:pPr>
    <w:rPr>
      <w:rFonts w:asciiTheme="majorHAnsi" w:eastAsiaTheme="majorEastAsia" w:hAnsiTheme="majorHAnsi" w:cstheme="majorBidi"/>
      <w:b w:val="0"/>
      <w:bCs w:val="0"/>
      <w:color w:val="4F81BD" w:themeColor="accent1"/>
    </w:rPr>
  </w:style>
  <w:style w:type="paragraph" w:styleId="Kop4">
    <w:name w:val="heading 4"/>
    <w:basedOn w:val="Standaard"/>
    <w:next w:val="Standaard"/>
    <w:link w:val="Kop4Char"/>
    <w:uiPriority w:val="9"/>
    <w:unhideWhenUsed/>
    <w:qFormat/>
    <w:rsid w:val="00B5285F"/>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Kop6">
    <w:name w:val="heading 6"/>
    <w:basedOn w:val="Standaard"/>
    <w:next w:val="Standaard"/>
    <w:link w:val="Kop6Char"/>
    <w:uiPriority w:val="9"/>
    <w:semiHidden/>
    <w:unhideWhenUsed/>
    <w:qFormat/>
    <w:rsid w:val="003C5E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F725EF"/>
    <w:rPr>
      <w:sz w:val="20"/>
      <w:szCs w:val="20"/>
    </w:rPr>
  </w:style>
  <w:style w:type="character" w:customStyle="1" w:styleId="EindnoottekstChar">
    <w:name w:val="Eindnoottekst Char"/>
    <w:basedOn w:val="Standaardalinea-lettertype"/>
    <w:link w:val="Eindnoottekst"/>
    <w:uiPriority w:val="99"/>
    <w:semiHidden/>
    <w:rsid w:val="00F725EF"/>
    <w:rPr>
      <w:b/>
      <w:bCs/>
      <w:sz w:val="20"/>
      <w:szCs w:val="20"/>
    </w:rPr>
  </w:style>
  <w:style w:type="character" w:styleId="Eindnootmarkering">
    <w:name w:val="endnote reference"/>
    <w:basedOn w:val="Standaardalinea-lettertype"/>
    <w:uiPriority w:val="99"/>
    <w:semiHidden/>
    <w:unhideWhenUsed/>
    <w:rsid w:val="00F725EF"/>
    <w:rPr>
      <w:vertAlign w:val="superscript"/>
    </w:rPr>
  </w:style>
  <w:style w:type="paragraph" w:styleId="Voetnoottekst">
    <w:name w:val="footnote text"/>
    <w:basedOn w:val="Standaard"/>
    <w:link w:val="VoetnoottekstChar"/>
    <w:uiPriority w:val="99"/>
    <w:unhideWhenUsed/>
    <w:rsid w:val="00F725EF"/>
    <w:rPr>
      <w:sz w:val="20"/>
      <w:szCs w:val="20"/>
    </w:rPr>
  </w:style>
  <w:style w:type="character" w:customStyle="1" w:styleId="VoetnoottekstChar">
    <w:name w:val="Voetnoottekst Char"/>
    <w:basedOn w:val="Standaardalinea-lettertype"/>
    <w:link w:val="Voetnoottekst"/>
    <w:uiPriority w:val="99"/>
    <w:rsid w:val="00F725EF"/>
    <w:rPr>
      <w:b/>
      <w:bCs/>
      <w:sz w:val="20"/>
      <w:szCs w:val="20"/>
    </w:rPr>
  </w:style>
  <w:style w:type="character" w:styleId="Voetnootmarkering">
    <w:name w:val="footnote reference"/>
    <w:basedOn w:val="Standaardalinea-lettertype"/>
    <w:uiPriority w:val="99"/>
    <w:semiHidden/>
    <w:unhideWhenUsed/>
    <w:rsid w:val="00F725EF"/>
    <w:rPr>
      <w:vertAlign w:val="superscript"/>
    </w:rPr>
  </w:style>
  <w:style w:type="character" w:customStyle="1" w:styleId="Kop2Char">
    <w:name w:val="Kop 2 Char"/>
    <w:basedOn w:val="Standaardalinea-lettertype"/>
    <w:link w:val="Kop2"/>
    <w:uiPriority w:val="9"/>
    <w:rsid w:val="00D64BD5"/>
    <w:rPr>
      <w:rFonts w:ascii="Times New Roman" w:eastAsia="Times New Roman" w:hAnsi="Times New Roman"/>
      <w:b/>
      <w:sz w:val="36"/>
      <w:szCs w:val="36"/>
      <w:lang w:eastAsia="nl-NL"/>
    </w:rPr>
  </w:style>
  <w:style w:type="paragraph" w:styleId="Lijstalinea">
    <w:name w:val="List Paragraph"/>
    <w:basedOn w:val="Standaard"/>
    <w:uiPriority w:val="34"/>
    <w:qFormat/>
    <w:rsid w:val="007C5839"/>
    <w:pPr>
      <w:ind w:left="720"/>
      <w:contextualSpacing/>
    </w:pPr>
  </w:style>
  <w:style w:type="character" w:styleId="Hyperlink">
    <w:name w:val="Hyperlink"/>
    <w:basedOn w:val="Standaardalinea-lettertype"/>
    <w:uiPriority w:val="99"/>
    <w:unhideWhenUsed/>
    <w:rsid w:val="00637A06"/>
    <w:rPr>
      <w:color w:val="0000FF" w:themeColor="hyperlink"/>
      <w:u w:val="single"/>
    </w:rPr>
  </w:style>
  <w:style w:type="character" w:customStyle="1" w:styleId="apple-converted-space">
    <w:name w:val="apple-converted-space"/>
    <w:basedOn w:val="Standaardalinea-lettertype"/>
    <w:rsid w:val="009118F0"/>
  </w:style>
  <w:style w:type="character" w:customStyle="1" w:styleId="docsearchterm">
    <w:name w:val="docsearchterm"/>
    <w:basedOn w:val="Standaardalinea-lettertype"/>
    <w:rsid w:val="009118F0"/>
  </w:style>
  <w:style w:type="paragraph" w:styleId="Normaalweb">
    <w:name w:val="Normal (Web)"/>
    <w:basedOn w:val="Standaard"/>
    <w:uiPriority w:val="99"/>
    <w:semiHidden/>
    <w:unhideWhenUsed/>
    <w:rsid w:val="007B2749"/>
    <w:pPr>
      <w:spacing w:before="100" w:beforeAutospacing="1" w:after="100" w:afterAutospacing="1"/>
      <w:jc w:val="left"/>
    </w:pPr>
    <w:rPr>
      <w:rFonts w:ascii="Times New Roman" w:eastAsia="Times New Roman" w:hAnsi="Times New Roman"/>
      <w:b w:val="0"/>
      <w:lang w:eastAsia="nl-NL"/>
    </w:rPr>
  </w:style>
  <w:style w:type="character" w:styleId="GevolgdeHyperlink">
    <w:name w:val="FollowedHyperlink"/>
    <w:basedOn w:val="Standaardalinea-lettertype"/>
    <w:uiPriority w:val="99"/>
    <w:semiHidden/>
    <w:unhideWhenUsed/>
    <w:rsid w:val="0033361C"/>
    <w:rPr>
      <w:color w:val="800080" w:themeColor="followedHyperlink"/>
      <w:u w:val="single"/>
    </w:rPr>
  </w:style>
  <w:style w:type="character" w:customStyle="1" w:styleId="Kop3Char">
    <w:name w:val="Kop 3 Char"/>
    <w:basedOn w:val="Standaardalinea-lettertype"/>
    <w:link w:val="Kop3"/>
    <w:uiPriority w:val="9"/>
    <w:rsid w:val="0033361C"/>
    <w:rPr>
      <w:rFonts w:asciiTheme="majorHAnsi" w:eastAsiaTheme="majorEastAsia" w:hAnsiTheme="majorHAnsi" w:cstheme="majorBidi"/>
      <w:color w:val="4F81BD" w:themeColor="accent1"/>
      <w:sz w:val="24"/>
    </w:rPr>
  </w:style>
  <w:style w:type="character" w:styleId="Nadruk">
    <w:name w:val="Emphasis"/>
    <w:basedOn w:val="Standaardalinea-lettertype"/>
    <w:uiPriority w:val="20"/>
    <w:qFormat/>
    <w:rsid w:val="0033361C"/>
    <w:rPr>
      <w:i/>
      <w:iCs/>
    </w:rPr>
  </w:style>
  <w:style w:type="character" w:customStyle="1" w:styleId="wknlgeenverwijzing">
    <w:name w:val="wknl_geenverwijzing"/>
    <w:basedOn w:val="Standaardalinea-lettertype"/>
    <w:rsid w:val="006872D0"/>
  </w:style>
  <w:style w:type="character" w:customStyle="1" w:styleId="Kop1Char">
    <w:name w:val="Kop 1 Char"/>
    <w:basedOn w:val="Standaardalinea-lettertype"/>
    <w:link w:val="Kop1"/>
    <w:uiPriority w:val="9"/>
    <w:rsid w:val="000226EE"/>
    <w:rPr>
      <w:rFonts w:asciiTheme="majorHAnsi" w:eastAsiaTheme="majorEastAsia" w:hAnsiTheme="majorHAnsi" w:cstheme="majorBidi"/>
      <w:color w:val="365F91" w:themeColor="accent1" w:themeShade="BF"/>
      <w:sz w:val="28"/>
      <w:szCs w:val="28"/>
    </w:rPr>
  </w:style>
  <w:style w:type="character" w:customStyle="1" w:styleId="wknlfootnotehref">
    <w:name w:val="wknl_footnote_href"/>
    <w:basedOn w:val="Standaardalinea-lettertype"/>
    <w:rsid w:val="005C4905"/>
  </w:style>
  <w:style w:type="character" w:customStyle="1" w:styleId="Kop6Char">
    <w:name w:val="Kop 6 Char"/>
    <w:basedOn w:val="Standaardalinea-lettertype"/>
    <w:link w:val="Kop6"/>
    <w:uiPriority w:val="9"/>
    <w:semiHidden/>
    <w:rsid w:val="003C5EE6"/>
    <w:rPr>
      <w:rFonts w:asciiTheme="majorHAnsi" w:eastAsiaTheme="majorEastAsia" w:hAnsiTheme="majorHAnsi" w:cstheme="majorBidi"/>
      <w:b/>
      <w:bCs/>
      <w:i/>
      <w:iCs/>
      <w:color w:val="243F60" w:themeColor="accent1" w:themeShade="7F"/>
      <w:sz w:val="24"/>
    </w:rPr>
  </w:style>
  <w:style w:type="table" w:styleId="Tabelraster">
    <w:name w:val="Table Grid"/>
    <w:basedOn w:val="Standaardtabel"/>
    <w:uiPriority w:val="59"/>
    <w:rsid w:val="00210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0343C"/>
    <w:pPr>
      <w:tabs>
        <w:tab w:val="center" w:pos="4536"/>
        <w:tab w:val="right" w:pos="9072"/>
      </w:tabs>
    </w:pPr>
  </w:style>
  <w:style w:type="character" w:customStyle="1" w:styleId="KoptekstChar">
    <w:name w:val="Koptekst Char"/>
    <w:basedOn w:val="Standaardalinea-lettertype"/>
    <w:link w:val="Koptekst"/>
    <w:uiPriority w:val="99"/>
    <w:rsid w:val="0070343C"/>
    <w:rPr>
      <w:b/>
      <w:bCs/>
      <w:sz w:val="24"/>
    </w:rPr>
  </w:style>
  <w:style w:type="paragraph" w:styleId="Voettekst">
    <w:name w:val="footer"/>
    <w:basedOn w:val="Standaard"/>
    <w:link w:val="VoettekstChar"/>
    <w:uiPriority w:val="99"/>
    <w:unhideWhenUsed/>
    <w:rsid w:val="0070343C"/>
    <w:pPr>
      <w:tabs>
        <w:tab w:val="center" w:pos="4536"/>
        <w:tab w:val="right" w:pos="9072"/>
      </w:tabs>
    </w:pPr>
  </w:style>
  <w:style w:type="character" w:customStyle="1" w:styleId="VoettekstChar">
    <w:name w:val="Voettekst Char"/>
    <w:basedOn w:val="Standaardalinea-lettertype"/>
    <w:link w:val="Voettekst"/>
    <w:uiPriority w:val="99"/>
    <w:rsid w:val="0070343C"/>
    <w:rPr>
      <w:b/>
      <w:bCs/>
      <w:sz w:val="24"/>
    </w:rPr>
  </w:style>
  <w:style w:type="paragraph" w:styleId="Ballontekst">
    <w:name w:val="Balloon Text"/>
    <w:basedOn w:val="Standaard"/>
    <w:link w:val="BallontekstChar"/>
    <w:uiPriority w:val="99"/>
    <w:semiHidden/>
    <w:unhideWhenUsed/>
    <w:rsid w:val="00E259BB"/>
    <w:rPr>
      <w:rFonts w:ascii="Tahoma" w:hAnsi="Tahoma" w:cs="Tahoma"/>
      <w:sz w:val="16"/>
      <w:szCs w:val="16"/>
    </w:rPr>
  </w:style>
  <w:style w:type="character" w:customStyle="1" w:styleId="BallontekstChar">
    <w:name w:val="Ballontekst Char"/>
    <w:basedOn w:val="Standaardalinea-lettertype"/>
    <w:link w:val="Ballontekst"/>
    <w:uiPriority w:val="99"/>
    <w:semiHidden/>
    <w:rsid w:val="00E259BB"/>
    <w:rPr>
      <w:rFonts w:ascii="Tahoma" w:hAnsi="Tahoma" w:cs="Tahoma"/>
      <w:b/>
      <w:bCs/>
      <w:sz w:val="16"/>
      <w:szCs w:val="16"/>
    </w:rPr>
  </w:style>
  <w:style w:type="character" w:customStyle="1" w:styleId="Kop4Char">
    <w:name w:val="Kop 4 Char"/>
    <w:basedOn w:val="Standaardalinea-lettertype"/>
    <w:link w:val="Kop4"/>
    <w:uiPriority w:val="9"/>
    <w:rsid w:val="00B5285F"/>
    <w:rPr>
      <w:rFonts w:asciiTheme="majorHAnsi" w:eastAsiaTheme="majorEastAsia" w:hAnsiTheme="majorHAnsi" w:cstheme="majorBidi"/>
      <w:i/>
      <w:iCs/>
      <w:color w:val="4F81BD" w:themeColor="accent1"/>
      <w:sz w:val="24"/>
    </w:rPr>
  </w:style>
  <w:style w:type="character" w:customStyle="1" w:styleId="wknlverwijzing">
    <w:name w:val="wknl_verwijzing"/>
    <w:basedOn w:val="Standaardalinea-lettertype"/>
    <w:rsid w:val="00AC4155"/>
  </w:style>
  <w:style w:type="paragraph" w:styleId="Geenafstand">
    <w:name w:val="No Spacing"/>
    <w:link w:val="GeenafstandChar"/>
    <w:uiPriority w:val="1"/>
    <w:qFormat/>
    <w:rsid w:val="00737ACD"/>
    <w:pPr>
      <w:jc w:val="left"/>
    </w:pPr>
    <w:rPr>
      <w:rFonts w:asciiTheme="minorHAnsi" w:hAnsiTheme="minorHAnsi" w:cstheme="minorBidi"/>
      <w:sz w:val="24"/>
    </w:rPr>
  </w:style>
  <w:style w:type="paragraph" w:customStyle="1" w:styleId="m7263927220724922756msolistparagraph">
    <w:name w:val="m_7263927220724922756msolistparagraph"/>
    <w:basedOn w:val="Standaard"/>
    <w:rsid w:val="00E805FF"/>
    <w:pPr>
      <w:spacing w:before="100" w:beforeAutospacing="1" w:after="100" w:afterAutospacing="1"/>
      <w:jc w:val="left"/>
    </w:pPr>
    <w:rPr>
      <w:rFonts w:ascii="Times New Roman" w:eastAsia="Times New Roman" w:hAnsi="Times New Roman"/>
      <w:b w:val="0"/>
      <w:bCs w:val="0"/>
      <w:lang w:eastAsia="nl-NL"/>
    </w:rPr>
  </w:style>
  <w:style w:type="paragraph" w:customStyle="1" w:styleId="m7263927220724922756default">
    <w:name w:val="m_7263927220724922756default"/>
    <w:basedOn w:val="Standaard"/>
    <w:rsid w:val="00D23D2E"/>
    <w:pPr>
      <w:spacing w:before="100" w:beforeAutospacing="1" w:after="100" w:afterAutospacing="1"/>
      <w:jc w:val="left"/>
    </w:pPr>
    <w:rPr>
      <w:rFonts w:ascii="Times New Roman" w:eastAsia="Times New Roman" w:hAnsi="Times New Roman"/>
      <w:b w:val="0"/>
      <w:bCs w:val="0"/>
      <w:lang w:eastAsia="nl-NL"/>
    </w:rPr>
  </w:style>
  <w:style w:type="paragraph" w:styleId="Kopvaninhoudsopgave">
    <w:name w:val="TOC Heading"/>
    <w:basedOn w:val="Kop1"/>
    <w:next w:val="Standaard"/>
    <w:uiPriority w:val="39"/>
    <w:semiHidden/>
    <w:unhideWhenUsed/>
    <w:qFormat/>
    <w:rsid w:val="00372460"/>
    <w:pPr>
      <w:spacing w:line="276" w:lineRule="auto"/>
      <w:jc w:val="left"/>
      <w:outlineLvl w:val="9"/>
    </w:pPr>
    <w:rPr>
      <w:b/>
      <w:bCs/>
      <w:lang w:eastAsia="nl-NL"/>
    </w:rPr>
  </w:style>
  <w:style w:type="paragraph" w:styleId="Inhopg1">
    <w:name w:val="toc 1"/>
    <w:basedOn w:val="Standaard"/>
    <w:next w:val="Standaard"/>
    <w:autoRedefine/>
    <w:uiPriority w:val="39"/>
    <w:unhideWhenUsed/>
    <w:qFormat/>
    <w:rsid w:val="00372460"/>
    <w:pPr>
      <w:spacing w:after="100"/>
    </w:pPr>
  </w:style>
  <w:style w:type="paragraph" w:styleId="Inhopg3">
    <w:name w:val="toc 3"/>
    <w:basedOn w:val="Standaard"/>
    <w:next w:val="Standaard"/>
    <w:autoRedefine/>
    <w:uiPriority w:val="39"/>
    <w:unhideWhenUsed/>
    <w:qFormat/>
    <w:rsid w:val="00372460"/>
    <w:pPr>
      <w:spacing w:after="100"/>
      <w:ind w:left="480"/>
    </w:pPr>
  </w:style>
  <w:style w:type="paragraph" w:styleId="Inhopg2">
    <w:name w:val="toc 2"/>
    <w:basedOn w:val="Standaard"/>
    <w:next w:val="Standaard"/>
    <w:autoRedefine/>
    <w:uiPriority w:val="39"/>
    <w:unhideWhenUsed/>
    <w:qFormat/>
    <w:rsid w:val="00372460"/>
    <w:pPr>
      <w:spacing w:after="100" w:line="276" w:lineRule="auto"/>
      <w:ind w:left="220"/>
      <w:jc w:val="left"/>
    </w:pPr>
    <w:rPr>
      <w:rFonts w:asciiTheme="minorHAnsi" w:eastAsiaTheme="minorEastAsia" w:hAnsiTheme="minorHAnsi" w:cstheme="minorBidi"/>
      <w:b w:val="0"/>
      <w:bCs w:val="0"/>
      <w:sz w:val="22"/>
      <w:szCs w:val="22"/>
      <w:lang w:eastAsia="nl-NL"/>
    </w:rPr>
  </w:style>
  <w:style w:type="character" w:customStyle="1" w:styleId="GeenafstandChar">
    <w:name w:val="Geen afstand Char"/>
    <w:basedOn w:val="Standaardalinea-lettertype"/>
    <w:link w:val="Geenafstand"/>
    <w:uiPriority w:val="1"/>
    <w:rsid w:val="00587569"/>
    <w:rPr>
      <w:rFonts w:ascii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479">
      <w:bodyDiv w:val="1"/>
      <w:marLeft w:val="0"/>
      <w:marRight w:val="0"/>
      <w:marTop w:val="0"/>
      <w:marBottom w:val="0"/>
      <w:divBdr>
        <w:top w:val="none" w:sz="0" w:space="0" w:color="auto"/>
        <w:left w:val="none" w:sz="0" w:space="0" w:color="auto"/>
        <w:bottom w:val="none" w:sz="0" w:space="0" w:color="auto"/>
        <w:right w:val="none" w:sz="0" w:space="0" w:color="auto"/>
      </w:divBdr>
      <w:divsChild>
        <w:div w:id="569341784">
          <w:marLeft w:val="0"/>
          <w:marRight w:val="0"/>
          <w:marTop w:val="0"/>
          <w:marBottom w:val="0"/>
          <w:divBdr>
            <w:top w:val="none" w:sz="0" w:space="0" w:color="auto"/>
            <w:left w:val="none" w:sz="0" w:space="0" w:color="auto"/>
            <w:bottom w:val="none" w:sz="0" w:space="0" w:color="auto"/>
            <w:right w:val="none" w:sz="0" w:space="0" w:color="auto"/>
          </w:divBdr>
        </w:div>
      </w:divsChild>
    </w:div>
    <w:div w:id="22290614">
      <w:bodyDiv w:val="1"/>
      <w:marLeft w:val="0"/>
      <w:marRight w:val="0"/>
      <w:marTop w:val="0"/>
      <w:marBottom w:val="0"/>
      <w:divBdr>
        <w:top w:val="none" w:sz="0" w:space="0" w:color="auto"/>
        <w:left w:val="none" w:sz="0" w:space="0" w:color="auto"/>
        <w:bottom w:val="none" w:sz="0" w:space="0" w:color="auto"/>
        <w:right w:val="none" w:sz="0" w:space="0" w:color="auto"/>
      </w:divBdr>
    </w:div>
    <w:div w:id="56051124">
      <w:bodyDiv w:val="1"/>
      <w:marLeft w:val="0"/>
      <w:marRight w:val="0"/>
      <w:marTop w:val="0"/>
      <w:marBottom w:val="0"/>
      <w:divBdr>
        <w:top w:val="none" w:sz="0" w:space="0" w:color="auto"/>
        <w:left w:val="none" w:sz="0" w:space="0" w:color="auto"/>
        <w:bottom w:val="none" w:sz="0" w:space="0" w:color="auto"/>
        <w:right w:val="none" w:sz="0" w:space="0" w:color="auto"/>
      </w:divBdr>
      <w:divsChild>
        <w:div w:id="435096154">
          <w:marLeft w:val="0"/>
          <w:marRight w:val="0"/>
          <w:marTop w:val="0"/>
          <w:marBottom w:val="0"/>
          <w:divBdr>
            <w:top w:val="none" w:sz="0" w:space="0" w:color="auto"/>
            <w:left w:val="none" w:sz="0" w:space="0" w:color="auto"/>
            <w:bottom w:val="none" w:sz="0" w:space="0" w:color="auto"/>
            <w:right w:val="none" w:sz="0" w:space="0" w:color="auto"/>
          </w:divBdr>
          <w:divsChild>
            <w:div w:id="44984808">
              <w:marLeft w:val="0"/>
              <w:marRight w:val="0"/>
              <w:marTop w:val="0"/>
              <w:marBottom w:val="0"/>
              <w:divBdr>
                <w:top w:val="none" w:sz="0" w:space="0" w:color="auto"/>
                <w:left w:val="none" w:sz="0" w:space="0" w:color="auto"/>
                <w:bottom w:val="none" w:sz="0" w:space="0" w:color="auto"/>
                <w:right w:val="none" w:sz="0" w:space="0" w:color="auto"/>
              </w:divBdr>
            </w:div>
          </w:divsChild>
        </w:div>
        <w:div w:id="580916749">
          <w:marLeft w:val="0"/>
          <w:marRight w:val="0"/>
          <w:marTop w:val="0"/>
          <w:marBottom w:val="0"/>
          <w:divBdr>
            <w:top w:val="none" w:sz="0" w:space="0" w:color="auto"/>
            <w:left w:val="none" w:sz="0" w:space="0" w:color="auto"/>
            <w:bottom w:val="none" w:sz="0" w:space="0" w:color="auto"/>
            <w:right w:val="none" w:sz="0" w:space="0" w:color="auto"/>
          </w:divBdr>
        </w:div>
      </w:divsChild>
    </w:div>
    <w:div w:id="67314105">
      <w:bodyDiv w:val="1"/>
      <w:marLeft w:val="0"/>
      <w:marRight w:val="0"/>
      <w:marTop w:val="0"/>
      <w:marBottom w:val="0"/>
      <w:divBdr>
        <w:top w:val="none" w:sz="0" w:space="0" w:color="auto"/>
        <w:left w:val="none" w:sz="0" w:space="0" w:color="auto"/>
        <w:bottom w:val="none" w:sz="0" w:space="0" w:color="auto"/>
        <w:right w:val="none" w:sz="0" w:space="0" w:color="auto"/>
      </w:divBdr>
    </w:div>
    <w:div w:id="89206257">
      <w:bodyDiv w:val="1"/>
      <w:marLeft w:val="0"/>
      <w:marRight w:val="0"/>
      <w:marTop w:val="0"/>
      <w:marBottom w:val="0"/>
      <w:divBdr>
        <w:top w:val="none" w:sz="0" w:space="0" w:color="auto"/>
        <w:left w:val="none" w:sz="0" w:space="0" w:color="auto"/>
        <w:bottom w:val="none" w:sz="0" w:space="0" w:color="auto"/>
        <w:right w:val="none" w:sz="0" w:space="0" w:color="auto"/>
      </w:divBdr>
    </w:div>
    <w:div w:id="101457772">
      <w:bodyDiv w:val="1"/>
      <w:marLeft w:val="0"/>
      <w:marRight w:val="0"/>
      <w:marTop w:val="0"/>
      <w:marBottom w:val="0"/>
      <w:divBdr>
        <w:top w:val="none" w:sz="0" w:space="0" w:color="auto"/>
        <w:left w:val="none" w:sz="0" w:space="0" w:color="auto"/>
        <w:bottom w:val="none" w:sz="0" w:space="0" w:color="auto"/>
        <w:right w:val="none" w:sz="0" w:space="0" w:color="auto"/>
      </w:divBdr>
    </w:div>
    <w:div w:id="143283157">
      <w:bodyDiv w:val="1"/>
      <w:marLeft w:val="0"/>
      <w:marRight w:val="0"/>
      <w:marTop w:val="0"/>
      <w:marBottom w:val="0"/>
      <w:divBdr>
        <w:top w:val="none" w:sz="0" w:space="0" w:color="auto"/>
        <w:left w:val="none" w:sz="0" w:space="0" w:color="auto"/>
        <w:bottom w:val="none" w:sz="0" w:space="0" w:color="auto"/>
        <w:right w:val="none" w:sz="0" w:space="0" w:color="auto"/>
      </w:divBdr>
    </w:div>
    <w:div w:id="172187690">
      <w:bodyDiv w:val="1"/>
      <w:marLeft w:val="0"/>
      <w:marRight w:val="0"/>
      <w:marTop w:val="0"/>
      <w:marBottom w:val="0"/>
      <w:divBdr>
        <w:top w:val="none" w:sz="0" w:space="0" w:color="auto"/>
        <w:left w:val="none" w:sz="0" w:space="0" w:color="auto"/>
        <w:bottom w:val="none" w:sz="0" w:space="0" w:color="auto"/>
        <w:right w:val="none" w:sz="0" w:space="0" w:color="auto"/>
      </w:divBdr>
    </w:div>
    <w:div w:id="172230153">
      <w:bodyDiv w:val="1"/>
      <w:marLeft w:val="0"/>
      <w:marRight w:val="0"/>
      <w:marTop w:val="0"/>
      <w:marBottom w:val="0"/>
      <w:divBdr>
        <w:top w:val="none" w:sz="0" w:space="0" w:color="auto"/>
        <w:left w:val="none" w:sz="0" w:space="0" w:color="auto"/>
        <w:bottom w:val="none" w:sz="0" w:space="0" w:color="auto"/>
        <w:right w:val="none" w:sz="0" w:space="0" w:color="auto"/>
      </w:divBdr>
    </w:div>
    <w:div w:id="178130813">
      <w:bodyDiv w:val="1"/>
      <w:marLeft w:val="0"/>
      <w:marRight w:val="0"/>
      <w:marTop w:val="0"/>
      <w:marBottom w:val="0"/>
      <w:divBdr>
        <w:top w:val="none" w:sz="0" w:space="0" w:color="auto"/>
        <w:left w:val="none" w:sz="0" w:space="0" w:color="auto"/>
        <w:bottom w:val="none" w:sz="0" w:space="0" w:color="auto"/>
        <w:right w:val="none" w:sz="0" w:space="0" w:color="auto"/>
      </w:divBdr>
    </w:div>
    <w:div w:id="204563257">
      <w:bodyDiv w:val="1"/>
      <w:marLeft w:val="0"/>
      <w:marRight w:val="0"/>
      <w:marTop w:val="0"/>
      <w:marBottom w:val="0"/>
      <w:divBdr>
        <w:top w:val="none" w:sz="0" w:space="0" w:color="auto"/>
        <w:left w:val="none" w:sz="0" w:space="0" w:color="auto"/>
        <w:bottom w:val="none" w:sz="0" w:space="0" w:color="auto"/>
        <w:right w:val="none" w:sz="0" w:space="0" w:color="auto"/>
      </w:divBdr>
    </w:div>
    <w:div w:id="208692215">
      <w:bodyDiv w:val="1"/>
      <w:marLeft w:val="0"/>
      <w:marRight w:val="0"/>
      <w:marTop w:val="0"/>
      <w:marBottom w:val="0"/>
      <w:divBdr>
        <w:top w:val="none" w:sz="0" w:space="0" w:color="auto"/>
        <w:left w:val="none" w:sz="0" w:space="0" w:color="auto"/>
        <w:bottom w:val="none" w:sz="0" w:space="0" w:color="auto"/>
        <w:right w:val="none" w:sz="0" w:space="0" w:color="auto"/>
      </w:divBdr>
    </w:div>
    <w:div w:id="257032611">
      <w:bodyDiv w:val="1"/>
      <w:marLeft w:val="0"/>
      <w:marRight w:val="0"/>
      <w:marTop w:val="0"/>
      <w:marBottom w:val="0"/>
      <w:divBdr>
        <w:top w:val="none" w:sz="0" w:space="0" w:color="auto"/>
        <w:left w:val="none" w:sz="0" w:space="0" w:color="auto"/>
        <w:bottom w:val="none" w:sz="0" w:space="0" w:color="auto"/>
        <w:right w:val="none" w:sz="0" w:space="0" w:color="auto"/>
      </w:divBdr>
      <w:divsChild>
        <w:div w:id="1608151585">
          <w:marLeft w:val="0"/>
          <w:marRight w:val="0"/>
          <w:marTop w:val="0"/>
          <w:marBottom w:val="0"/>
          <w:divBdr>
            <w:top w:val="none" w:sz="0" w:space="0" w:color="auto"/>
            <w:left w:val="none" w:sz="0" w:space="0" w:color="auto"/>
            <w:bottom w:val="none" w:sz="0" w:space="0" w:color="auto"/>
            <w:right w:val="none" w:sz="0" w:space="0" w:color="auto"/>
          </w:divBdr>
        </w:div>
        <w:div w:id="270746946">
          <w:marLeft w:val="0"/>
          <w:marRight w:val="0"/>
          <w:marTop w:val="0"/>
          <w:marBottom w:val="0"/>
          <w:divBdr>
            <w:top w:val="none" w:sz="0" w:space="0" w:color="auto"/>
            <w:left w:val="none" w:sz="0" w:space="0" w:color="auto"/>
            <w:bottom w:val="none" w:sz="0" w:space="0" w:color="auto"/>
            <w:right w:val="none" w:sz="0" w:space="0" w:color="auto"/>
          </w:divBdr>
        </w:div>
      </w:divsChild>
    </w:div>
    <w:div w:id="274021804">
      <w:bodyDiv w:val="1"/>
      <w:marLeft w:val="0"/>
      <w:marRight w:val="0"/>
      <w:marTop w:val="0"/>
      <w:marBottom w:val="0"/>
      <w:divBdr>
        <w:top w:val="none" w:sz="0" w:space="0" w:color="auto"/>
        <w:left w:val="none" w:sz="0" w:space="0" w:color="auto"/>
        <w:bottom w:val="none" w:sz="0" w:space="0" w:color="auto"/>
        <w:right w:val="none" w:sz="0" w:space="0" w:color="auto"/>
      </w:divBdr>
      <w:divsChild>
        <w:div w:id="501697387">
          <w:marLeft w:val="0"/>
          <w:marRight w:val="0"/>
          <w:marTop w:val="0"/>
          <w:marBottom w:val="0"/>
          <w:divBdr>
            <w:top w:val="none" w:sz="0" w:space="0" w:color="auto"/>
            <w:left w:val="none" w:sz="0" w:space="0" w:color="auto"/>
            <w:bottom w:val="none" w:sz="0" w:space="0" w:color="auto"/>
            <w:right w:val="none" w:sz="0" w:space="0" w:color="auto"/>
          </w:divBdr>
        </w:div>
        <w:div w:id="1434741668">
          <w:marLeft w:val="0"/>
          <w:marRight w:val="0"/>
          <w:marTop w:val="0"/>
          <w:marBottom w:val="0"/>
          <w:divBdr>
            <w:top w:val="none" w:sz="0" w:space="0" w:color="auto"/>
            <w:left w:val="none" w:sz="0" w:space="0" w:color="auto"/>
            <w:bottom w:val="none" w:sz="0" w:space="0" w:color="auto"/>
            <w:right w:val="none" w:sz="0" w:space="0" w:color="auto"/>
          </w:divBdr>
        </w:div>
      </w:divsChild>
    </w:div>
    <w:div w:id="284047619">
      <w:bodyDiv w:val="1"/>
      <w:marLeft w:val="0"/>
      <w:marRight w:val="0"/>
      <w:marTop w:val="0"/>
      <w:marBottom w:val="0"/>
      <w:divBdr>
        <w:top w:val="none" w:sz="0" w:space="0" w:color="auto"/>
        <w:left w:val="none" w:sz="0" w:space="0" w:color="auto"/>
        <w:bottom w:val="none" w:sz="0" w:space="0" w:color="auto"/>
        <w:right w:val="none" w:sz="0" w:space="0" w:color="auto"/>
      </w:divBdr>
    </w:div>
    <w:div w:id="286276314">
      <w:bodyDiv w:val="1"/>
      <w:marLeft w:val="0"/>
      <w:marRight w:val="0"/>
      <w:marTop w:val="0"/>
      <w:marBottom w:val="0"/>
      <w:divBdr>
        <w:top w:val="none" w:sz="0" w:space="0" w:color="auto"/>
        <w:left w:val="none" w:sz="0" w:space="0" w:color="auto"/>
        <w:bottom w:val="none" w:sz="0" w:space="0" w:color="auto"/>
        <w:right w:val="none" w:sz="0" w:space="0" w:color="auto"/>
      </w:divBdr>
    </w:div>
    <w:div w:id="307637992">
      <w:bodyDiv w:val="1"/>
      <w:marLeft w:val="0"/>
      <w:marRight w:val="0"/>
      <w:marTop w:val="0"/>
      <w:marBottom w:val="0"/>
      <w:divBdr>
        <w:top w:val="none" w:sz="0" w:space="0" w:color="auto"/>
        <w:left w:val="none" w:sz="0" w:space="0" w:color="auto"/>
        <w:bottom w:val="none" w:sz="0" w:space="0" w:color="auto"/>
        <w:right w:val="none" w:sz="0" w:space="0" w:color="auto"/>
      </w:divBdr>
    </w:div>
    <w:div w:id="315228432">
      <w:bodyDiv w:val="1"/>
      <w:marLeft w:val="0"/>
      <w:marRight w:val="0"/>
      <w:marTop w:val="0"/>
      <w:marBottom w:val="0"/>
      <w:divBdr>
        <w:top w:val="none" w:sz="0" w:space="0" w:color="auto"/>
        <w:left w:val="none" w:sz="0" w:space="0" w:color="auto"/>
        <w:bottom w:val="none" w:sz="0" w:space="0" w:color="auto"/>
        <w:right w:val="none" w:sz="0" w:space="0" w:color="auto"/>
      </w:divBdr>
    </w:div>
    <w:div w:id="359016785">
      <w:bodyDiv w:val="1"/>
      <w:marLeft w:val="0"/>
      <w:marRight w:val="0"/>
      <w:marTop w:val="0"/>
      <w:marBottom w:val="0"/>
      <w:divBdr>
        <w:top w:val="none" w:sz="0" w:space="0" w:color="auto"/>
        <w:left w:val="none" w:sz="0" w:space="0" w:color="auto"/>
        <w:bottom w:val="none" w:sz="0" w:space="0" w:color="auto"/>
        <w:right w:val="none" w:sz="0" w:space="0" w:color="auto"/>
      </w:divBdr>
    </w:div>
    <w:div w:id="364251860">
      <w:bodyDiv w:val="1"/>
      <w:marLeft w:val="0"/>
      <w:marRight w:val="0"/>
      <w:marTop w:val="0"/>
      <w:marBottom w:val="0"/>
      <w:divBdr>
        <w:top w:val="none" w:sz="0" w:space="0" w:color="auto"/>
        <w:left w:val="none" w:sz="0" w:space="0" w:color="auto"/>
        <w:bottom w:val="none" w:sz="0" w:space="0" w:color="auto"/>
        <w:right w:val="none" w:sz="0" w:space="0" w:color="auto"/>
      </w:divBdr>
    </w:div>
    <w:div w:id="370809200">
      <w:bodyDiv w:val="1"/>
      <w:marLeft w:val="0"/>
      <w:marRight w:val="0"/>
      <w:marTop w:val="0"/>
      <w:marBottom w:val="0"/>
      <w:divBdr>
        <w:top w:val="none" w:sz="0" w:space="0" w:color="auto"/>
        <w:left w:val="none" w:sz="0" w:space="0" w:color="auto"/>
        <w:bottom w:val="none" w:sz="0" w:space="0" w:color="auto"/>
        <w:right w:val="none" w:sz="0" w:space="0" w:color="auto"/>
      </w:divBdr>
    </w:div>
    <w:div w:id="377705253">
      <w:bodyDiv w:val="1"/>
      <w:marLeft w:val="0"/>
      <w:marRight w:val="0"/>
      <w:marTop w:val="0"/>
      <w:marBottom w:val="0"/>
      <w:divBdr>
        <w:top w:val="none" w:sz="0" w:space="0" w:color="auto"/>
        <w:left w:val="none" w:sz="0" w:space="0" w:color="auto"/>
        <w:bottom w:val="none" w:sz="0" w:space="0" w:color="auto"/>
        <w:right w:val="none" w:sz="0" w:space="0" w:color="auto"/>
      </w:divBdr>
    </w:div>
    <w:div w:id="478495229">
      <w:bodyDiv w:val="1"/>
      <w:marLeft w:val="0"/>
      <w:marRight w:val="0"/>
      <w:marTop w:val="0"/>
      <w:marBottom w:val="0"/>
      <w:divBdr>
        <w:top w:val="none" w:sz="0" w:space="0" w:color="auto"/>
        <w:left w:val="none" w:sz="0" w:space="0" w:color="auto"/>
        <w:bottom w:val="none" w:sz="0" w:space="0" w:color="auto"/>
        <w:right w:val="none" w:sz="0" w:space="0" w:color="auto"/>
      </w:divBdr>
      <w:divsChild>
        <w:div w:id="535849355">
          <w:marLeft w:val="0"/>
          <w:marRight w:val="0"/>
          <w:marTop w:val="75"/>
          <w:marBottom w:val="240"/>
          <w:divBdr>
            <w:top w:val="none" w:sz="0" w:space="0" w:color="auto"/>
            <w:left w:val="none" w:sz="0" w:space="0" w:color="auto"/>
            <w:bottom w:val="none" w:sz="0" w:space="0" w:color="auto"/>
            <w:right w:val="none" w:sz="0" w:space="0" w:color="auto"/>
          </w:divBdr>
          <w:divsChild>
            <w:div w:id="1810778818">
              <w:marLeft w:val="0"/>
              <w:marRight w:val="0"/>
              <w:marTop w:val="0"/>
              <w:marBottom w:val="0"/>
              <w:divBdr>
                <w:top w:val="none" w:sz="0" w:space="0" w:color="auto"/>
                <w:left w:val="none" w:sz="0" w:space="0" w:color="auto"/>
                <w:bottom w:val="none" w:sz="0" w:space="0" w:color="auto"/>
                <w:right w:val="none" w:sz="0" w:space="0" w:color="auto"/>
              </w:divBdr>
            </w:div>
          </w:divsChild>
        </w:div>
        <w:div w:id="626619381">
          <w:marLeft w:val="0"/>
          <w:marRight w:val="0"/>
          <w:marTop w:val="75"/>
          <w:marBottom w:val="240"/>
          <w:divBdr>
            <w:top w:val="none" w:sz="0" w:space="0" w:color="auto"/>
            <w:left w:val="none" w:sz="0" w:space="0" w:color="auto"/>
            <w:bottom w:val="none" w:sz="0" w:space="0" w:color="auto"/>
            <w:right w:val="none" w:sz="0" w:space="0" w:color="auto"/>
          </w:divBdr>
          <w:divsChild>
            <w:div w:id="8550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6487">
      <w:bodyDiv w:val="1"/>
      <w:marLeft w:val="0"/>
      <w:marRight w:val="0"/>
      <w:marTop w:val="0"/>
      <w:marBottom w:val="0"/>
      <w:divBdr>
        <w:top w:val="none" w:sz="0" w:space="0" w:color="auto"/>
        <w:left w:val="none" w:sz="0" w:space="0" w:color="auto"/>
        <w:bottom w:val="none" w:sz="0" w:space="0" w:color="auto"/>
        <w:right w:val="none" w:sz="0" w:space="0" w:color="auto"/>
      </w:divBdr>
    </w:div>
    <w:div w:id="527643891">
      <w:bodyDiv w:val="1"/>
      <w:marLeft w:val="0"/>
      <w:marRight w:val="0"/>
      <w:marTop w:val="0"/>
      <w:marBottom w:val="0"/>
      <w:divBdr>
        <w:top w:val="none" w:sz="0" w:space="0" w:color="auto"/>
        <w:left w:val="none" w:sz="0" w:space="0" w:color="auto"/>
        <w:bottom w:val="none" w:sz="0" w:space="0" w:color="auto"/>
        <w:right w:val="none" w:sz="0" w:space="0" w:color="auto"/>
      </w:divBdr>
    </w:div>
    <w:div w:id="552811104">
      <w:bodyDiv w:val="1"/>
      <w:marLeft w:val="0"/>
      <w:marRight w:val="0"/>
      <w:marTop w:val="0"/>
      <w:marBottom w:val="0"/>
      <w:divBdr>
        <w:top w:val="none" w:sz="0" w:space="0" w:color="auto"/>
        <w:left w:val="none" w:sz="0" w:space="0" w:color="auto"/>
        <w:bottom w:val="none" w:sz="0" w:space="0" w:color="auto"/>
        <w:right w:val="none" w:sz="0" w:space="0" w:color="auto"/>
      </w:divBdr>
    </w:div>
    <w:div w:id="594019033">
      <w:bodyDiv w:val="1"/>
      <w:marLeft w:val="0"/>
      <w:marRight w:val="0"/>
      <w:marTop w:val="0"/>
      <w:marBottom w:val="0"/>
      <w:divBdr>
        <w:top w:val="none" w:sz="0" w:space="0" w:color="auto"/>
        <w:left w:val="none" w:sz="0" w:space="0" w:color="auto"/>
        <w:bottom w:val="none" w:sz="0" w:space="0" w:color="auto"/>
        <w:right w:val="none" w:sz="0" w:space="0" w:color="auto"/>
      </w:divBdr>
    </w:div>
    <w:div w:id="682122756">
      <w:bodyDiv w:val="1"/>
      <w:marLeft w:val="0"/>
      <w:marRight w:val="0"/>
      <w:marTop w:val="0"/>
      <w:marBottom w:val="0"/>
      <w:divBdr>
        <w:top w:val="none" w:sz="0" w:space="0" w:color="auto"/>
        <w:left w:val="none" w:sz="0" w:space="0" w:color="auto"/>
        <w:bottom w:val="none" w:sz="0" w:space="0" w:color="auto"/>
        <w:right w:val="none" w:sz="0" w:space="0" w:color="auto"/>
      </w:divBdr>
    </w:div>
    <w:div w:id="693582833">
      <w:bodyDiv w:val="1"/>
      <w:marLeft w:val="0"/>
      <w:marRight w:val="0"/>
      <w:marTop w:val="0"/>
      <w:marBottom w:val="0"/>
      <w:divBdr>
        <w:top w:val="none" w:sz="0" w:space="0" w:color="auto"/>
        <w:left w:val="none" w:sz="0" w:space="0" w:color="auto"/>
        <w:bottom w:val="none" w:sz="0" w:space="0" w:color="auto"/>
        <w:right w:val="none" w:sz="0" w:space="0" w:color="auto"/>
      </w:divBdr>
    </w:div>
    <w:div w:id="736173447">
      <w:bodyDiv w:val="1"/>
      <w:marLeft w:val="0"/>
      <w:marRight w:val="0"/>
      <w:marTop w:val="0"/>
      <w:marBottom w:val="0"/>
      <w:divBdr>
        <w:top w:val="none" w:sz="0" w:space="0" w:color="auto"/>
        <w:left w:val="none" w:sz="0" w:space="0" w:color="auto"/>
        <w:bottom w:val="none" w:sz="0" w:space="0" w:color="auto"/>
        <w:right w:val="none" w:sz="0" w:space="0" w:color="auto"/>
      </w:divBdr>
      <w:divsChild>
        <w:div w:id="895431611">
          <w:marLeft w:val="0"/>
          <w:marRight w:val="0"/>
          <w:marTop w:val="75"/>
          <w:marBottom w:val="240"/>
          <w:divBdr>
            <w:top w:val="none" w:sz="0" w:space="0" w:color="auto"/>
            <w:left w:val="none" w:sz="0" w:space="0" w:color="auto"/>
            <w:bottom w:val="none" w:sz="0" w:space="0" w:color="auto"/>
            <w:right w:val="none" w:sz="0" w:space="0" w:color="auto"/>
          </w:divBdr>
          <w:divsChild>
            <w:div w:id="19741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7277">
      <w:bodyDiv w:val="1"/>
      <w:marLeft w:val="0"/>
      <w:marRight w:val="0"/>
      <w:marTop w:val="0"/>
      <w:marBottom w:val="0"/>
      <w:divBdr>
        <w:top w:val="none" w:sz="0" w:space="0" w:color="auto"/>
        <w:left w:val="none" w:sz="0" w:space="0" w:color="auto"/>
        <w:bottom w:val="none" w:sz="0" w:space="0" w:color="auto"/>
        <w:right w:val="none" w:sz="0" w:space="0" w:color="auto"/>
      </w:divBdr>
    </w:div>
    <w:div w:id="793594019">
      <w:bodyDiv w:val="1"/>
      <w:marLeft w:val="0"/>
      <w:marRight w:val="0"/>
      <w:marTop w:val="0"/>
      <w:marBottom w:val="0"/>
      <w:divBdr>
        <w:top w:val="none" w:sz="0" w:space="0" w:color="auto"/>
        <w:left w:val="none" w:sz="0" w:space="0" w:color="auto"/>
        <w:bottom w:val="none" w:sz="0" w:space="0" w:color="auto"/>
        <w:right w:val="none" w:sz="0" w:space="0" w:color="auto"/>
      </w:divBdr>
    </w:div>
    <w:div w:id="811757136">
      <w:bodyDiv w:val="1"/>
      <w:marLeft w:val="0"/>
      <w:marRight w:val="0"/>
      <w:marTop w:val="0"/>
      <w:marBottom w:val="0"/>
      <w:divBdr>
        <w:top w:val="none" w:sz="0" w:space="0" w:color="auto"/>
        <w:left w:val="none" w:sz="0" w:space="0" w:color="auto"/>
        <w:bottom w:val="none" w:sz="0" w:space="0" w:color="auto"/>
        <w:right w:val="none" w:sz="0" w:space="0" w:color="auto"/>
      </w:divBdr>
    </w:div>
    <w:div w:id="820925329">
      <w:bodyDiv w:val="1"/>
      <w:marLeft w:val="0"/>
      <w:marRight w:val="0"/>
      <w:marTop w:val="0"/>
      <w:marBottom w:val="0"/>
      <w:divBdr>
        <w:top w:val="none" w:sz="0" w:space="0" w:color="auto"/>
        <w:left w:val="none" w:sz="0" w:space="0" w:color="auto"/>
        <w:bottom w:val="none" w:sz="0" w:space="0" w:color="auto"/>
        <w:right w:val="none" w:sz="0" w:space="0" w:color="auto"/>
      </w:divBdr>
    </w:div>
    <w:div w:id="868879572">
      <w:bodyDiv w:val="1"/>
      <w:marLeft w:val="0"/>
      <w:marRight w:val="0"/>
      <w:marTop w:val="0"/>
      <w:marBottom w:val="0"/>
      <w:divBdr>
        <w:top w:val="none" w:sz="0" w:space="0" w:color="auto"/>
        <w:left w:val="none" w:sz="0" w:space="0" w:color="auto"/>
        <w:bottom w:val="none" w:sz="0" w:space="0" w:color="auto"/>
        <w:right w:val="none" w:sz="0" w:space="0" w:color="auto"/>
      </w:divBdr>
    </w:div>
    <w:div w:id="869420690">
      <w:bodyDiv w:val="1"/>
      <w:marLeft w:val="0"/>
      <w:marRight w:val="0"/>
      <w:marTop w:val="0"/>
      <w:marBottom w:val="0"/>
      <w:divBdr>
        <w:top w:val="none" w:sz="0" w:space="0" w:color="auto"/>
        <w:left w:val="none" w:sz="0" w:space="0" w:color="auto"/>
        <w:bottom w:val="none" w:sz="0" w:space="0" w:color="auto"/>
        <w:right w:val="none" w:sz="0" w:space="0" w:color="auto"/>
      </w:divBdr>
    </w:div>
    <w:div w:id="869731046">
      <w:bodyDiv w:val="1"/>
      <w:marLeft w:val="0"/>
      <w:marRight w:val="0"/>
      <w:marTop w:val="0"/>
      <w:marBottom w:val="0"/>
      <w:divBdr>
        <w:top w:val="none" w:sz="0" w:space="0" w:color="auto"/>
        <w:left w:val="none" w:sz="0" w:space="0" w:color="auto"/>
        <w:bottom w:val="none" w:sz="0" w:space="0" w:color="auto"/>
        <w:right w:val="none" w:sz="0" w:space="0" w:color="auto"/>
      </w:divBdr>
    </w:div>
    <w:div w:id="918252715">
      <w:bodyDiv w:val="1"/>
      <w:marLeft w:val="0"/>
      <w:marRight w:val="0"/>
      <w:marTop w:val="0"/>
      <w:marBottom w:val="0"/>
      <w:divBdr>
        <w:top w:val="none" w:sz="0" w:space="0" w:color="auto"/>
        <w:left w:val="none" w:sz="0" w:space="0" w:color="auto"/>
        <w:bottom w:val="none" w:sz="0" w:space="0" w:color="auto"/>
        <w:right w:val="none" w:sz="0" w:space="0" w:color="auto"/>
      </w:divBdr>
      <w:divsChild>
        <w:div w:id="371270880">
          <w:marLeft w:val="0"/>
          <w:marRight w:val="0"/>
          <w:marTop w:val="0"/>
          <w:marBottom w:val="0"/>
          <w:divBdr>
            <w:top w:val="none" w:sz="0" w:space="0" w:color="auto"/>
            <w:left w:val="none" w:sz="0" w:space="0" w:color="auto"/>
            <w:bottom w:val="none" w:sz="0" w:space="0" w:color="auto"/>
            <w:right w:val="none" w:sz="0" w:space="0" w:color="auto"/>
          </w:divBdr>
        </w:div>
      </w:divsChild>
    </w:div>
    <w:div w:id="947197003">
      <w:bodyDiv w:val="1"/>
      <w:marLeft w:val="0"/>
      <w:marRight w:val="0"/>
      <w:marTop w:val="0"/>
      <w:marBottom w:val="0"/>
      <w:divBdr>
        <w:top w:val="none" w:sz="0" w:space="0" w:color="auto"/>
        <w:left w:val="none" w:sz="0" w:space="0" w:color="auto"/>
        <w:bottom w:val="none" w:sz="0" w:space="0" w:color="auto"/>
        <w:right w:val="none" w:sz="0" w:space="0" w:color="auto"/>
      </w:divBdr>
    </w:div>
    <w:div w:id="956257312">
      <w:bodyDiv w:val="1"/>
      <w:marLeft w:val="0"/>
      <w:marRight w:val="0"/>
      <w:marTop w:val="0"/>
      <w:marBottom w:val="0"/>
      <w:divBdr>
        <w:top w:val="none" w:sz="0" w:space="0" w:color="auto"/>
        <w:left w:val="none" w:sz="0" w:space="0" w:color="auto"/>
        <w:bottom w:val="none" w:sz="0" w:space="0" w:color="auto"/>
        <w:right w:val="none" w:sz="0" w:space="0" w:color="auto"/>
      </w:divBdr>
    </w:div>
    <w:div w:id="956259878">
      <w:bodyDiv w:val="1"/>
      <w:marLeft w:val="0"/>
      <w:marRight w:val="0"/>
      <w:marTop w:val="0"/>
      <w:marBottom w:val="0"/>
      <w:divBdr>
        <w:top w:val="none" w:sz="0" w:space="0" w:color="auto"/>
        <w:left w:val="none" w:sz="0" w:space="0" w:color="auto"/>
        <w:bottom w:val="none" w:sz="0" w:space="0" w:color="auto"/>
        <w:right w:val="none" w:sz="0" w:space="0" w:color="auto"/>
      </w:divBdr>
    </w:div>
    <w:div w:id="986319118">
      <w:bodyDiv w:val="1"/>
      <w:marLeft w:val="0"/>
      <w:marRight w:val="0"/>
      <w:marTop w:val="0"/>
      <w:marBottom w:val="0"/>
      <w:divBdr>
        <w:top w:val="none" w:sz="0" w:space="0" w:color="auto"/>
        <w:left w:val="none" w:sz="0" w:space="0" w:color="auto"/>
        <w:bottom w:val="none" w:sz="0" w:space="0" w:color="auto"/>
        <w:right w:val="none" w:sz="0" w:space="0" w:color="auto"/>
      </w:divBdr>
    </w:div>
    <w:div w:id="1057585088">
      <w:bodyDiv w:val="1"/>
      <w:marLeft w:val="0"/>
      <w:marRight w:val="0"/>
      <w:marTop w:val="0"/>
      <w:marBottom w:val="0"/>
      <w:divBdr>
        <w:top w:val="none" w:sz="0" w:space="0" w:color="auto"/>
        <w:left w:val="none" w:sz="0" w:space="0" w:color="auto"/>
        <w:bottom w:val="none" w:sz="0" w:space="0" w:color="auto"/>
        <w:right w:val="none" w:sz="0" w:space="0" w:color="auto"/>
      </w:divBdr>
    </w:div>
    <w:div w:id="1089473404">
      <w:bodyDiv w:val="1"/>
      <w:marLeft w:val="0"/>
      <w:marRight w:val="0"/>
      <w:marTop w:val="0"/>
      <w:marBottom w:val="0"/>
      <w:divBdr>
        <w:top w:val="none" w:sz="0" w:space="0" w:color="auto"/>
        <w:left w:val="none" w:sz="0" w:space="0" w:color="auto"/>
        <w:bottom w:val="none" w:sz="0" w:space="0" w:color="auto"/>
        <w:right w:val="none" w:sz="0" w:space="0" w:color="auto"/>
      </w:divBdr>
      <w:divsChild>
        <w:div w:id="1011759088">
          <w:marLeft w:val="0"/>
          <w:marRight w:val="0"/>
          <w:marTop w:val="0"/>
          <w:marBottom w:val="0"/>
          <w:divBdr>
            <w:top w:val="none" w:sz="0" w:space="0" w:color="auto"/>
            <w:left w:val="none" w:sz="0" w:space="0" w:color="auto"/>
            <w:bottom w:val="none" w:sz="0" w:space="0" w:color="auto"/>
            <w:right w:val="none" w:sz="0" w:space="0" w:color="auto"/>
          </w:divBdr>
        </w:div>
        <w:div w:id="2055814190">
          <w:marLeft w:val="0"/>
          <w:marRight w:val="0"/>
          <w:marTop w:val="0"/>
          <w:marBottom w:val="0"/>
          <w:divBdr>
            <w:top w:val="none" w:sz="0" w:space="0" w:color="auto"/>
            <w:left w:val="none" w:sz="0" w:space="0" w:color="auto"/>
            <w:bottom w:val="none" w:sz="0" w:space="0" w:color="auto"/>
            <w:right w:val="none" w:sz="0" w:space="0" w:color="auto"/>
          </w:divBdr>
        </w:div>
      </w:divsChild>
    </w:div>
    <w:div w:id="1125929283">
      <w:bodyDiv w:val="1"/>
      <w:marLeft w:val="0"/>
      <w:marRight w:val="0"/>
      <w:marTop w:val="0"/>
      <w:marBottom w:val="0"/>
      <w:divBdr>
        <w:top w:val="none" w:sz="0" w:space="0" w:color="auto"/>
        <w:left w:val="none" w:sz="0" w:space="0" w:color="auto"/>
        <w:bottom w:val="none" w:sz="0" w:space="0" w:color="auto"/>
        <w:right w:val="none" w:sz="0" w:space="0" w:color="auto"/>
      </w:divBdr>
    </w:div>
    <w:div w:id="1142848391">
      <w:bodyDiv w:val="1"/>
      <w:marLeft w:val="0"/>
      <w:marRight w:val="0"/>
      <w:marTop w:val="0"/>
      <w:marBottom w:val="0"/>
      <w:divBdr>
        <w:top w:val="none" w:sz="0" w:space="0" w:color="auto"/>
        <w:left w:val="none" w:sz="0" w:space="0" w:color="auto"/>
        <w:bottom w:val="none" w:sz="0" w:space="0" w:color="auto"/>
        <w:right w:val="none" w:sz="0" w:space="0" w:color="auto"/>
      </w:divBdr>
    </w:div>
    <w:div w:id="1183519923">
      <w:bodyDiv w:val="1"/>
      <w:marLeft w:val="0"/>
      <w:marRight w:val="0"/>
      <w:marTop w:val="0"/>
      <w:marBottom w:val="0"/>
      <w:divBdr>
        <w:top w:val="none" w:sz="0" w:space="0" w:color="auto"/>
        <w:left w:val="none" w:sz="0" w:space="0" w:color="auto"/>
        <w:bottom w:val="none" w:sz="0" w:space="0" w:color="auto"/>
        <w:right w:val="none" w:sz="0" w:space="0" w:color="auto"/>
      </w:divBdr>
    </w:div>
    <w:div w:id="1234924332">
      <w:bodyDiv w:val="1"/>
      <w:marLeft w:val="0"/>
      <w:marRight w:val="0"/>
      <w:marTop w:val="0"/>
      <w:marBottom w:val="0"/>
      <w:divBdr>
        <w:top w:val="none" w:sz="0" w:space="0" w:color="auto"/>
        <w:left w:val="none" w:sz="0" w:space="0" w:color="auto"/>
        <w:bottom w:val="none" w:sz="0" w:space="0" w:color="auto"/>
        <w:right w:val="none" w:sz="0" w:space="0" w:color="auto"/>
      </w:divBdr>
    </w:div>
    <w:div w:id="1235046012">
      <w:bodyDiv w:val="1"/>
      <w:marLeft w:val="0"/>
      <w:marRight w:val="0"/>
      <w:marTop w:val="0"/>
      <w:marBottom w:val="0"/>
      <w:divBdr>
        <w:top w:val="none" w:sz="0" w:space="0" w:color="auto"/>
        <w:left w:val="none" w:sz="0" w:space="0" w:color="auto"/>
        <w:bottom w:val="none" w:sz="0" w:space="0" w:color="auto"/>
        <w:right w:val="none" w:sz="0" w:space="0" w:color="auto"/>
      </w:divBdr>
    </w:div>
    <w:div w:id="1236434721">
      <w:bodyDiv w:val="1"/>
      <w:marLeft w:val="0"/>
      <w:marRight w:val="0"/>
      <w:marTop w:val="0"/>
      <w:marBottom w:val="0"/>
      <w:divBdr>
        <w:top w:val="none" w:sz="0" w:space="0" w:color="auto"/>
        <w:left w:val="none" w:sz="0" w:space="0" w:color="auto"/>
        <w:bottom w:val="none" w:sz="0" w:space="0" w:color="auto"/>
        <w:right w:val="none" w:sz="0" w:space="0" w:color="auto"/>
      </w:divBdr>
    </w:div>
    <w:div w:id="1294367487">
      <w:bodyDiv w:val="1"/>
      <w:marLeft w:val="0"/>
      <w:marRight w:val="0"/>
      <w:marTop w:val="0"/>
      <w:marBottom w:val="0"/>
      <w:divBdr>
        <w:top w:val="none" w:sz="0" w:space="0" w:color="auto"/>
        <w:left w:val="none" w:sz="0" w:space="0" w:color="auto"/>
        <w:bottom w:val="none" w:sz="0" w:space="0" w:color="auto"/>
        <w:right w:val="none" w:sz="0" w:space="0" w:color="auto"/>
      </w:divBdr>
    </w:div>
    <w:div w:id="1297687356">
      <w:bodyDiv w:val="1"/>
      <w:marLeft w:val="0"/>
      <w:marRight w:val="0"/>
      <w:marTop w:val="0"/>
      <w:marBottom w:val="0"/>
      <w:divBdr>
        <w:top w:val="none" w:sz="0" w:space="0" w:color="auto"/>
        <w:left w:val="none" w:sz="0" w:space="0" w:color="auto"/>
        <w:bottom w:val="none" w:sz="0" w:space="0" w:color="auto"/>
        <w:right w:val="none" w:sz="0" w:space="0" w:color="auto"/>
      </w:divBdr>
      <w:divsChild>
        <w:div w:id="335808331">
          <w:marLeft w:val="3124"/>
          <w:marRight w:val="0"/>
          <w:marTop w:val="0"/>
          <w:marBottom w:val="0"/>
          <w:divBdr>
            <w:top w:val="none" w:sz="0" w:space="0" w:color="auto"/>
            <w:left w:val="none" w:sz="0" w:space="0" w:color="auto"/>
            <w:bottom w:val="none" w:sz="0" w:space="0" w:color="auto"/>
            <w:right w:val="none" w:sz="0" w:space="0" w:color="auto"/>
          </w:divBdr>
          <w:divsChild>
            <w:div w:id="917517606">
              <w:marLeft w:val="0"/>
              <w:marRight w:val="0"/>
              <w:marTop w:val="0"/>
              <w:marBottom w:val="0"/>
              <w:divBdr>
                <w:top w:val="none" w:sz="0" w:space="0" w:color="auto"/>
                <w:left w:val="none" w:sz="0" w:space="0" w:color="auto"/>
                <w:bottom w:val="none" w:sz="0" w:space="0" w:color="auto"/>
                <w:right w:val="none" w:sz="0" w:space="0" w:color="auto"/>
              </w:divBdr>
              <w:divsChild>
                <w:div w:id="16131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037">
      <w:bodyDiv w:val="1"/>
      <w:marLeft w:val="0"/>
      <w:marRight w:val="0"/>
      <w:marTop w:val="0"/>
      <w:marBottom w:val="0"/>
      <w:divBdr>
        <w:top w:val="none" w:sz="0" w:space="0" w:color="auto"/>
        <w:left w:val="none" w:sz="0" w:space="0" w:color="auto"/>
        <w:bottom w:val="none" w:sz="0" w:space="0" w:color="auto"/>
        <w:right w:val="none" w:sz="0" w:space="0" w:color="auto"/>
      </w:divBdr>
      <w:divsChild>
        <w:div w:id="792211918">
          <w:marLeft w:val="0"/>
          <w:marRight w:val="0"/>
          <w:marTop w:val="0"/>
          <w:marBottom w:val="0"/>
          <w:divBdr>
            <w:top w:val="none" w:sz="0" w:space="0" w:color="auto"/>
            <w:left w:val="none" w:sz="0" w:space="0" w:color="auto"/>
            <w:bottom w:val="none" w:sz="0" w:space="0" w:color="auto"/>
            <w:right w:val="none" w:sz="0" w:space="0" w:color="auto"/>
          </w:divBdr>
        </w:div>
      </w:divsChild>
    </w:div>
    <w:div w:id="1326081435">
      <w:bodyDiv w:val="1"/>
      <w:marLeft w:val="0"/>
      <w:marRight w:val="0"/>
      <w:marTop w:val="0"/>
      <w:marBottom w:val="0"/>
      <w:divBdr>
        <w:top w:val="none" w:sz="0" w:space="0" w:color="auto"/>
        <w:left w:val="none" w:sz="0" w:space="0" w:color="auto"/>
        <w:bottom w:val="none" w:sz="0" w:space="0" w:color="auto"/>
        <w:right w:val="none" w:sz="0" w:space="0" w:color="auto"/>
      </w:divBdr>
    </w:div>
    <w:div w:id="1369532117">
      <w:bodyDiv w:val="1"/>
      <w:marLeft w:val="0"/>
      <w:marRight w:val="0"/>
      <w:marTop w:val="0"/>
      <w:marBottom w:val="0"/>
      <w:divBdr>
        <w:top w:val="none" w:sz="0" w:space="0" w:color="auto"/>
        <w:left w:val="none" w:sz="0" w:space="0" w:color="auto"/>
        <w:bottom w:val="none" w:sz="0" w:space="0" w:color="auto"/>
        <w:right w:val="none" w:sz="0" w:space="0" w:color="auto"/>
      </w:divBdr>
    </w:div>
    <w:div w:id="1401445606">
      <w:bodyDiv w:val="1"/>
      <w:marLeft w:val="0"/>
      <w:marRight w:val="0"/>
      <w:marTop w:val="0"/>
      <w:marBottom w:val="0"/>
      <w:divBdr>
        <w:top w:val="none" w:sz="0" w:space="0" w:color="auto"/>
        <w:left w:val="none" w:sz="0" w:space="0" w:color="auto"/>
        <w:bottom w:val="none" w:sz="0" w:space="0" w:color="auto"/>
        <w:right w:val="none" w:sz="0" w:space="0" w:color="auto"/>
      </w:divBdr>
    </w:div>
    <w:div w:id="1408772937">
      <w:bodyDiv w:val="1"/>
      <w:marLeft w:val="0"/>
      <w:marRight w:val="0"/>
      <w:marTop w:val="0"/>
      <w:marBottom w:val="0"/>
      <w:divBdr>
        <w:top w:val="none" w:sz="0" w:space="0" w:color="auto"/>
        <w:left w:val="none" w:sz="0" w:space="0" w:color="auto"/>
        <w:bottom w:val="none" w:sz="0" w:space="0" w:color="auto"/>
        <w:right w:val="none" w:sz="0" w:space="0" w:color="auto"/>
      </w:divBdr>
    </w:div>
    <w:div w:id="1522164995">
      <w:bodyDiv w:val="1"/>
      <w:marLeft w:val="0"/>
      <w:marRight w:val="0"/>
      <w:marTop w:val="0"/>
      <w:marBottom w:val="0"/>
      <w:divBdr>
        <w:top w:val="none" w:sz="0" w:space="0" w:color="auto"/>
        <w:left w:val="none" w:sz="0" w:space="0" w:color="auto"/>
        <w:bottom w:val="none" w:sz="0" w:space="0" w:color="auto"/>
        <w:right w:val="none" w:sz="0" w:space="0" w:color="auto"/>
      </w:divBdr>
      <w:divsChild>
        <w:div w:id="797642957">
          <w:marLeft w:val="0"/>
          <w:marRight w:val="0"/>
          <w:marTop w:val="0"/>
          <w:marBottom w:val="0"/>
          <w:divBdr>
            <w:top w:val="none" w:sz="0" w:space="0" w:color="auto"/>
            <w:left w:val="none" w:sz="0" w:space="0" w:color="auto"/>
            <w:bottom w:val="none" w:sz="0" w:space="0" w:color="auto"/>
            <w:right w:val="none" w:sz="0" w:space="0" w:color="auto"/>
          </w:divBdr>
        </w:div>
        <w:div w:id="97875405">
          <w:marLeft w:val="0"/>
          <w:marRight w:val="0"/>
          <w:marTop w:val="0"/>
          <w:marBottom w:val="0"/>
          <w:divBdr>
            <w:top w:val="none" w:sz="0" w:space="0" w:color="auto"/>
            <w:left w:val="none" w:sz="0" w:space="0" w:color="auto"/>
            <w:bottom w:val="none" w:sz="0" w:space="0" w:color="auto"/>
            <w:right w:val="none" w:sz="0" w:space="0" w:color="auto"/>
          </w:divBdr>
        </w:div>
      </w:divsChild>
    </w:div>
    <w:div w:id="1614629102">
      <w:bodyDiv w:val="1"/>
      <w:marLeft w:val="0"/>
      <w:marRight w:val="0"/>
      <w:marTop w:val="0"/>
      <w:marBottom w:val="0"/>
      <w:divBdr>
        <w:top w:val="none" w:sz="0" w:space="0" w:color="auto"/>
        <w:left w:val="none" w:sz="0" w:space="0" w:color="auto"/>
        <w:bottom w:val="none" w:sz="0" w:space="0" w:color="auto"/>
        <w:right w:val="none" w:sz="0" w:space="0" w:color="auto"/>
      </w:divBdr>
    </w:div>
    <w:div w:id="1620994805">
      <w:bodyDiv w:val="1"/>
      <w:marLeft w:val="0"/>
      <w:marRight w:val="0"/>
      <w:marTop w:val="0"/>
      <w:marBottom w:val="0"/>
      <w:divBdr>
        <w:top w:val="none" w:sz="0" w:space="0" w:color="auto"/>
        <w:left w:val="none" w:sz="0" w:space="0" w:color="auto"/>
        <w:bottom w:val="none" w:sz="0" w:space="0" w:color="auto"/>
        <w:right w:val="none" w:sz="0" w:space="0" w:color="auto"/>
      </w:divBdr>
    </w:div>
    <w:div w:id="1629626249">
      <w:bodyDiv w:val="1"/>
      <w:marLeft w:val="0"/>
      <w:marRight w:val="0"/>
      <w:marTop w:val="0"/>
      <w:marBottom w:val="0"/>
      <w:divBdr>
        <w:top w:val="none" w:sz="0" w:space="0" w:color="auto"/>
        <w:left w:val="none" w:sz="0" w:space="0" w:color="auto"/>
        <w:bottom w:val="none" w:sz="0" w:space="0" w:color="auto"/>
        <w:right w:val="none" w:sz="0" w:space="0" w:color="auto"/>
      </w:divBdr>
    </w:div>
    <w:div w:id="1648898451">
      <w:bodyDiv w:val="1"/>
      <w:marLeft w:val="0"/>
      <w:marRight w:val="0"/>
      <w:marTop w:val="0"/>
      <w:marBottom w:val="0"/>
      <w:divBdr>
        <w:top w:val="none" w:sz="0" w:space="0" w:color="auto"/>
        <w:left w:val="none" w:sz="0" w:space="0" w:color="auto"/>
        <w:bottom w:val="none" w:sz="0" w:space="0" w:color="auto"/>
        <w:right w:val="none" w:sz="0" w:space="0" w:color="auto"/>
      </w:divBdr>
    </w:div>
    <w:div w:id="1670138875">
      <w:bodyDiv w:val="1"/>
      <w:marLeft w:val="0"/>
      <w:marRight w:val="0"/>
      <w:marTop w:val="0"/>
      <w:marBottom w:val="0"/>
      <w:divBdr>
        <w:top w:val="none" w:sz="0" w:space="0" w:color="auto"/>
        <w:left w:val="none" w:sz="0" w:space="0" w:color="auto"/>
        <w:bottom w:val="none" w:sz="0" w:space="0" w:color="auto"/>
        <w:right w:val="none" w:sz="0" w:space="0" w:color="auto"/>
      </w:divBdr>
      <w:divsChild>
        <w:div w:id="784884475">
          <w:marLeft w:val="0"/>
          <w:marRight w:val="0"/>
          <w:marTop w:val="75"/>
          <w:marBottom w:val="240"/>
          <w:divBdr>
            <w:top w:val="none" w:sz="0" w:space="0" w:color="auto"/>
            <w:left w:val="none" w:sz="0" w:space="0" w:color="auto"/>
            <w:bottom w:val="none" w:sz="0" w:space="0" w:color="auto"/>
            <w:right w:val="none" w:sz="0" w:space="0" w:color="auto"/>
          </w:divBdr>
          <w:divsChild>
            <w:div w:id="7755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36726">
      <w:bodyDiv w:val="1"/>
      <w:marLeft w:val="0"/>
      <w:marRight w:val="0"/>
      <w:marTop w:val="0"/>
      <w:marBottom w:val="0"/>
      <w:divBdr>
        <w:top w:val="none" w:sz="0" w:space="0" w:color="auto"/>
        <w:left w:val="none" w:sz="0" w:space="0" w:color="auto"/>
        <w:bottom w:val="none" w:sz="0" w:space="0" w:color="auto"/>
        <w:right w:val="none" w:sz="0" w:space="0" w:color="auto"/>
      </w:divBdr>
      <w:divsChild>
        <w:div w:id="1668944970">
          <w:marLeft w:val="0"/>
          <w:marRight w:val="0"/>
          <w:marTop w:val="75"/>
          <w:marBottom w:val="240"/>
          <w:divBdr>
            <w:top w:val="none" w:sz="0" w:space="0" w:color="auto"/>
            <w:left w:val="none" w:sz="0" w:space="0" w:color="auto"/>
            <w:bottom w:val="none" w:sz="0" w:space="0" w:color="auto"/>
            <w:right w:val="none" w:sz="0" w:space="0" w:color="auto"/>
          </w:divBdr>
          <w:divsChild>
            <w:div w:id="1368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0091">
      <w:bodyDiv w:val="1"/>
      <w:marLeft w:val="0"/>
      <w:marRight w:val="0"/>
      <w:marTop w:val="0"/>
      <w:marBottom w:val="0"/>
      <w:divBdr>
        <w:top w:val="none" w:sz="0" w:space="0" w:color="auto"/>
        <w:left w:val="none" w:sz="0" w:space="0" w:color="auto"/>
        <w:bottom w:val="none" w:sz="0" w:space="0" w:color="auto"/>
        <w:right w:val="none" w:sz="0" w:space="0" w:color="auto"/>
      </w:divBdr>
    </w:div>
    <w:div w:id="1776827505">
      <w:bodyDiv w:val="1"/>
      <w:marLeft w:val="0"/>
      <w:marRight w:val="0"/>
      <w:marTop w:val="0"/>
      <w:marBottom w:val="0"/>
      <w:divBdr>
        <w:top w:val="none" w:sz="0" w:space="0" w:color="auto"/>
        <w:left w:val="none" w:sz="0" w:space="0" w:color="auto"/>
        <w:bottom w:val="none" w:sz="0" w:space="0" w:color="auto"/>
        <w:right w:val="none" w:sz="0" w:space="0" w:color="auto"/>
      </w:divBdr>
    </w:div>
    <w:div w:id="1799377529">
      <w:bodyDiv w:val="1"/>
      <w:marLeft w:val="0"/>
      <w:marRight w:val="0"/>
      <w:marTop w:val="0"/>
      <w:marBottom w:val="0"/>
      <w:divBdr>
        <w:top w:val="none" w:sz="0" w:space="0" w:color="auto"/>
        <w:left w:val="none" w:sz="0" w:space="0" w:color="auto"/>
        <w:bottom w:val="none" w:sz="0" w:space="0" w:color="auto"/>
        <w:right w:val="none" w:sz="0" w:space="0" w:color="auto"/>
      </w:divBdr>
    </w:div>
    <w:div w:id="1845052613">
      <w:bodyDiv w:val="1"/>
      <w:marLeft w:val="0"/>
      <w:marRight w:val="0"/>
      <w:marTop w:val="0"/>
      <w:marBottom w:val="0"/>
      <w:divBdr>
        <w:top w:val="none" w:sz="0" w:space="0" w:color="auto"/>
        <w:left w:val="none" w:sz="0" w:space="0" w:color="auto"/>
        <w:bottom w:val="none" w:sz="0" w:space="0" w:color="auto"/>
        <w:right w:val="none" w:sz="0" w:space="0" w:color="auto"/>
      </w:divBdr>
    </w:div>
    <w:div w:id="1889995689">
      <w:bodyDiv w:val="1"/>
      <w:marLeft w:val="0"/>
      <w:marRight w:val="0"/>
      <w:marTop w:val="0"/>
      <w:marBottom w:val="0"/>
      <w:divBdr>
        <w:top w:val="none" w:sz="0" w:space="0" w:color="auto"/>
        <w:left w:val="none" w:sz="0" w:space="0" w:color="auto"/>
        <w:bottom w:val="none" w:sz="0" w:space="0" w:color="auto"/>
        <w:right w:val="none" w:sz="0" w:space="0" w:color="auto"/>
      </w:divBdr>
    </w:div>
    <w:div w:id="1900944676">
      <w:bodyDiv w:val="1"/>
      <w:marLeft w:val="0"/>
      <w:marRight w:val="0"/>
      <w:marTop w:val="0"/>
      <w:marBottom w:val="0"/>
      <w:divBdr>
        <w:top w:val="none" w:sz="0" w:space="0" w:color="auto"/>
        <w:left w:val="none" w:sz="0" w:space="0" w:color="auto"/>
        <w:bottom w:val="none" w:sz="0" w:space="0" w:color="auto"/>
        <w:right w:val="none" w:sz="0" w:space="0" w:color="auto"/>
      </w:divBdr>
      <w:divsChild>
        <w:div w:id="753433825">
          <w:marLeft w:val="0"/>
          <w:marRight w:val="0"/>
          <w:marTop w:val="150"/>
          <w:marBottom w:val="75"/>
          <w:divBdr>
            <w:top w:val="none" w:sz="0" w:space="0" w:color="auto"/>
            <w:left w:val="none" w:sz="0" w:space="0" w:color="auto"/>
            <w:bottom w:val="none" w:sz="0" w:space="0" w:color="auto"/>
            <w:right w:val="none" w:sz="0" w:space="0" w:color="auto"/>
          </w:divBdr>
          <w:divsChild>
            <w:div w:id="1491628998">
              <w:marLeft w:val="0"/>
              <w:marRight w:val="0"/>
              <w:marTop w:val="75"/>
              <w:marBottom w:val="240"/>
              <w:divBdr>
                <w:top w:val="none" w:sz="0" w:space="0" w:color="auto"/>
                <w:left w:val="none" w:sz="0" w:space="0" w:color="auto"/>
                <w:bottom w:val="none" w:sz="0" w:space="0" w:color="auto"/>
                <w:right w:val="none" w:sz="0" w:space="0" w:color="auto"/>
              </w:divBdr>
              <w:divsChild>
                <w:div w:id="2073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848">
          <w:marLeft w:val="0"/>
          <w:marRight w:val="0"/>
          <w:marTop w:val="150"/>
          <w:marBottom w:val="75"/>
          <w:divBdr>
            <w:top w:val="none" w:sz="0" w:space="0" w:color="auto"/>
            <w:left w:val="none" w:sz="0" w:space="0" w:color="auto"/>
            <w:bottom w:val="none" w:sz="0" w:space="0" w:color="auto"/>
            <w:right w:val="none" w:sz="0" w:space="0" w:color="auto"/>
          </w:divBdr>
          <w:divsChild>
            <w:div w:id="1799252398">
              <w:marLeft w:val="0"/>
              <w:marRight w:val="0"/>
              <w:marTop w:val="75"/>
              <w:marBottom w:val="240"/>
              <w:divBdr>
                <w:top w:val="none" w:sz="0" w:space="0" w:color="auto"/>
                <w:left w:val="none" w:sz="0" w:space="0" w:color="auto"/>
                <w:bottom w:val="none" w:sz="0" w:space="0" w:color="auto"/>
                <w:right w:val="none" w:sz="0" w:space="0" w:color="auto"/>
              </w:divBdr>
              <w:divsChild>
                <w:div w:id="16860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7157">
      <w:bodyDiv w:val="1"/>
      <w:marLeft w:val="0"/>
      <w:marRight w:val="0"/>
      <w:marTop w:val="0"/>
      <w:marBottom w:val="0"/>
      <w:divBdr>
        <w:top w:val="none" w:sz="0" w:space="0" w:color="auto"/>
        <w:left w:val="none" w:sz="0" w:space="0" w:color="auto"/>
        <w:bottom w:val="none" w:sz="0" w:space="0" w:color="auto"/>
        <w:right w:val="none" w:sz="0" w:space="0" w:color="auto"/>
      </w:divBdr>
      <w:divsChild>
        <w:div w:id="307366843">
          <w:marLeft w:val="0"/>
          <w:marRight w:val="0"/>
          <w:marTop w:val="0"/>
          <w:marBottom w:val="0"/>
          <w:divBdr>
            <w:top w:val="none" w:sz="0" w:space="0" w:color="auto"/>
            <w:left w:val="none" w:sz="0" w:space="0" w:color="auto"/>
            <w:bottom w:val="none" w:sz="0" w:space="0" w:color="auto"/>
            <w:right w:val="none" w:sz="0" w:space="0" w:color="auto"/>
          </w:divBdr>
        </w:div>
        <w:div w:id="296684784">
          <w:marLeft w:val="0"/>
          <w:marRight w:val="0"/>
          <w:marTop w:val="0"/>
          <w:marBottom w:val="0"/>
          <w:divBdr>
            <w:top w:val="none" w:sz="0" w:space="0" w:color="auto"/>
            <w:left w:val="none" w:sz="0" w:space="0" w:color="auto"/>
            <w:bottom w:val="none" w:sz="0" w:space="0" w:color="auto"/>
            <w:right w:val="none" w:sz="0" w:space="0" w:color="auto"/>
          </w:divBdr>
        </w:div>
      </w:divsChild>
    </w:div>
    <w:div w:id="1946225730">
      <w:bodyDiv w:val="1"/>
      <w:marLeft w:val="0"/>
      <w:marRight w:val="0"/>
      <w:marTop w:val="0"/>
      <w:marBottom w:val="0"/>
      <w:divBdr>
        <w:top w:val="none" w:sz="0" w:space="0" w:color="auto"/>
        <w:left w:val="none" w:sz="0" w:space="0" w:color="auto"/>
        <w:bottom w:val="none" w:sz="0" w:space="0" w:color="auto"/>
        <w:right w:val="none" w:sz="0" w:space="0" w:color="auto"/>
      </w:divBdr>
    </w:div>
    <w:div w:id="2030909522">
      <w:bodyDiv w:val="1"/>
      <w:marLeft w:val="0"/>
      <w:marRight w:val="0"/>
      <w:marTop w:val="0"/>
      <w:marBottom w:val="0"/>
      <w:divBdr>
        <w:top w:val="none" w:sz="0" w:space="0" w:color="auto"/>
        <w:left w:val="none" w:sz="0" w:space="0" w:color="auto"/>
        <w:bottom w:val="none" w:sz="0" w:space="0" w:color="auto"/>
        <w:right w:val="none" w:sz="0" w:space="0" w:color="auto"/>
      </w:divBdr>
      <w:divsChild>
        <w:div w:id="271592271">
          <w:marLeft w:val="0"/>
          <w:marRight w:val="0"/>
          <w:marTop w:val="0"/>
          <w:marBottom w:val="0"/>
          <w:divBdr>
            <w:top w:val="none" w:sz="0" w:space="0" w:color="auto"/>
            <w:left w:val="none" w:sz="0" w:space="0" w:color="auto"/>
            <w:bottom w:val="none" w:sz="0" w:space="0" w:color="auto"/>
            <w:right w:val="none" w:sz="0" w:space="0" w:color="auto"/>
          </w:divBdr>
        </w:div>
        <w:div w:id="396633718">
          <w:marLeft w:val="0"/>
          <w:marRight w:val="0"/>
          <w:marTop w:val="0"/>
          <w:marBottom w:val="0"/>
          <w:divBdr>
            <w:top w:val="none" w:sz="0" w:space="0" w:color="auto"/>
            <w:left w:val="none" w:sz="0" w:space="0" w:color="auto"/>
            <w:bottom w:val="none" w:sz="0" w:space="0" w:color="auto"/>
            <w:right w:val="none" w:sz="0" w:space="0" w:color="auto"/>
          </w:divBdr>
        </w:div>
        <w:div w:id="182474788">
          <w:marLeft w:val="0"/>
          <w:marRight w:val="0"/>
          <w:marTop w:val="0"/>
          <w:marBottom w:val="0"/>
          <w:divBdr>
            <w:top w:val="none" w:sz="0" w:space="0" w:color="auto"/>
            <w:left w:val="none" w:sz="0" w:space="0" w:color="auto"/>
            <w:bottom w:val="none" w:sz="0" w:space="0" w:color="auto"/>
            <w:right w:val="none" w:sz="0" w:space="0" w:color="auto"/>
          </w:divBdr>
        </w:div>
      </w:divsChild>
    </w:div>
    <w:div w:id="20834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0E4E861BED4F48BB1327FCC859B5D4"/>
        <w:category>
          <w:name w:val="Algemeen"/>
          <w:gallery w:val="placeholder"/>
        </w:category>
        <w:types>
          <w:type w:val="bbPlcHdr"/>
        </w:types>
        <w:behaviors>
          <w:behavior w:val="content"/>
        </w:behaviors>
        <w:guid w:val="{722F9FCE-9E2C-4D97-8A38-485F9D946C40}"/>
      </w:docPartPr>
      <w:docPartBody>
        <w:p w:rsidR="00294B16" w:rsidRDefault="00F94224" w:rsidP="00F94224">
          <w:pPr>
            <w:pStyle w:val="E40E4E861BED4F48BB1327FCC859B5D4"/>
          </w:pPr>
          <w:r>
            <w:rPr>
              <w:rFonts w:asciiTheme="majorHAnsi" w:eastAsiaTheme="majorEastAsia" w:hAnsiTheme="majorHAnsi" w:cstheme="majorBidi"/>
              <w:sz w:val="72"/>
              <w:szCs w:val="72"/>
            </w:rPr>
            <w:t>[Geef de titel van het document op]</w:t>
          </w:r>
        </w:p>
      </w:docPartBody>
    </w:docPart>
    <w:docPart>
      <w:docPartPr>
        <w:name w:val="D7A28E23FE8B48B382879A577A197DDD"/>
        <w:category>
          <w:name w:val="Algemeen"/>
          <w:gallery w:val="placeholder"/>
        </w:category>
        <w:types>
          <w:type w:val="bbPlcHdr"/>
        </w:types>
        <w:behaviors>
          <w:behavior w:val="content"/>
        </w:behaviors>
        <w:guid w:val="{7882CCD6-6942-4B74-A4E7-00B54A35D7C7}"/>
      </w:docPartPr>
      <w:docPartBody>
        <w:p w:rsidR="00294B16" w:rsidRDefault="00F94224" w:rsidP="00F94224">
          <w:pPr>
            <w:pStyle w:val="D7A28E23FE8B48B382879A577A197DDD"/>
          </w:pPr>
          <w:r>
            <w:rPr>
              <w:rFonts w:asciiTheme="majorHAnsi" w:eastAsiaTheme="majorEastAsia" w:hAnsiTheme="majorHAnsi" w:cstheme="majorBidi"/>
              <w:sz w:val="36"/>
              <w:szCs w:val="36"/>
            </w:rPr>
            <w:t>[Geef de ondertitel van het document op]</w:t>
          </w:r>
        </w:p>
      </w:docPartBody>
    </w:docPart>
    <w:docPart>
      <w:docPartPr>
        <w:name w:val="E7FC8EA4BC144642BE15139D004ADC41"/>
        <w:category>
          <w:name w:val="Algemeen"/>
          <w:gallery w:val="placeholder"/>
        </w:category>
        <w:types>
          <w:type w:val="bbPlcHdr"/>
        </w:types>
        <w:behaviors>
          <w:behavior w:val="content"/>
        </w:behaviors>
        <w:guid w:val="{C05A9FDB-6AFB-479D-B2BC-6B32FF4AA394}"/>
      </w:docPartPr>
      <w:docPartBody>
        <w:p w:rsidR="00294B16" w:rsidRDefault="00F94224" w:rsidP="00F94224">
          <w:pPr>
            <w:pStyle w:val="E7FC8EA4BC144642BE15139D004ADC41"/>
          </w:pPr>
          <w:r>
            <w:t>[Geef de naam van de auteur op]</w:t>
          </w:r>
        </w:p>
      </w:docPartBody>
    </w:docPart>
    <w:docPart>
      <w:docPartPr>
        <w:name w:val="C856E69EAACE477A91FDCBA73DFD90B2"/>
        <w:category>
          <w:name w:val="Algemeen"/>
          <w:gallery w:val="placeholder"/>
        </w:category>
        <w:types>
          <w:type w:val="bbPlcHdr"/>
        </w:types>
        <w:behaviors>
          <w:behavior w:val="content"/>
        </w:behaviors>
        <w:guid w:val="{E9CA77B4-77D5-4D2C-BEDE-9A8545581EDD}"/>
      </w:docPartPr>
      <w:docPartBody>
        <w:p w:rsidR="00294B16" w:rsidRDefault="00F94224" w:rsidP="00F94224">
          <w:pPr>
            <w:pStyle w:val="C856E69EAACE477A91FDCBA73DFD90B2"/>
          </w:pPr>
          <w: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36"/>
    <w:rsid w:val="00037A4D"/>
    <w:rsid w:val="00294B16"/>
    <w:rsid w:val="00ED7F36"/>
    <w:rsid w:val="00F94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2BD7A0401A14A9781B4041680BC62C3">
    <w:name w:val="32BD7A0401A14A9781B4041680BC62C3"/>
    <w:rsid w:val="00ED7F36"/>
  </w:style>
  <w:style w:type="paragraph" w:customStyle="1" w:styleId="78CAA60F3A4044D08334602F935DE960">
    <w:name w:val="78CAA60F3A4044D08334602F935DE960"/>
    <w:rsid w:val="00ED7F36"/>
  </w:style>
  <w:style w:type="paragraph" w:customStyle="1" w:styleId="3AF148262E134132A0364E51FA7353F7">
    <w:name w:val="3AF148262E134132A0364E51FA7353F7"/>
    <w:rsid w:val="00ED7F36"/>
  </w:style>
  <w:style w:type="paragraph" w:customStyle="1" w:styleId="E40E4E861BED4F48BB1327FCC859B5D4">
    <w:name w:val="E40E4E861BED4F48BB1327FCC859B5D4"/>
    <w:rsid w:val="00F94224"/>
  </w:style>
  <w:style w:type="paragraph" w:customStyle="1" w:styleId="D7A28E23FE8B48B382879A577A197DDD">
    <w:name w:val="D7A28E23FE8B48B382879A577A197DDD"/>
    <w:rsid w:val="00F94224"/>
  </w:style>
  <w:style w:type="paragraph" w:customStyle="1" w:styleId="FDF7F0DD693A44868F8AF87605BA1DCB">
    <w:name w:val="FDF7F0DD693A44868F8AF87605BA1DCB"/>
    <w:rsid w:val="00F94224"/>
  </w:style>
  <w:style w:type="paragraph" w:customStyle="1" w:styleId="C6ADFD7D0D6E4C6FB123314378C75008">
    <w:name w:val="C6ADFD7D0D6E4C6FB123314378C75008"/>
    <w:rsid w:val="00F94224"/>
  </w:style>
  <w:style w:type="paragraph" w:customStyle="1" w:styleId="956D79476A924E77AEE6241C43E63194">
    <w:name w:val="956D79476A924E77AEE6241C43E63194"/>
    <w:rsid w:val="00F94224"/>
  </w:style>
  <w:style w:type="paragraph" w:customStyle="1" w:styleId="E3FA6F9C492B43C2B3CBEBD9D6FEB669">
    <w:name w:val="E3FA6F9C492B43C2B3CBEBD9D6FEB669"/>
    <w:rsid w:val="00F94224"/>
  </w:style>
  <w:style w:type="paragraph" w:customStyle="1" w:styleId="80ECA9F5A9D44D3181ABE18157A7A2E7">
    <w:name w:val="80ECA9F5A9D44D3181ABE18157A7A2E7"/>
    <w:rsid w:val="00F94224"/>
  </w:style>
  <w:style w:type="paragraph" w:customStyle="1" w:styleId="E7FC8EA4BC144642BE15139D004ADC41">
    <w:name w:val="E7FC8EA4BC144642BE15139D004ADC41"/>
    <w:rsid w:val="00F94224"/>
  </w:style>
  <w:style w:type="paragraph" w:customStyle="1" w:styleId="C856E69EAACE477A91FDCBA73DFD90B2">
    <w:name w:val="C856E69EAACE477A91FDCBA73DFD90B2"/>
    <w:rsid w:val="00F942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2BD7A0401A14A9781B4041680BC62C3">
    <w:name w:val="32BD7A0401A14A9781B4041680BC62C3"/>
    <w:rsid w:val="00ED7F36"/>
  </w:style>
  <w:style w:type="paragraph" w:customStyle="1" w:styleId="78CAA60F3A4044D08334602F935DE960">
    <w:name w:val="78CAA60F3A4044D08334602F935DE960"/>
    <w:rsid w:val="00ED7F36"/>
  </w:style>
  <w:style w:type="paragraph" w:customStyle="1" w:styleId="3AF148262E134132A0364E51FA7353F7">
    <w:name w:val="3AF148262E134132A0364E51FA7353F7"/>
    <w:rsid w:val="00ED7F36"/>
  </w:style>
  <w:style w:type="paragraph" w:customStyle="1" w:styleId="E40E4E861BED4F48BB1327FCC859B5D4">
    <w:name w:val="E40E4E861BED4F48BB1327FCC859B5D4"/>
    <w:rsid w:val="00F94224"/>
  </w:style>
  <w:style w:type="paragraph" w:customStyle="1" w:styleId="D7A28E23FE8B48B382879A577A197DDD">
    <w:name w:val="D7A28E23FE8B48B382879A577A197DDD"/>
    <w:rsid w:val="00F94224"/>
  </w:style>
  <w:style w:type="paragraph" w:customStyle="1" w:styleId="FDF7F0DD693A44868F8AF87605BA1DCB">
    <w:name w:val="FDF7F0DD693A44868F8AF87605BA1DCB"/>
    <w:rsid w:val="00F94224"/>
  </w:style>
  <w:style w:type="paragraph" w:customStyle="1" w:styleId="C6ADFD7D0D6E4C6FB123314378C75008">
    <w:name w:val="C6ADFD7D0D6E4C6FB123314378C75008"/>
    <w:rsid w:val="00F94224"/>
  </w:style>
  <w:style w:type="paragraph" w:customStyle="1" w:styleId="956D79476A924E77AEE6241C43E63194">
    <w:name w:val="956D79476A924E77AEE6241C43E63194"/>
    <w:rsid w:val="00F94224"/>
  </w:style>
  <w:style w:type="paragraph" w:customStyle="1" w:styleId="E3FA6F9C492B43C2B3CBEBD9D6FEB669">
    <w:name w:val="E3FA6F9C492B43C2B3CBEBD9D6FEB669"/>
    <w:rsid w:val="00F94224"/>
  </w:style>
  <w:style w:type="paragraph" w:customStyle="1" w:styleId="80ECA9F5A9D44D3181ABE18157A7A2E7">
    <w:name w:val="80ECA9F5A9D44D3181ABE18157A7A2E7"/>
    <w:rsid w:val="00F94224"/>
  </w:style>
  <w:style w:type="paragraph" w:customStyle="1" w:styleId="E7FC8EA4BC144642BE15139D004ADC41">
    <w:name w:val="E7FC8EA4BC144642BE15139D004ADC41"/>
    <w:rsid w:val="00F94224"/>
  </w:style>
  <w:style w:type="paragraph" w:customStyle="1" w:styleId="C856E69EAACE477A91FDCBA73DFD90B2">
    <w:name w:val="C856E69EAACE477A91FDCBA73DFD90B2"/>
    <w:rsid w:val="00F94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D3B5F-C2D3-491B-B4C9-E12B1F93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11913</TotalTime>
  <Pages>76</Pages>
  <Words>34254</Words>
  <Characters>188402</Characters>
  <Application>Microsoft Office Word</Application>
  <DocSecurity>0</DocSecurity>
  <Lines>1570</Lines>
  <Paragraphs>444</Paragraphs>
  <ScaleCrop>false</ScaleCrop>
  <HeadingPairs>
    <vt:vector size="2" baseType="variant">
      <vt:variant>
        <vt:lpstr>Titel</vt:lpstr>
      </vt:variant>
      <vt:variant>
        <vt:i4>1</vt:i4>
      </vt:variant>
    </vt:vector>
  </HeadingPairs>
  <TitlesOfParts>
    <vt:vector size="1" baseType="lpstr">
      <vt:lpstr/>
    </vt:vector>
  </TitlesOfParts>
  <Company>Opdrachtgever: De heer L. de Jong, advocaat bij Roest Crollius De Jong advocaten</Company>
  <LinksUpToDate>false</LinksUpToDate>
  <CharactersWithSpaces>222212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Verrekening, stille pandrechten en faillissement</dc:title>
  <dc:subject>Een onderzoek naar de omstandigheden om te mogen verrekenen in het zicht van een faillissement</dc:subject>
  <dc:creator>Auteur: P. Moraal, 1083966</dc:creator>
  <cp:lastModifiedBy>Pim</cp:lastModifiedBy>
  <cp:revision>1681</cp:revision>
  <cp:lastPrinted>2017-06-26T14:09:00Z</cp:lastPrinted>
  <dcterms:created xsi:type="dcterms:W3CDTF">2017-05-11T09:12:00Z</dcterms:created>
  <dcterms:modified xsi:type="dcterms:W3CDTF">2017-06-26T15:05:00Z</dcterms:modified>
</cp:coreProperties>
</file>