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66" w:rsidRPr="00942424" w:rsidRDefault="00651A66" w:rsidP="00670AE5">
      <w:r w:rsidRPr="00942424">
        <w:rPr>
          <w:noProof/>
          <w:lang w:eastAsia="nl-NL"/>
        </w:rPr>
        <w:drawing>
          <wp:anchor distT="0" distB="0" distL="114300" distR="114300" simplePos="0" relativeHeight="251659264" behindDoc="1" locked="0" layoutInCell="1" allowOverlap="1" wp14:anchorId="1CD0E4E9" wp14:editId="14EA7053">
            <wp:simplePos x="0" y="0"/>
            <wp:positionH relativeFrom="column">
              <wp:posOffset>-923290</wp:posOffset>
            </wp:positionH>
            <wp:positionV relativeFrom="paragraph">
              <wp:posOffset>-891540</wp:posOffset>
            </wp:positionV>
            <wp:extent cx="7604125" cy="2712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4125" cy="271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A66" w:rsidRPr="00942424" w:rsidRDefault="00651A66" w:rsidP="00651A66">
      <w:pPr>
        <w:spacing w:line="360" w:lineRule="auto"/>
        <w:rPr>
          <w:b/>
          <w:i/>
        </w:rPr>
      </w:pPr>
    </w:p>
    <w:p w:rsidR="00651A66" w:rsidRPr="00942424" w:rsidRDefault="00651A66" w:rsidP="00651A66">
      <w:pPr>
        <w:spacing w:line="360" w:lineRule="auto"/>
        <w:jc w:val="center"/>
        <w:rPr>
          <w:b/>
          <w:i/>
        </w:rPr>
      </w:pPr>
    </w:p>
    <w:p w:rsidR="00651A66" w:rsidRPr="00942424" w:rsidRDefault="00651A66" w:rsidP="00651A66">
      <w:pPr>
        <w:spacing w:line="360" w:lineRule="auto"/>
        <w:rPr>
          <w:b/>
        </w:rPr>
      </w:pPr>
    </w:p>
    <w:p w:rsidR="00651A66" w:rsidRPr="00942424" w:rsidRDefault="00651A66" w:rsidP="00651A66">
      <w:pPr>
        <w:spacing w:line="360" w:lineRule="auto"/>
        <w:rPr>
          <w:b/>
        </w:rPr>
      </w:pPr>
    </w:p>
    <w:p w:rsidR="00651A66" w:rsidRPr="00942424" w:rsidRDefault="00651A66" w:rsidP="00651A66">
      <w:pPr>
        <w:spacing w:line="360" w:lineRule="auto"/>
        <w:jc w:val="center"/>
        <w:rPr>
          <w:b/>
        </w:rPr>
      </w:pPr>
    </w:p>
    <w:p w:rsidR="00651A66" w:rsidRPr="00942424" w:rsidRDefault="00651A66" w:rsidP="00651A66">
      <w:pPr>
        <w:spacing w:line="360" w:lineRule="auto"/>
        <w:rPr>
          <w:b/>
          <w:i/>
          <w:color w:val="000000"/>
          <w:lang w:eastAsia="ja-JP"/>
        </w:rPr>
      </w:pPr>
    </w:p>
    <w:p w:rsidR="00651A66" w:rsidRPr="00942424" w:rsidRDefault="00651A66" w:rsidP="00651A66">
      <w:pPr>
        <w:spacing w:line="360" w:lineRule="auto"/>
        <w:jc w:val="center"/>
        <w:rPr>
          <w:b/>
          <w:i/>
          <w:color w:val="000000"/>
        </w:rPr>
      </w:pPr>
      <w:r w:rsidRPr="00942424">
        <w:rPr>
          <w:b/>
          <w:i/>
          <w:color w:val="000000"/>
        </w:rPr>
        <w:t>‘</w:t>
      </w:r>
      <w:r w:rsidR="00A66944">
        <w:rPr>
          <w:b/>
          <w:i/>
          <w:color w:val="000000"/>
        </w:rPr>
        <w:t>De hoogte van de billijke vergoeding</w:t>
      </w:r>
      <w:r w:rsidRPr="00942424">
        <w:rPr>
          <w:b/>
          <w:i/>
          <w:color w:val="000000"/>
        </w:rPr>
        <w:t>’</w:t>
      </w:r>
    </w:p>
    <w:p w:rsidR="00651A66" w:rsidRPr="00942424" w:rsidRDefault="00651A66" w:rsidP="00651A66">
      <w:pPr>
        <w:spacing w:line="360" w:lineRule="auto"/>
        <w:rPr>
          <w:b/>
          <w:i/>
          <w:color w:val="000000"/>
        </w:rPr>
      </w:pPr>
    </w:p>
    <w:p w:rsidR="00651A66" w:rsidRPr="00942424" w:rsidRDefault="00651A66" w:rsidP="00651A66">
      <w:pPr>
        <w:spacing w:line="360" w:lineRule="auto"/>
        <w:jc w:val="center"/>
        <w:rPr>
          <w:b/>
          <w:color w:val="000000"/>
        </w:rPr>
      </w:pPr>
      <w:r w:rsidRPr="00942424">
        <w:rPr>
          <w:b/>
          <w:color w:val="000000"/>
        </w:rPr>
        <w:t>Toetsing van:</w:t>
      </w:r>
    </w:p>
    <w:p w:rsidR="00651A66" w:rsidRDefault="00651A66" w:rsidP="00651A66">
      <w:pPr>
        <w:spacing w:line="360" w:lineRule="auto"/>
        <w:jc w:val="center"/>
        <w:rPr>
          <w:b/>
          <w:color w:val="000000"/>
          <w:lang w:eastAsia="ja-JP"/>
        </w:rPr>
      </w:pPr>
      <w:r w:rsidRPr="00942424">
        <w:rPr>
          <w:b/>
          <w:color w:val="000000"/>
        </w:rPr>
        <w:t>Praktijkonderzoek</w:t>
      </w:r>
    </w:p>
    <w:p w:rsidR="00651A66" w:rsidRPr="00942424" w:rsidRDefault="00EA6D81" w:rsidP="00651A66">
      <w:pPr>
        <w:spacing w:line="360" w:lineRule="auto"/>
        <w:jc w:val="center"/>
        <w:rPr>
          <w:b/>
          <w:color w:val="000000"/>
          <w:lang w:eastAsia="ja-JP"/>
        </w:rPr>
      </w:pPr>
      <w:r>
        <w:rPr>
          <w:b/>
          <w:color w:val="000000"/>
          <w:lang w:eastAsia="ja-JP"/>
        </w:rPr>
        <w:t>2016/</w:t>
      </w:r>
      <w:r w:rsidR="00651A66">
        <w:rPr>
          <w:rFonts w:hint="eastAsia"/>
          <w:b/>
          <w:color w:val="000000"/>
          <w:lang w:eastAsia="ja-JP"/>
        </w:rPr>
        <w:t>2017</w:t>
      </w:r>
    </w:p>
    <w:p w:rsidR="00651A66" w:rsidRPr="00942424" w:rsidRDefault="00651A66" w:rsidP="00651A66">
      <w:pPr>
        <w:spacing w:line="360" w:lineRule="auto"/>
        <w:rPr>
          <w:b/>
        </w:rPr>
      </w:pPr>
    </w:p>
    <w:p w:rsidR="00651A66" w:rsidRPr="00942424" w:rsidRDefault="00651A66" w:rsidP="00651A66">
      <w:pPr>
        <w:spacing w:line="360" w:lineRule="auto"/>
        <w:rPr>
          <w:b/>
          <w:color w:val="000000"/>
          <w:lang w:eastAsia="ja-JP"/>
        </w:rPr>
      </w:pPr>
    </w:p>
    <w:p w:rsidR="00651A66" w:rsidRPr="00942424" w:rsidRDefault="00651A66" w:rsidP="00651A66">
      <w:pPr>
        <w:spacing w:line="360" w:lineRule="auto"/>
        <w:rPr>
          <w:b/>
          <w:color w:val="000000"/>
        </w:rPr>
      </w:pPr>
    </w:p>
    <w:p w:rsidR="00651A66" w:rsidRPr="00942424" w:rsidRDefault="00651A66" w:rsidP="00651A66">
      <w:pPr>
        <w:spacing w:line="360" w:lineRule="auto"/>
        <w:rPr>
          <w:b/>
          <w:color w:val="000000"/>
        </w:rPr>
      </w:pPr>
    </w:p>
    <w:p w:rsidR="00651A66" w:rsidRPr="00942424" w:rsidRDefault="00651A66" w:rsidP="00651A66">
      <w:pPr>
        <w:pBdr>
          <w:top w:val="single" w:sz="4" w:space="1" w:color="auto"/>
          <w:left w:val="single" w:sz="4" w:space="4" w:color="auto"/>
          <w:bottom w:val="single" w:sz="4" w:space="1" w:color="auto"/>
          <w:right w:val="single" w:sz="4" w:space="4" w:color="auto"/>
        </w:pBdr>
        <w:spacing w:line="360" w:lineRule="auto"/>
        <w:rPr>
          <w:b/>
          <w:color w:val="000000"/>
          <w:lang w:eastAsia="ja-JP"/>
        </w:rPr>
      </w:pPr>
      <w:r w:rsidRPr="00942424">
        <w:rPr>
          <w:b/>
          <w:color w:val="000000"/>
        </w:rPr>
        <w:t>Hogeschool L</w:t>
      </w:r>
      <w:r>
        <w:rPr>
          <w:b/>
          <w:color w:val="000000"/>
        </w:rPr>
        <w:t>eiden</w:t>
      </w:r>
      <w:r>
        <w:rPr>
          <w:b/>
          <w:color w:val="000000"/>
        </w:rPr>
        <w:tab/>
      </w:r>
      <w:r>
        <w:rPr>
          <w:b/>
          <w:color w:val="000000"/>
        </w:rPr>
        <w:tab/>
      </w:r>
      <w:r>
        <w:rPr>
          <w:b/>
          <w:color w:val="000000"/>
        </w:rPr>
        <w:tab/>
      </w:r>
      <w:r>
        <w:rPr>
          <w:b/>
          <w:color w:val="000000"/>
        </w:rPr>
        <w:tab/>
      </w:r>
      <w:r>
        <w:rPr>
          <w:rFonts w:hint="eastAsia"/>
          <w:b/>
          <w:color w:val="000000"/>
          <w:lang w:eastAsia="ja-JP"/>
        </w:rPr>
        <w:tab/>
      </w:r>
      <w:r>
        <w:rPr>
          <w:b/>
          <w:color w:val="000000"/>
        </w:rPr>
        <w:t>Opleiding HBO-Rechten</w:t>
      </w:r>
    </w:p>
    <w:p w:rsidR="00651A66" w:rsidRDefault="00C4005A" w:rsidP="00C25FDC">
      <w:pPr>
        <w:pBdr>
          <w:top w:val="single" w:sz="4" w:space="1" w:color="auto"/>
          <w:left w:val="single" w:sz="4" w:space="4" w:color="auto"/>
          <w:bottom w:val="single" w:sz="4" w:space="1" w:color="auto"/>
          <w:right w:val="single" w:sz="4" w:space="4" w:color="auto"/>
        </w:pBdr>
        <w:spacing w:line="360" w:lineRule="auto"/>
        <w:rPr>
          <w:color w:val="000000"/>
        </w:rPr>
      </w:pPr>
      <w:r>
        <w:rPr>
          <w:color w:val="000000"/>
        </w:rPr>
        <w:t>Scriptiebegeleiders</w:t>
      </w:r>
      <w:r w:rsidR="00C25FDC">
        <w:rPr>
          <w:color w:val="000000"/>
        </w:rPr>
        <w:t>:</w:t>
      </w:r>
      <w:r>
        <w:rPr>
          <w:color w:val="000000"/>
        </w:rPr>
        <w:t xml:space="preserve"> Maaike Rietmeijer</w:t>
      </w:r>
      <w:r w:rsidR="00C25FDC">
        <w:rPr>
          <w:color w:val="000000"/>
        </w:rPr>
        <w:t xml:space="preserve"> &amp; Anne Hessing</w:t>
      </w:r>
    </w:p>
    <w:p w:rsidR="00C25FDC" w:rsidRPr="00942424" w:rsidRDefault="00C25FDC" w:rsidP="00C25FDC">
      <w:pPr>
        <w:pBdr>
          <w:top w:val="single" w:sz="4" w:space="1" w:color="auto"/>
          <w:left w:val="single" w:sz="4" w:space="4" w:color="auto"/>
          <w:bottom w:val="single" w:sz="4" w:space="1" w:color="auto"/>
          <w:right w:val="single" w:sz="4" w:space="4" w:color="auto"/>
        </w:pBdr>
        <w:spacing w:line="360" w:lineRule="auto"/>
        <w:rPr>
          <w:color w:val="000000"/>
        </w:rPr>
      </w:pPr>
      <w:r>
        <w:rPr>
          <w:color w:val="000000"/>
        </w:rPr>
        <w:t xml:space="preserve">Opdrachtgever: mr. J. Blakborn advocaat bij Van Diepen Van der Kroef Advocaten </w:t>
      </w:r>
    </w:p>
    <w:p w:rsidR="00C4005A" w:rsidRPr="0007341F" w:rsidRDefault="00651A66" w:rsidP="00651A66">
      <w:pPr>
        <w:pBdr>
          <w:top w:val="single" w:sz="4" w:space="1" w:color="auto"/>
          <w:left w:val="single" w:sz="4" w:space="4" w:color="auto"/>
          <w:bottom w:val="single" w:sz="4" w:space="1" w:color="auto"/>
          <w:right w:val="single" w:sz="4" w:space="4" w:color="auto"/>
        </w:pBdr>
        <w:spacing w:line="360" w:lineRule="auto"/>
        <w:rPr>
          <w:color w:val="000000"/>
        </w:rPr>
      </w:pPr>
      <w:r w:rsidRPr="0007341F">
        <w:rPr>
          <w:color w:val="000000"/>
        </w:rPr>
        <w:t xml:space="preserve">Student: Diana </w:t>
      </w:r>
      <w:r w:rsidR="007D3AFC" w:rsidRPr="0007341F">
        <w:rPr>
          <w:color w:val="000000"/>
        </w:rPr>
        <w:t>Yussupova</w:t>
      </w:r>
      <w:r w:rsidRPr="0007341F">
        <w:rPr>
          <w:color w:val="000000"/>
        </w:rPr>
        <w:tab/>
      </w:r>
      <w:r w:rsidRPr="0007341F">
        <w:rPr>
          <w:color w:val="000000"/>
        </w:rPr>
        <w:tab/>
      </w:r>
      <w:r w:rsidRPr="0007341F">
        <w:rPr>
          <w:color w:val="000000"/>
        </w:rPr>
        <w:tab/>
      </w:r>
      <w:r w:rsidRPr="0007341F">
        <w:rPr>
          <w:color w:val="000000"/>
        </w:rPr>
        <w:tab/>
        <w:t xml:space="preserve"> </w:t>
      </w:r>
    </w:p>
    <w:p w:rsidR="00651A66" w:rsidRPr="0007341F" w:rsidRDefault="00651A66" w:rsidP="00651A66">
      <w:pPr>
        <w:pBdr>
          <w:top w:val="single" w:sz="4" w:space="1" w:color="auto"/>
          <w:left w:val="single" w:sz="4" w:space="4" w:color="auto"/>
          <w:bottom w:val="single" w:sz="4" w:space="1" w:color="auto"/>
          <w:right w:val="single" w:sz="4" w:space="4" w:color="auto"/>
        </w:pBdr>
        <w:spacing w:line="360" w:lineRule="auto"/>
        <w:rPr>
          <w:color w:val="000000"/>
        </w:rPr>
      </w:pPr>
      <w:r w:rsidRPr="0007341F">
        <w:rPr>
          <w:color w:val="000000"/>
        </w:rPr>
        <w:t xml:space="preserve">Datum: </w:t>
      </w:r>
      <w:r w:rsidR="00034165" w:rsidRPr="0007341F">
        <w:rPr>
          <w:color w:val="000000"/>
          <w:lang w:eastAsia="ja-JP"/>
        </w:rPr>
        <w:t>10 januari</w:t>
      </w:r>
      <w:r w:rsidR="00034165" w:rsidRPr="0007341F">
        <w:rPr>
          <w:rFonts w:hint="eastAsia"/>
          <w:color w:val="000000"/>
          <w:lang w:eastAsia="ja-JP"/>
        </w:rPr>
        <w:t xml:space="preserve"> 201</w:t>
      </w:r>
      <w:r w:rsidR="00034165" w:rsidRPr="0007341F">
        <w:rPr>
          <w:color w:val="000000"/>
          <w:lang w:eastAsia="ja-JP"/>
        </w:rPr>
        <w:t>7</w:t>
      </w:r>
    </w:p>
    <w:p w:rsidR="00651A66" w:rsidRPr="00942424" w:rsidRDefault="00651A66" w:rsidP="00651A66">
      <w:pPr>
        <w:pBdr>
          <w:top w:val="single" w:sz="4" w:space="1" w:color="auto"/>
          <w:left w:val="single" w:sz="4" w:space="4" w:color="auto"/>
          <w:bottom w:val="single" w:sz="4" w:space="1" w:color="auto"/>
          <w:right w:val="single" w:sz="4" w:space="4" w:color="auto"/>
        </w:pBdr>
        <w:spacing w:line="360" w:lineRule="auto"/>
        <w:rPr>
          <w:color w:val="000000"/>
        </w:rPr>
      </w:pPr>
      <w:r w:rsidRPr="00942424">
        <w:rPr>
          <w:color w:val="000000"/>
        </w:rPr>
        <w:t>Reguliere kans</w:t>
      </w:r>
    </w:p>
    <w:p w:rsidR="00651A66" w:rsidRPr="00942424" w:rsidRDefault="00651A66" w:rsidP="00651A66">
      <w:pPr>
        <w:pBdr>
          <w:top w:val="single" w:sz="4" w:space="1" w:color="auto"/>
          <w:left w:val="single" w:sz="4" w:space="4" w:color="auto"/>
          <w:bottom w:val="single" w:sz="4" w:space="1" w:color="auto"/>
          <w:right w:val="single" w:sz="4" w:space="4" w:color="auto"/>
        </w:pBdr>
        <w:spacing w:line="360" w:lineRule="auto"/>
        <w:rPr>
          <w:color w:val="000000"/>
        </w:rPr>
      </w:pPr>
    </w:p>
    <w:p w:rsidR="00651A66" w:rsidRDefault="00651A66" w:rsidP="005B5304">
      <w:pPr>
        <w:pBdr>
          <w:top w:val="single" w:sz="4" w:space="1" w:color="auto"/>
          <w:left w:val="single" w:sz="4" w:space="4" w:color="auto"/>
          <w:bottom w:val="single" w:sz="4" w:space="1" w:color="auto"/>
          <w:right w:val="single" w:sz="4" w:space="4" w:color="auto"/>
        </w:pBdr>
        <w:spacing w:line="360" w:lineRule="auto"/>
        <w:rPr>
          <w:color w:val="000000"/>
          <w:lang w:eastAsia="ja-JP"/>
        </w:rPr>
      </w:pPr>
      <w:r w:rsidRPr="00942424">
        <w:rPr>
          <w:color w:val="000000"/>
        </w:rPr>
        <w:t>K</w:t>
      </w:r>
      <w:r>
        <w:rPr>
          <w:color w:val="000000"/>
        </w:rPr>
        <w:t>las: Law</w:t>
      </w:r>
      <w:r>
        <w:rPr>
          <w:rFonts w:hint="eastAsia"/>
          <w:color w:val="000000"/>
          <w:lang w:eastAsia="ja-JP"/>
        </w:rPr>
        <w:t>7</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Schooljaar: 201</w:t>
      </w:r>
      <w:r>
        <w:rPr>
          <w:rFonts w:hint="eastAsia"/>
          <w:color w:val="000000"/>
          <w:lang w:eastAsia="ja-JP"/>
        </w:rPr>
        <w:t>6</w:t>
      </w:r>
      <w:r w:rsidRPr="00942424">
        <w:rPr>
          <w:color w:val="000000"/>
        </w:rPr>
        <w:t>-201</w:t>
      </w:r>
      <w:r w:rsidR="005B5304">
        <w:rPr>
          <w:rFonts w:hint="eastAsia"/>
          <w:color w:val="000000"/>
          <w:lang w:eastAsia="ja-JP"/>
        </w:rPr>
        <w:t>7</w:t>
      </w:r>
    </w:p>
    <w:p w:rsidR="007E6428" w:rsidRDefault="007E6428">
      <w:pPr>
        <w:rPr>
          <w:b/>
        </w:rPr>
      </w:pPr>
      <w:r>
        <w:rPr>
          <w:b/>
        </w:rPr>
        <w:br w:type="page"/>
      </w:r>
    </w:p>
    <w:p w:rsidR="00E85C39" w:rsidRPr="00D94062" w:rsidRDefault="00E85C39" w:rsidP="00D94062">
      <w:pPr>
        <w:spacing w:after="0" w:line="360" w:lineRule="auto"/>
        <w:rPr>
          <w:b/>
          <w:sz w:val="28"/>
          <w:szCs w:val="28"/>
        </w:rPr>
      </w:pPr>
      <w:r w:rsidRPr="00D94062">
        <w:rPr>
          <w:b/>
          <w:sz w:val="28"/>
          <w:szCs w:val="28"/>
        </w:rPr>
        <w:lastRenderedPageBreak/>
        <w:t xml:space="preserve">Voorwoord </w:t>
      </w:r>
    </w:p>
    <w:p w:rsidR="005F6777" w:rsidRDefault="005F6777" w:rsidP="00D94062">
      <w:pPr>
        <w:spacing w:after="0" w:line="360" w:lineRule="auto"/>
      </w:pPr>
    </w:p>
    <w:p w:rsidR="005F6777" w:rsidRDefault="005F6777" w:rsidP="00D94062">
      <w:pPr>
        <w:spacing w:after="0" w:line="360" w:lineRule="auto"/>
      </w:pPr>
      <w:r w:rsidRPr="005F6777">
        <w:t xml:space="preserve">Beste lezer, </w:t>
      </w:r>
    </w:p>
    <w:p w:rsidR="005F6777" w:rsidRDefault="005F6777" w:rsidP="00D94062">
      <w:pPr>
        <w:spacing w:after="0" w:line="360" w:lineRule="auto"/>
      </w:pPr>
    </w:p>
    <w:p w:rsidR="00960648" w:rsidRDefault="00E9250A" w:rsidP="00D94062">
      <w:pPr>
        <w:spacing w:after="0" w:line="360" w:lineRule="auto"/>
      </w:pPr>
      <w:r>
        <w:t>Voor het behalen van de Bachelor-</w:t>
      </w:r>
      <w:r w:rsidR="005F6777">
        <w:t>in</w:t>
      </w:r>
      <w:r>
        <w:t>-</w:t>
      </w:r>
      <w:r w:rsidR="005F6777">
        <w:t>law</w:t>
      </w:r>
      <w:r>
        <w:t>,</w:t>
      </w:r>
      <w:r w:rsidR="005F6777">
        <w:t xml:space="preserve"> is het vanuit de Hogeschool Leiden </w:t>
      </w:r>
      <w:r>
        <w:t xml:space="preserve">verplicht </w:t>
      </w:r>
      <w:r w:rsidR="000A4E85">
        <w:t xml:space="preserve">gesteld </w:t>
      </w:r>
      <w:r>
        <w:t>om een onderzoek te doen voor een juridische organisatie.</w:t>
      </w:r>
      <w:r w:rsidR="005F6777">
        <w:t xml:space="preserve"> </w:t>
      </w:r>
      <w:r>
        <w:t xml:space="preserve">Dit is een </w:t>
      </w:r>
      <w:r w:rsidR="000A4E85">
        <w:t xml:space="preserve">goede </w:t>
      </w:r>
      <w:r>
        <w:t xml:space="preserve">manier om mijn onderzoeksvaardigheden te ontwikkelen. </w:t>
      </w:r>
      <w:r w:rsidR="00AE3810">
        <w:t xml:space="preserve"> </w:t>
      </w:r>
      <w:bookmarkStart w:id="0" w:name="_GoBack"/>
      <w:bookmarkEnd w:id="0"/>
    </w:p>
    <w:p w:rsidR="00EA6D81" w:rsidRDefault="00EA6D81" w:rsidP="00D94062">
      <w:pPr>
        <w:spacing w:after="0" w:line="360" w:lineRule="auto"/>
      </w:pPr>
    </w:p>
    <w:p w:rsidR="005F6777" w:rsidRDefault="000A4E85" w:rsidP="00D94062">
      <w:pPr>
        <w:spacing w:after="0" w:line="360" w:lineRule="auto"/>
      </w:pPr>
      <w:r>
        <w:t>Door</w:t>
      </w:r>
      <w:r w:rsidR="00E9250A">
        <w:t xml:space="preserve"> mr. J. Blakborn, advocaat bij Van Diepen en Van der Kroef Advocaten, is mij deze kans geb</w:t>
      </w:r>
      <w:r>
        <w:t>oden en heb ik dit rapport kunnen</w:t>
      </w:r>
      <w:r w:rsidR="00E9250A">
        <w:t xml:space="preserve"> schr</w:t>
      </w:r>
      <w:r w:rsidR="00FA6058">
        <w:t>ij</w:t>
      </w:r>
      <w:r w:rsidR="00E9250A">
        <w:t>ven. A</w:t>
      </w:r>
      <w:r w:rsidR="005F6777">
        <w:t>an dit rapport is</w:t>
      </w:r>
      <w:r w:rsidR="0007341F">
        <w:t xml:space="preserve"> veel aandacht en tijd besteed </w:t>
      </w:r>
      <w:r w:rsidR="00E9250A">
        <w:t>om een zo bruikbaar mogelijk onderzoek</w:t>
      </w:r>
      <w:r w:rsidR="00FA6058">
        <w:t>sresultaat</w:t>
      </w:r>
      <w:r w:rsidR="00E9250A">
        <w:t xml:space="preserve"> neer te zetten. </w:t>
      </w:r>
    </w:p>
    <w:p w:rsidR="00EA6D81" w:rsidRDefault="00EA6D81" w:rsidP="00D94062">
      <w:pPr>
        <w:spacing w:after="0" w:line="360" w:lineRule="auto"/>
      </w:pPr>
    </w:p>
    <w:p w:rsidR="00960648" w:rsidRDefault="00E9250A" w:rsidP="00D94062">
      <w:pPr>
        <w:spacing w:after="0" w:line="360" w:lineRule="auto"/>
      </w:pPr>
      <w:r>
        <w:t>Ook wil ik graag mijn onderzoeksdocente, mevrouw Rietmeijer</w:t>
      </w:r>
      <w:r w:rsidR="00960648">
        <w:t xml:space="preserve">, en mijn afstudeerbegeleidster, mevrouw Hessing bedanken voor de prettige en motiverende begeleiding. </w:t>
      </w:r>
    </w:p>
    <w:p w:rsidR="00960648" w:rsidRDefault="00960648" w:rsidP="00D94062">
      <w:pPr>
        <w:spacing w:after="0" w:line="360" w:lineRule="auto"/>
      </w:pPr>
    </w:p>
    <w:p w:rsidR="00E9250A" w:rsidRDefault="000A5B02" w:rsidP="00D94062">
      <w:pPr>
        <w:spacing w:after="0" w:line="360" w:lineRule="auto"/>
      </w:pPr>
      <w:r>
        <w:t xml:space="preserve">Ik wens u veel </w:t>
      </w:r>
      <w:r w:rsidR="00960648">
        <w:t xml:space="preserve">leesplezier toe, </w:t>
      </w:r>
    </w:p>
    <w:p w:rsidR="00960648" w:rsidRDefault="00960648" w:rsidP="00D94062">
      <w:pPr>
        <w:spacing w:after="0" w:line="360" w:lineRule="auto"/>
      </w:pPr>
    </w:p>
    <w:p w:rsidR="00960648" w:rsidRPr="005F6777" w:rsidRDefault="00960648" w:rsidP="00D94062">
      <w:pPr>
        <w:spacing w:after="0" w:line="360" w:lineRule="auto"/>
      </w:pPr>
      <w:r>
        <w:t xml:space="preserve">Diana Yussupova </w:t>
      </w:r>
    </w:p>
    <w:p w:rsidR="007E6428" w:rsidRDefault="007E6428">
      <w:pPr>
        <w:rPr>
          <w:b/>
          <w:sz w:val="24"/>
          <w:szCs w:val="24"/>
        </w:rPr>
      </w:pPr>
      <w:r>
        <w:rPr>
          <w:b/>
          <w:sz w:val="24"/>
          <w:szCs w:val="24"/>
        </w:rPr>
        <w:br w:type="page"/>
      </w:r>
    </w:p>
    <w:p w:rsidR="00E85C39" w:rsidRPr="00F43F61" w:rsidRDefault="00E85C39" w:rsidP="004C512B">
      <w:pPr>
        <w:pStyle w:val="Kop1"/>
        <w:rPr>
          <w:color w:val="auto"/>
        </w:rPr>
      </w:pPr>
      <w:bookmarkStart w:id="1" w:name="_Toc472509258"/>
      <w:r w:rsidRPr="00F43F61">
        <w:rPr>
          <w:color w:val="auto"/>
        </w:rPr>
        <w:lastRenderedPageBreak/>
        <w:t>Samenvatting</w:t>
      </w:r>
      <w:bookmarkEnd w:id="1"/>
      <w:r w:rsidRPr="00F43F61">
        <w:rPr>
          <w:color w:val="auto"/>
        </w:rPr>
        <w:t xml:space="preserve"> </w:t>
      </w:r>
    </w:p>
    <w:p w:rsidR="008257CE" w:rsidRDefault="008257CE" w:rsidP="0025580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p>
    <w:p w:rsidR="00B545A1" w:rsidRDefault="000A4E85" w:rsidP="0025580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spacing w:val="-3"/>
          <w:lang w:eastAsia="nl-NL"/>
        </w:rPr>
      </w:pPr>
      <w:r>
        <w:t>Per</w:t>
      </w:r>
      <w:r w:rsidR="00681BFF">
        <w:t xml:space="preserve"> 1</w:t>
      </w:r>
      <w:r>
        <w:t xml:space="preserve"> juli 2015 is met de inwerkingtreding van</w:t>
      </w:r>
      <w:r w:rsidR="000D68B0">
        <w:t xml:space="preserve"> de Wet Werk en Z</w:t>
      </w:r>
      <w:r w:rsidR="00D332C3">
        <w:t xml:space="preserve">ekerheid </w:t>
      </w:r>
      <w:r w:rsidR="00687EB8">
        <w:t xml:space="preserve">(WWZ) </w:t>
      </w:r>
      <w:r w:rsidR="00D332C3">
        <w:t xml:space="preserve">een nieuwe bepaling opgenomen omtrent de billijke vergoeding. </w:t>
      </w:r>
      <w:r>
        <w:t>Deze bepaling</w:t>
      </w:r>
      <w:r w:rsidR="007F165E">
        <w:t xml:space="preserve"> heeft gezorgd voor veel kritiek en onduidelijkheden. Voor Van Diepen en Van der Kroef Advocaten is onderzoek gedaan naar de billijke vergoeding. </w:t>
      </w:r>
      <w:r w:rsidR="0025580B">
        <w:t xml:space="preserve">De centrale vraag van dit onderzoek luidt als volgt: </w:t>
      </w:r>
      <w:r w:rsidR="0025580B" w:rsidRPr="0025580B">
        <w:rPr>
          <w:i/>
          <w:color w:val="000000" w:themeColor="text1"/>
        </w:rPr>
        <w:t xml:space="preserve">Welk advies kan </w:t>
      </w:r>
      <w:r w:rsidR="00FA6058">
        <w:rPr>
          <w:i/>
          <w:color w:val="000000" w:themeColor="text1"/>
        </w:rPr>
        <w:t xml:space="preserve">aan </w:t>
      </w:r>
      <w:r w:rsidR="0025580B" w:rsidRPr="0025580B">
        <w:rPr>
          <w:i/>
          <w:spacing w:val="-3"/>
          <w:lang w:eastAsia="nl-NL"/>
        </w:rPr>
        <w:t xml:space="preserve">Van Diepen en Van der Kroef Advocaten </w:t>
      </w:r>
      <w:r w:rsidR="0025580B" w:rsidRPr="0025580B">
        <w:rPr>
          <w:i/>
          <w:color w:val="000000" w:themeColor="text1"/>
        </w:rPr>
        <w:t xml:space="preserve">worden gegeven, als het gaat om </w:t>
      </w:r>
      <w:r w:rsidR="0025580B" w:rsidRPr="0025580B">
        <w:rPr>
          <w:i/>
          <w:color w:val="000000" w:themeColor="text1"/>
          <w:spacing w:val="-3"/>
          <w:lang w:eastAsia="nl-NL"/>
        </w:rPr>
        <w:t xml:space="preserve">het toekennen van de billijke vergoeding en het bepalen van de hoogte van </w:t>
      </w:r>
      <w:r w:rsidR="0025580B" w:rsidRPr="0025580B">
        <w:rPr>
          <w:i/>
          <w:color w:val="000000" w:themeColor="text1"/>
        </w:rPr>
        <w:t xml:space="preserve">de billijke vergoeding aan de hand van de belangrijkste overwegingen die kantonrechters maken </w:t>
      </w:r>
      <w:r w:rsidR="0025580B" w:rsidRPr="0025580B">
        <w:rPr>
          <w:i/>
          <w:color w:val="000000" w:themeColor="text1"/>
          <w:spacing w:val="-3"/>
          <w:lang w:eastAsia="nl-NL"/>
        </w:rPr>
        <w:t xml:space="preserve">volgens de relevante literatuur, </w:t>
      </w:r>
      <w:r w:rsidR="00267C99">
        <w:rPr>
          <w:i/>
          <w:color w:val="000000" w:themeColor="text1"/>
          <w:spacing w:val="-3"/>
          <w:lang w:eastAsia="nl-NL"/>
        </w:rPr>
        <w:t xml:space="preserve">de </w:t>
      </w:r>
      <w:r w:rsidR="0025580B" w:rsidRPr="0025580B">
        <w:rPr>
          <w:i/>
          <w:color w:val="000000" w:themeColor="text1"/>
          <w:spacing w:val="-3"/>
          <w:lang w:eastAsia="nl-NL"/>
        </w:rPr>
        <w:t xml:space="preserve">wet- en regelgeving en </w:t>
      </w:r>
      <w:r w:rsidR="00267C99">
        <w:rPr>
          <w:i/>
          <w:color w:val="000000" w:themeColor="text1"/>
          <w:spacing w:val="-3"/>
          <w:lang w:eastAsia="nl-NL"/>
        </w:rPr>
        <w:t xml:space="preserve">de </w:t>
      </w:r>
      <w:r w:rsidR="0025580B" w:rsidRPr="0025580B">
        <w:rPr>
          <w:i/>
          <w:color w:val="000000" w:themeColor="text1"/>
          <w:spacing w:val="-3"/>
          <w:lang w:eastAsia="nl-NL"/>
        </w:rPr>
        <w:t>jurisprudentie?</w:t>
      </w:r>
      <w:r w:rsidR="0025580B">
        <w:rPr>
          <w:color w:val="000000" w:themeColor="text1"/>
          <w:spacing w:val="-3"/>
          <w:lang w:eastAsia="nl-NL"/>
        </w:rPr>
        <w:t xml:space="preserve"> </w:t>
      </w:r>
    </w:p>
    <w:p w:rsidR="0025580B" w:rsidRPr="0025580B" w:rsidRDefault="0025580B" w:rsidP="0025580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spacing w:val="-3"/>
          <w:lang w:eastAsia="nl-NL"/>
        </w:rPr>
      </w:pPr>
      <w:r>
        <w:rPr>
          <w:spacing w:val="-3"/>
          <w:lang w:eastAsia="nl-NL"/>
        </w:rPr>
        <w:t xml:space="preserve">Het doel van dit onderzoek is om voor Van Diepen en Van der Kroef Advocaten een bruikbaar en betrouwbaar onderzoeksrapport op te stellen. </w:t>
      </w:r>
      <w:r w:rsidR="0007341F">
        <w:rPr>
          <w:spacing w:val="-3"/>
          <w:lang w:eastAsia="nl-NL"/>
        </w:rPr>
        <w:t xml:space="preserve">Na het lezen van </w:t>
      </w:r>
      <w:r>
        <w:rPr>
          <w:spacing w:val="-3"/>
          <w:lang w:eastAsia="nl-NL"/>
        </w:rPr>
        <w:t xml:space="preserve">dit onderzoeksrapport </w:t>
      </w:r>
      <w:r w:rsidR="0007341F">
        <w:rPr>
          <w:spacing w:val="-3"/>
          <w:lang w:eastAsia="nl-NL"/>
        </w:rPr>
        <w:t>dient</w:t>
      </w:r>
      <w:r>
        <w:rPr>
          <w:spacing w:val="-3"/>
          <w:lang w:eastAsia="nl-NL"/>
        </w:rPr>
        <w:t xml:space="preserve"> mijn opdrachtgever een helder beeld </w:t>
      </w:r>
      <w:r w:rsidR="0007341F">
        <w:rPr>
          <w:spacing w:val="-3"/>
          <w:lang w:eastAsia="nl-NL"/>
        </w:rPr>
        <w:t xml:space="preserve">te </w:t>
      </w:r>
      <w:r>
        <w:rPr>
          <w:spacing w:val="-3"/>
          <w:lang w:eastAsia="nl-NL"/>
        </w:rPr>
        <w:t xml:space="preserve">krijgen van welke overwegingen kantonrechters </w:t>
      </w:r>
      <w:r w:rsidR="00FA6058">
        <w:rPr>
          <w:spacing w:val="-3"/>
          <w:lang w:eastAsia="nl-NL"/>
        </w:rPr>
        <w:t>hebben</w:t>
      </w:r>
      <w:r>
        <w:rPr>
          <w:spacing w:val="-3"/>
          <w:lang w:eastAsia="nl-NL"/>
        </w:rPr>
        <w:t xml:space="preserve"> bij het </w:t>
      </w:r>
      <w:r w:rsidR="000A4E85">
        <w:rPr>
          <w:spacing w:val="-3"/>
          <w:lang w:eastAsia="nl-NL"/>
        </w:rPr>
        <w:t xml:space="preserve">toekennen van, en zo ja, </w:t>
      </w:r>
      <w:r>
        <w:rPr>
          <w:spacing w:val="-3"/>
          <w:lang w:eastAsia="nl-NL"/>
        </w:rPr>
        <w:t xml:space="preserve">bepalen van de hoogte van de billijke vergoeding en in hoeverre het ernstig verwijtbaar handelen van de werkgever daarin een rol </w:t>
      </w:r>
      <w:r w:rsidR="0007341F">
        <w:rPr>
          <w:spacing w:val="-3"/>
          <w:lang w:eastAsia="nl-NL"/>
        </w:rPr>
        <w:t xml:space="preserve">speelt. Het is de bedoeling dat, </w:t>
      </w:r>
      <w:r>
        <w:rPr>
          <w:spacing w:val="-3"/>
          <w:lang w:eastAsia="nl-NL"/>
        </w:rPr>
        <w:t>na het lezen van het onderzoeksrapport, Van Di</w:t>
      </w:r>
      <w:r w:rsidR="0007341F">
        <w:rPr>
          <w:spacing w:val="-3"/>
          <w:lang w:eastAsia="nl-NL"/>
        </w:rPr>
        <w:t>epen en Van der Kroef Advocaten</w:t>
      </w:r>
      <w:r>
        <w:rPr>
          <w:spacing w:val="-3"/>
          <w:lang w:eastAsia="nl-NL"/>
        </w:rPr>
        <w:t xml:space="preserve"> haar cliënten nog beter kan bijstaan en adviseren bij </w:t>
      </w:r>
      <w:r w:rsidR="000A4E85">
        <w:rPr>
          <w:spacing w:val="-3"/>
          <w:lang w:eastAsia="nl-NL"/>
        </w:rPr>
        <w:t>vraagstukken</w:t>
      </w:r>
      <w:r>
        <w:rPr>
          <w:spacing w:val="-3"/>
          <w:lang w:eastAsia="nl-NL"/>
        </w:rPr>
        <w:t xml:space="preserve"> </w:t>
      </w:r>
      <w:r w:rsidR="000A4E85">
        <w:rPr>
          <w:spacing w:val="-3"/>
          <w:lang w:eastAsia="nl-NL"/>
        </w:rPr>
        <w:t>rondom</w:t>
      </w:r>
      <w:r>
        <w:rPr>
          <w:spacing w:val="-3"/>
          <w:lang w:eastAsia="nl-NL"/>
        </w:rPr>
        <w:t xml:space="preserve"> een billijke vergoeding.</w:t>
      </w:r>
    </w:p>
    <w:p w:rsidR="0085402F" w:rsidRDefault="000A4E85" w:rsidP="00D332C3">
      <w:pPr>
        <w:spacing w:line="360" w:lineRule="auto"/>
      </w:pPr>
      <w:r>
        <w:t>Voor de inwerkingtreding van de WWZ per 1 juli 2015</w:t>
      </w:r>
      <w:r w:rsidR="007F165E">
        <w:t xml:space="preserve"> werd </w:t>
      </w:r>
      <w:r w:rsidR="0007341F">
        <w:t>met behulp van de</w:t>
      </w:r>
      <w:r w:rsidR="007F165E">
        <w:t xml:space="preserve"> kantonrechters</w:t>
      </w:r>
      <w:r w:rsidR="0007341F">
        <w:t>formule een ontslagvergoeding bere</w:t>
      </w:r>
      <w:r w:rsidR="007F165E">
        <w:t>kend. Tegenwoo</w:t>
      </w:r>
      <w:r w:rsidR="0007341F">
        <w:t>rdig krijgt de werknemer, mits h</w:t>
      </w:r>
      <w:r w:rsidR="007F165E">
        <w:t>ij zich niet ernstig verwijtbaar heeft gedragen, een transitievergoeding uitgekeerd. Naast de transitievergoeding kan er ook een billijke vergoeding worden toegekend. De voorwaarden voor het toekennen van de billijke vergoeding zijn, volgens de literatuur en de wetgeving, heel streng</w:t>
      </w:r>
      <w:r w:rsidR="0007341F">
        <w:t>. H</w:t>
      </w:r>
      <w:r w:rsidR="007F165E">
        <w:t xml:space="preserve">et toekennen van de billijke vergoeding </w:t>
      </w:r>
      <w:r w:rsidR="0007341F">
        <w:t xml:space="preserve">wordt daarom </w:t>
      </w:r>
      <w:r w:rsidR="007F165E">
        <w:t xml:space="preserve">ook wel het ‘muizengaatje’ genoemd. </w:t>
      </w:r>
    </w:p>
    <w:p w:rsidR="00E85C39" w:rsidRDefault="007F165E" w:rsidP="00D332C3">
      <w:pPr>
        <w:spacing w:line="360" w:lineRule="auto"/>
      </w:pPr>
      <w:r>
        <w:t xml:space="preserve">Wat betreft de hoogte van </w:t>
      </w:r>
      <w:r w:rsidR="00FA6058">
        <w:t xml:space="preserve">de </w:t>
      </w:r>
      <w:r>
        <w:t xml:space="preserve">billijke vergoeding is er </w:t>
      </w:r>
      <w:r w:rsidR="00FA6058">
        <w:t xml:space="preserve">in de wetgeving en de literatuur </w:t>
      </w:r>
      <w:r>
        <w:t xml:space="preserve">niets opgenomen. Kantonrechters zijn vrij om de hoogte van de billijke vergoeding te bepalen. De hoogte dient in relatie te staan tot </w:t>
      </w:r>
      <w:r w:rsidR="00FA6058">
        <w:t>het</w:t>
      </w:r>
      <w:r>
        <w:t xml:space="preserve"> ernstig verwijtba</w:t>
      </w:r>
      <w:r w:rsidR="00FC2DD8">
        <w:t>ar</w:t>
      </w:r>
      <w:r>
        <w:t xml:space="preserve"> handelen en nalaten van de werkgever. De kantonrechter mag wel rekening houden met de financiële situatie van de werkgever. </w:t>
      </w:r>
      <w:r w:rsidR="0085402F">
        <w:t xml:space="preserve">Dit maakt het voor veel advocaten erg lastig om in te schatten </w:t>
      </w:r>
      <w:r w:rsidR="00FA6058">
        <w:t>welk</w:t>
      </w:r>
      <w:r w:rsidR="0085402F">
        <w:t xml:space="preserve"> bedrag er a</w:t>
      </w:r>
      <w:r w:rsidR="00FA6058">
        <w:t>ls</w:t>
      </w:r>
      <w:r w:rsidR="0085402F">
        <w:t xml:space="preserve"> billijke ve</w:t>
      </w:r>
      <w:r w:rsidR="0007341F">
        <w:t>rgoeding dient te worden betaald</w:t>
      </w:r>
      <w:r w:rsidR="0085402F">
        <w:t>, of</w:t>
      </w:r>
      <w:r w:rsidR="00687EB8">
        <w:t>,</w:t>
      </w:r>
      <w:r w:rsidR="0085402F">
        <w:t xml:space="preserve"> indien de cliënt werknemer is, w</w:t>
      </w:r>
      <w:r w:rsidR="00FC2DD8">
        <w:t>elk</w:t>
      </w:r>
      <w:r w:rsidR="0085402F">
        <w:t xml:space="preserve"> bedrag </w:t>
      </w:r>
      <w:r w:rsidR="00FC2DD8">
        <w:t>de</w:t>
      </w:r>
      <w:r w:rsidR="0085402F">
        <w:t xml:space="preserve"> cliënt uitgekeerd krijgt en of het interessant is om een zaak aan te spannen. </w:t>
      </w:r>
    </w:p>
    <w:p w:rsidR="00B545A1" w:rsidRDefault="0085402F" w:rsidP="00D332C3">
      <w:pPr>
        <w:spacing w:line="360" w:lineRule="auto"/>
      </w:pPr>
      <w:r>
        <w:t>In dit rapport is uitgebreid onderzoek gedaan naar de praktijk.</w:t>
      </w:r>
      <w:r w:rsidR="0007341F">
        <w:t xml:space="preserve"> </w:t>
      </w:r>
      <w:r>
        <w:t xml:space="preserve">Uit het onderzoek blijkt dat het ‘muizengaatje’ niet zo klein is als het wordt omschreven in de literatuur en wetgeving. Het komt </w:t>
      </w:r>
      <w:r w:rsidR="00FC2DD8">
        <w:t xml:space="preserve">immers </w:t>
      </w:r>
      <w:r>
        <w:t xml:space="preserve">vaak voor dat de billijke vergoeding wordt toegekend. </w:t>
      </w:r>
    </w:p>
    <w:p w:rsidR="0085402F" w:rsidRDefault="00FC2DD8" w:rsidP="00D332C3">
      <w:pPr>
        <w:spacing w:line="360" w:lineRule="auto"/>
      </w:pPr>
      <w:r>
        <w:lastRenderedPageBreak/>
        <w:t>V</w:t>
      </w:r>
      <w:r w:rsidR="0085402F">
        <w:t>eel voorkomende omstandigheden waar</w:t>
      </w:r>
      <w:r>
        <w:t>onder</w:t>
      </w:r>
      <w:r w:rsidR="0085402F">
        <w:t xml:space="preserve"> de billijke vergoeding wordt toegekend zijn</w:t>
      </w:r>
      <w:r w:rsidR="00FA6058">
        <w:t>:</w:t>
      </w:r>
      <w:r w:rsidR="0085402F">
        <w:t xml:space="preserve"> </w:t>
      </w:r>
      <w:r w:rsidR="00FA6058">
        <w:t xml:space="preserve">de </w:t>
      </w:r>
      <w:r w:rsidR="0085402F">
        <w:t xml:space="preserve">werkgever zet onterechte middelen in als demotie, ontslag op staande voet, schorsing en </w:t>
      </w:r>
      <w:r w:rsidR="0007341F">
        <w:t xml:space="preserve">op </w:t>
      </w:r>
      <w:r w:rsidR="0085402F">
        <w:t>non-actiefstelling zonder behoud van loon. Indien de</w:t>
      </w:r>
      <w:r w:rsidR="0007341F">
        <w:t xml:space="preserve"> werkgever nalatig is geweest in</w:t>
      </w:r>
      <w:r w:rsidR="0085402F">
        <w:t xml:space="preserve"> het verbeteren van de arbeidsrelatie wordt </w:t>
      </w:r>
      <w:r w:rsidR="00FA6058">
        <w:t xml:space="preserve">in veel gevallen </w:t>
      </w:r>
      <w:r w:rsidR="0085402F">
        <w:t xml:space="preserve">ook een billijke vergoeding toegekend. </w:t>
      </w:r>
    </w:p>
    <w:p w:rsidR="0085402F" w:rsidRDefault="0085402F" w:rsidP="00D332C3">
      <w:pPr>
        <w:spacing w:line="360" w:lineRule="auto"/>
      </w:pPr>
      <w:r>
        <w:t xml:space="preserve">Het </w:t>
      </w:r>
      <w:r w:rsidR="0025580B">
        <w:t xml:space="preserve">komt </w:t>
      </w:r>
      <w:r>
        <w:t>wel eens voor dat het handelen van de werkgever het gevol</w:t>
      </w:r>
      <w:r w:rsidR="0007341F">
        <w:t>g</w:t>
      </w:r>
      <w:r>
        <w:t xml:space="preserve"> was van het verwijtba</w:t>
      </w:r>
      <w:r w:rsidR="00FA6058">
        <w:t>a</w:t>
      </w:r>
      <w:r>
        <w:t>r</w:t>
      </w:r>
      <w:r w:rsidR="0007341F">
        <w:t xml:space="preserve"> gedrag van de werknemer. In </w:t>
      </w:r>
      <w:r>
        <w:t>een dergelijk geval kan de billijke vergoeding worden afgewezen. Het gedrag van de werknemer speelt dus ook een rol bij het bepalen of de billijke vergoeding moet worden toegekend.</w:t>
      </w:r>
    </w:p>
    <w:p w:rsidR="0025580B" w:rsidRDefault="0025580B" w:rsidP="00D332C3">
      <w:pPr>
        <w:spacing w:line="360" w:lineRule="auto"/>
      </w:pPr>
      <w:r>
        <w:t>Uit</w:t>
      </w:r>
      <w:r w:rsidR="00393632">
        <w:t xml:space="preserve"> het onderzoek blijkt </w:t>
      </w:r>
      <w:r w:rsidR="00624C68">
        <w:t>tevens</w:t>
      </w:r>
      <w:r w:rsidR="00393632">
        <w:t xml:space="preserve"> dat</w:t>
      </w:r>
      <w:r>
        <w:t xml:space="preserve"> bij het bepalen van de hoogte van de billijke vergoeding er toch wordt gekeken naar de lengte van het dienstverband, </w:t>
      </w:r>
      <w:r w:rsidR="00FA6058">
        <w:t xml:space="preserve">de </w:t>
      </w:r>
      <w:r>
        <w:t xml:space="preserve">hoogte van </w:t>
      </w:r>
      <w:r w:rsidR="00FC2DD8">
        <w:t>het</w:t>
      </w:r>
      <w:r>
        <w:t xml:space="preserve"> bruto maandsalaris en, zoals ook uit de literatuur en wetgeving </w:t>
      </w:r>
      <w:r w:rsidR="00FA6058">
        <w:t xml:space="preserve">is </w:t>
      </w:r>
      <w:r>
        <w:t xml:space="preserve">te halen, naar de ernst van het verwijtbaar handelen. Kantonrechters houden </w:t>
      </w:r>
      <w:r w:rsidR="000A4E85">
        <w:t xml:space="preserve">daarnaast ook </w:t>
      </w:r>
      <w:r>
        <w:t>rekening met zowel de fina</w:t>
      </w:r>
      <w:r w:rsidR="0007341F">
        <w:t>n</w:t>
      </w:r>
      <w:r>
        <w:t xml:space="preserve">ciële situatie van de werkgever als met de kansen op de arbeidsmarkt van de werknemer. </w:t>
      </w:r>
    </w:p>
    <w:p w:rsidR="0007341F" w:rsidRPr="0085402F" w:rsidRDefault="00AF7541" w:rsidP="00D332C3">
      <w:pPr>
        <w:spacing w:line="360" w:lineRule="auto"/>
      </w:pPr>
      <w:r>
        <w:t>Uit het voorgaande is duidelijk geworden welke factoren een rol spelen bij het</w:t>
      </w:r>
      <w:r w:rsidR="000A4E85">
        <w:t xml:space="preserve"> toekennen van, en zo ja,</w:t>
      </w:r>
      <w:r>
        <w:t xml:space="preserve"> bepalen van de hoogte van de billijke vergoeding. Deze factoren dienen slechts als indicatie en hoeven niet altijd een rol te spelen bij het bepalen van de hoogte van de billijke vergoeding. </w:t>
      </w:r>
      <w:r w:rsidR="00FA6058">
        <w:t>In</w:t>
      </w:r>
      <w:r>
        <w:t xml:space="preserve"> hoofdstuk 5 van dit rapport worden aanbevelingen gedaan aan de opdrachtgever. Deze aanbevelingen zijn </w:t>
      </w:r>
      <w:r w:rsidR="003E0C33">
        <w:t>gebaseerd</w:t>
      </w:r>
      <w:r>
        <w:t xml:space="preserve"> op de uit</w:t>
      </w:r>
      <w:r w:rsidR="00FA6058">
        <w:t>komsten</w:t>
      </w:r>
      <w:r>
        <w:t xml:space="preserve"> van het onderzoek en kunnen worden gebruikt als leidraad bij het bijstaan van een cliënt. </w:t>
      </w:r>
    </w:p>
    <w:p w:rsidR="007E6428" w:rsidRDefault="007E6428">
      <w:pPr>
        <w:rPr>
          <w:b/>
          <w:sz w:val="24"/>
          <w:szCs w:val="24"/>
        </w:rPr>
      </w:pPr>
      <w:r>
        <w:rPr>
          <w:b/>
          <w:sz w:val="24"/>
          <w:szCs w:val="24"/>
        </w:rPr>
        <w:br w:type="page"/>
      </w:r>
    </w:p>
    <w:sdt>
      <w:sdtPr>
        <w:rPr>
          <w:rFonts w:asciiTheme="minorHAnsi" w:eastAsia="MS Mincho" w:hAnsiTheme="minorHAnsi" w:cstheme="minorBidi"/>
          <w:b w:val="0"/>
          <w:bCs w:val="0"/>
          <w:color w:val="auto"/>
          <w:sz w:val="22"/>
          <w:szCs w:val="22"/>
          <w:lang w:eastAsia="en-US"/>
        </w:rPr>
        <w:id w:val="1285235492"/>
        <w:docPartObj>
          <w:docPartGallery w:val="Table of Contents"/>
          <w:docPartUnique/>
        </w:docPartObj>
      </w:sdtPr>
      <w:sdtContent>
        <w:p w:rsidR="004E4AFA" w:rsidRPr="004E4AFA" w:rsidRDefault="004E4AFA">
          <w:pPr>
            <w:pStyle w:val="Kopvaninhoudsopgave"/>
            <w:rPr>
              <w:color w:val="auto"/>
            </w:rPr>
          </w:pPr>
          <w:r w:rsidRPr="004E4AFA">
            <w:rPr>
              <w:color w:val="auto"/>
            </w:rPr>
            <w:t>Inhoudsopgave</w:t>
          </w:r>
        </w:p>
        <w:p w:rsidR="00F11DD5" w:rsidRDefault="004E4AF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72509258" w:history="1">
            <w:r w:rsidR="00F11DD5" w:rsidRPr="00DC1321">
              <w:rPr>
                <w:rStyle w:val="Hyperlink"/>
                <w:noProof/>
              </w:rPr>
              <w:t>Samenvatting</w:t>
            </w:r>
            <w:r w:rsidR="00F11DD5">
              <w:rPr>
                <w:noProof/>
                <w:webHidden/>
              </w:rPr>
              <w:tab/>
            </w:r>
            <w:r w:rsidR="00F11DD5">
              <w:rPr>
                <w:noProof/>
                <w:webHidden/>
              </w:rPr>
              <w:fldChar w:fldCharType="begin"/>
            </w:r>
            <w:r w:rsidR="00F11DD5">
              <w:rPr>
                <w:noProof/>
                <w:webHidden/>
              </w:rPr>
              <w:instrText xml:space="preserve"> PAGEREF _Toc472509258 \h </w:instrText>
            </w:r>
            <w:r w:rsidR="00F11DD5">
              <w:rPr>
                <w:noProof/>
                <w:webHidden/>
              </w:rPr>
            </w:r>
            <w:r w:rsidR="00F11DD5">
              <w:rPr>
                <w:noProof/>
                <w:webHidden/>
              </w:rPr>
              <w:fldChar w:fldCharType="separate"/>
            </w:r>
            <w:r w:rsidR="001812A5">
              <w:rPr>
                <w:noProof/>
                <w:webHidden/>
              </w:rPr>
              <w:t>3</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59" w:history="1">
            <w:r w:rsidR="00F11DD5" w:rsidRPr="00DC1321">
              <w:rPr>
                <w:rStyle w:val="Hyperlink"/>
                <w:noProof/>
              </w:rPr>
              <w:t>Hoofdstuk 1: Inleiding</w:t>
            </w:r>
            <w:r w:rsidR="00F11DD5">
              <w:rPr>
                <w:noProof/>
                <w:webHidden/>
              </w:rPr>
              <w:tab/>
            </w:r>
            <w:r w:rsidR="00F11DD5">
              <w:rPr>
                <w:noProof/>
                <w:webHidden/>
              </w:rPr>
              <w:fldChar w:fldCharType="begin"/>
            </w:r>
            <w:r w:rsidR="00F11DD5">
              <w:rPr>
                <w:noProof/>
                <w:webHidden/>
              </w:rPr>
              <w:instrText xml:space="preserve"> PAGEREF _Toc472509259 \h </w:instrText>
            </w:r>
            <w:r w:rsidR="00F11DD5">
              <w:rPr>
                <w:noProof/>
                <w:webHidden/>
              </w:rPr>
            </w:r>
            <w:r w:rsidR="00F11DD5">
              <w:rPr>
                <w:noProof/>
                <w:webHidden/>
              </w:rPr>
              <w:fldChar w:fldCharType="separate"/>
            </w:r>
            <w:r w:rsidR="001812A5">
              <w:rPr>
                <w:noProof/>
                <w:webHidden/>
              </w:rPr>
              <w:t>6</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0" w:history="1">
            <w:r w:rsidR="00F11DD5" w:rsidRPr="00DC1321">
              <w:rPr>
                <w:rStyle w:val="Hyperlink"/>
                <w:noProof/>
              </w:rPr>
              <w:t>1.1 Probleemanalyse</w:t>
            </w:r>
            <w:r w:rsidR="00F11DD5">
              <w:rPr>
                <w:noProof/>
                <w:webHidden/>
              </w:rPr>
              <w:tab/>
            </w:r>
            <w:r w:rsidR="00F11DD5">
              <w:rPr>
                <w:noProof/>
                <w:webHidden/>
              </w:rPr>
              <w:fldChar w:fldCharType="begin"/>
            </w:r>
            <w:r w:rsidR="00F11DD5">
              <w:rPr>
                <w:noProof/>
                <w:webHidden/>
              </w:rPr>
              <w:instrText xml:space="preserve"> PAGEREF _Toc472509260 \h </w:instrText>
            </w:r>
            <w:r w:rsidR="00F11DD5">
              <w:rPr>
                <w:noProof/>
                <w:webHidden/>
              </w:rPr>
            </w:r>
            <w:r w:rsidR="00F11DD5">
              <w:rPr>
                <w:noProof/>
                <w:webHidden/>
              </w:rPr>
              <w:fldChar w:fldCharType="separate"/>
            </w:r>
            <w:r w:rsidR="001812A5">
              <w:rPr>
                <w:noProof/>
                <w:webHidden/>
              </w:rPr>
              <w:t>6</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1" w:history="1">
            <w:r w:rsidR="00F11DD5" w:rsidRPr="00DC1321">
              <w:rPr>
                <w:rStyle w:val="Hyperlink"/>
                <w:noProof/>
              </w:rPr>
              <w:t>1.2 Doelstelling, centrale vraag en deelvragen</w:t>
            </w:r>
            <w:r w:rsidR="00F11DD5">
              <w:rPr>
                <w:noProof/>
                <w:webHidden/>
              </w:rPr>
              <w:tab/>
            </w:r>
            <w:r w:rsidR="00F11DD5">
              <w:rPr>
                <w:noProof/>
                <w:webHidden/>
              </w:rPr>
              <w:fldChar w:fldCharType="begin"/>
            </w:r>
            <w:r w:rsidR="00F11DD5">
              <w:rPr>
                <w:noProof/>
                <w:webHidden/>
              </w:rPr>
              <w:instrText xml:space="preserve"> PAGEREF _Toc472509261 \h </w:instrText>
            </w:r>
            <w:r w:rsidR="00F11DD5">
              <w:rPr>
                <w:noProof/>
                <w:webHidden/>
              </w:rPr>
            </w:r>
            <w:r w:rsidR="00F11DD5">
              <w:rPr>
                <w:noProof/>
                <w:webHidden/>
              </w:rPr>
              <w:fldChar w:fldCharType="separate"/>
            </w:r>
            <w:r w:rsidR="001812A5">
              <w:rPr>
                <w:noProof/>
                <w:webHidden/>
              </w:rPr>
              <w:t>8</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2" w:history="1">
            <w:r w:rsidR="00F11DD5" w:rsidRPr="00DC1321">
              <w:rPr>
                <w:rStyle w:val="Hyperlink"/>
                <w:noProof/>
                <w:lang w:eastAsia="nl-NL"/>
              </w:rPr>
              <w:t>1.3 Onderzoeksmethode</w:t>
            </w:r>
            <w:r w:rsidR="00F11DD5">
              <w:rPr>
                <w:noProof/>
                <w:webHidden/>
              </w:rPr>
              <w:tab/>
            </w:r>
            <w:r w:rsidR="00F11DD5">
              <w:rPr>
                <w:noProof/>
                <w:webHidden/>
              </w:rPr>
              <w:fldChar w:fldCharType="begin"/>
            </w:r>
            <w:r w:rsidR="00F11DD5">
              <w:rPr>
                <w:noProof/>
                <w:webHidden/>
              </w:rPr>
              <w:instrText xml:space="preserve"> PAGEREF _Toc472509262 \h </w:instrText>
            </w:r>
            <w:r w:rsidR="00F11DD5">
              <w:rPr>
                <w:noProof/>
                <w:webHidden/>
              </w:rPr>
            </w:r>
            <w:r w:rsidR="00F11DD5">
              <w:rPr>
                <w:noProof/>
                <w:webHidden/>
              </w:rPr>
              <w:fldChar w:fldCharType="separate"/>
            </w:r>
            <w:r w:rsidR="001812A5">
              <w:rPr>
                <w:noProof/>
                <w:webHidden/>
              </w:rPr>
              <w:t>10</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3" w:history="1">
            <w:r w:rsidR="00F11DD5" w:rsidRPr="00DC1321">
              <w:rPr>
                <w:rStyle w:val="Hyperlink"/>
                <w:noProof/>
              </w:rPr>
              <w:t>1.4 Operationaliseren van begrippen</w:t>
            </w:r>
            <w:r w:rsidR="00F11DD5">
              <w:rPr>
                <w:noProof/>
                <w:webHidden/>
              </w:rPr>
              <w:tab/>
            </w:r>
            <w:r w:rsidR="00F11DD5">
              <w:rPr>
                <w:noProof/>
                <w:webHidden/>
              </w:rPr>
              <w:fldChar w:fldCharType="begin"/>
            </w:r>
            <w:r w:rsidR="00F11DD5">
              <w:rPr>
                <w:noProof/>
                <w:webHidden/>
              </w:rPr>
              <w:instrText xml:space="preserve"> PAGEREF _Toc472509263 \h </w:instrText>
            </w:r>
            <w:r w:rsidR="00F11DD5">
              <w:rPr>
                <w:noProof/>
                <w:webHidden/>
              </w:rPr>
            </w:r>
            <w:r w:rsidR="00F11DD5">
              <w:rPr>
                <w:noProof/>
                <w:webHidden/>
              </w:rPr>
              <w:fldChar w:fldCharType="separate"/>
            </w:r>
            <w:r w:rsidR="001812A5">
              <w:rPr>
                <w:noProof/>
                <w:webHidden/>
              </w:rPr>
              <w:t>21</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64" w:history="1">
            <w:r w:rsidR="00F11DD5" w:rsidRPr="00DC1321">
              <w:rPr>
                <w:rStyle w:val="Hyperlink"/>
                <w:noProof/>
              </w:rPr>
              <w:t>Hoofdstuk 2: Juridische kader</w:t>
            </w:r>
            <w:r w:rsidR="00F11DD5">
              <w:rPr>
                <w:noProof/>
                <w:webHidden/>
              </w:rPr>
              <w:tab/>
            </w:r>
            <w:r w:rsidR="00F11DD5">
              <w:rPr>
                <w:noProof/>
                <w:webHidden/>
              </w:rPr>
              <w:fldChar w:fldCharType="begin"/>
            </w:r>
            <w:r w:rsidR="00F11DD5">
              <w:rPr>
                <w:noProof/>
                <w:webHidden/>
              </w:rPr>
              <w:instrText xml:space="preserve"> PAGEREF _Toc472509264 \h </w:instrText>
            </w:r>
            <w:r w:rsidR="00F11DD5">
              <w:rPr>
                <w:noProof/>
                <w:webHidden/>
              </w:rPr>
            </w:r>
            <w:r w:rsidR="00F11DD5">
              <w:rPr>
                <w:noProof/>
                <w:webHidden/>
              </w:rPr>
              <w:fldChar w:fldCharType="separate"/>
            </w:r>
            <w:r w:rsidR="001812A5">
              <w:rPr>
                <w:noProof/>
                <w:webHidden/>
              </w:rPr>
              <w:t>22</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5" w:history="1">
            <w:r w:rsidR="00F11DD5" w:rsidRPr="00DC1321">
              <w:rPr>
                <w:rStyle w:val="Hyperlink"/>
                <w:noProof/>
                <w:lang w:eastAsia="nl-NL"/>
              </w:rPr>
              <w:t>2.1 Wat is de billijke vergoeding volgens de relevante literatuur en de wet- en regelgeving?</w:t>
            </w:r>
            <w:r w:rsidR="00F11DD5">
              <w:rPr>
                <w:noProof/>
                <w:webHidden/>
              </w:rPr>
              <w:tab/>
            </w:r>
            <w:r w:rsidR="00F11DD5">
              <w:rPr>
                <w:noProof/>
                <w:webHidden/>
              </w:rPr>
              <w:fldChar w:fldCharType="begin"/>
            </w:r>
            <w:r w:rsidR="00F11DD5">
              <w:rPr>
                <w:noProof/>
                <w:webHidden/>
              </w:rPr>
              <w:instrText xml:space="preserve"> PAGEREF _Toc472509265 \h </w:instrText>
            </w:r>
            <w:r w:rsidR="00F11DD5">
              <w:rPr>
                <w:noProof/>
                <w:webHidden/>
              </w:rPr>
            </w:r>
            <w:r w:rsidR="00F11DD5">
              <w:rPr>
                <w:noProof/>
                <w:webHidden/>
              </w:rPr>
              <w:fldChar w:fldCharType="separate"/>
            </w:r>
            <w:r w:rsidR="001812A5">
              <w:rPr>
                <w:noProof/>
                <w:webHidden/>
              </w:rPr>
              <w:t>22</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6" w:history="1">
            <w:r w:rsidR="00F11DD5" w:rsidRPr="00DC1321">
              <w:rPr>
                <w:rStyle w:val="Hyperlink"/>
                <w:noProof/>
                <w:lang w:eastAsia="nl-NL"/>
              </w:rPr>
              <w:t>2.2 Onder welke omstandigheden is er sprake van ernstig verwijtbaar handelen van de werkgever en wordt volgens de literatuur en de wetgeving de billijke vergo</w:t>
            </w:r>
            <w:r w:rsidR="00F11DD5" w:rsidRPr="00DC1321">
              <w:rPr>
                <w:rStyle w:val="Hyperlink"/>
                <w:noProof/>
                <w:lang w:eastAsia="nl-NL"/>
              </w:rPr>
              <w:t>e</w:t>
            </w:r>
            <w:r w:rsidR="00F11DD5" w:rsidRPr="00DC1321">
              <w:rPr>
                <w:rStyle w:val="Hyperlink"/>
                <w:noProof/>
                <w:lang w:eastAsia="nl-NL"/>
              </w:rPr>
              <w:t>ding toegekend?</w:t>
            </w:r>
            <w:r w:rsidR="00F11DD5">
              <w:rPr>
                <w:noProof/>
                <w:webHidden/>
              </w:rPr>
              <w:tab/>
            </w:r>
            <w:r w:rsidR="00F11DD5">
              <w:rPr>
                <w:noProof/>
                <w:webHidden/>
              </w:rPr>
              <w:fldChar w:fldCharType="begin"/>
            </w:r>
            <w:r w:rsidR="00F11DD5">
              <w:rPr>
                <w:noProof/>
                <w:webHidden/>
              </w:rPr>
              <w:instrText xml:space="preserve"> PAGEREF _Toc472509266 \h </w:instrText>
            </w:r>
            <w:r w:rsidR="00F11DD5">
              <w:rPr>
                <w:noProof/>
                <w:webHidden/>
              </w:rPr>
            </w:r>
            <w:r w:rsidR="00F11DD5">
              <w:rPr>
                <w:noProof/>
                <w:webHidden/>
              </w:rPr>
              <w:fldChar w:fldCharType="separate"/>
            </w:r>
            <w:r w:rsidR="001812A5">
              <w:rPr>
                <w:noProof/>
                <w:webHidden/>
              </w:rPr>
              <w:t>25</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7" w:history="1">
            <w:r w:rsidR="00F11DD5" w:rsidRPr="00DC1321">
              <w:rPr>
                <w:rStyle w:val="Hyperlink"/>
                <w:noProof/>
                <w:lang w:eastAsia="nl-NL"/>
              </w:rPr>
              <w:t>2.3 Hoe w</w:t>
            </w:r>
            <w:r w:rsidR="00F11DD5" w:rsidRPr="00DC1321">
              <w:rPr>
                <w:rStyle w:val="Hyperlink"/>
                <w:noProof/>
                <w:lang w:eastAsia="nl-NL"/>
              </w:rPr>
              <w:t>o</w:t>
            </w:r>
            <w:r w:rsidR="00F11DD5" w:rsidRPr="00DC1321">
              <w:rPr>
                <w:rStyle w:val="Hyperlink"/>
                <w:noProof/>
                <w:lang w:eastAsia="nl-NL"/>
              </w:rPr>
              <w:t>rdt de hoogte van de billijke vergoeding bepaald volgens de literatuur en de wetgevi</w:t>
            </w:r>
            <w:r w:rsidR="00F11DD5" w:rsidRPr="00DC1321">
              <w:rPr>
                <w:rStyle w:val="Hyperlink"/>
                <w:noProof/>
                <w:lang w:eastAsia="nl-NL"/>
              </w:rPr>
              <w:t>n</w:t>
            </w:r>
            <w:r w:rsidR="00F11DD5" w:rsidRPr="00DC1321">
              <w:rPr>
                <w:rStyle w:val="Hyperlink"/>
                <w:noProof/>
                <w:lang w:eastAsia="nl-NL"/>
              </w:rPr>
              <w:t>g?</w:t>
            </w:r>
            <w:r w:rsidR="00F11DD5">
              <w:rPr>
                <w:noProof/>
                <w:webHidden/>
              </w:rPr>
              <w:tab/>
            </w:r>
            <w:r w:rsidR="00F11DD5">
              <w:rPr>
                <w:noProof/>
                <w:webHidden/>
              </w:rPr>
              <w:fldChar w:fldCharType="begin"/>
            </w:r>
            <w:r w:rsidR="00F11DD5">
              <w:rPr>
                <w:noProof/>
                <w:webHidden/>
              </w:rPr>
              <w:instrText xml:space="preserve"> PAGEREF _Toc472509267 \h </w:instrText>
            </w:r>
            <w:r w:rsidR="00F11DD5">
              <w:rPr>
                <w:noProof/>
                <w:webHidden/>
              </w:rPr>
            </w:r>
            <w:r w:rsidR="00F11DD5">
              <w:rPr>
                <w:noProof/>
                <w:webHidden/>
              </w:rPr>
              <w:fldChar w:fldCharType="separate"/>
            </w:r>
            <w:r w:rsidR="001812A5">
              <w:rPr>
                <w:noProof/>
                <w:webHidden/>
              </w:rPr>
              <w:t>27</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68" w:history="1">
            <w:r w:rsidR="00F11DD5" w:rsidRPr="00DC1321">
              <w:rPr>
                <w:rStyle w:val="Hyperlink"/>
                <w:noProof/>
                <w:lang w:eastAsia="nl-NL"/>
              </w:rPr>
              <w:t>Hoof</w:t>
            </w:r>
            <w:r w:rsidR="00F11DD5" w:rsidRPr="00DC1321">
              <w:rPr>
                <w:rStyle w:val="Hyperlink"/>
                <w:noProof/>
                <w:lang w:eastAsia="ja-JP"/>
              </w:rPr>
              <w:t>d</w:t>
            </w:r>
            <w:r w:rsidR="00F11DD5" w:rsidRPr="00DC1321">
              <w:rPr>
                <w:rStyle w:val="Hyperlink"/>
                <w:noProof/>
                <w:lang w:eastAsia="nl-NL"/>
              </w:rPr>
              <w:t>stuk 3: Het jurisprudentieonderzoek</w:t>
            </w:r>
            <w:r w:rsidR="00F11DD5">
              <w:rPr>
                <w:noProof/>
                <w:webHidden/>
              </w:rPr>
              <w:tab/>
            </w:r>
            <w:r w:rsidR="00F11DD5">
              <w:rPr>
                <w:noProof/>
                <w:webHidden/>
              </w:rPr>
              <w:fldChar w:fldCharType="begin"/>
            </w:r>
            <w:r w:rsidR="00F11DD5">
              <w:rPr>
                <w:noProof/>
                <w:webHidden/>
              </w:rPr>
              <w:instrText xml:space="preserve"> PAGEREF _Toc472509268 \h </w:instrText>
            </w:r>
            <w:r w:rsidR="00F11DD5">
              <w:rPr>
                <w:noProof/>
                <w:webHidden/>
              </w:rPr>
            </w:r>
            <w:r w:rsidR="00F11DD5">
              <w:rPr>
                <w:noProof/>
                <w:webHidden/>
              </w:rPr>
              <w:fldChar w:fldCharType="separate"/>
            </w:r>
            <w:r w:rsidR="001812A5">
              <w:rPr>
                <w:noProof/>
                <w:webHidden/>
              </w:rPr>
              <w:t>30</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69" w:history="1">
            <w:r w:rsidR="00F11DD5" w:rsidRPr="00DC1321">
              <w:rPr>
                <w:rStyle w:val="Hyperlink"/>
                <w:noProof/>
                <w:lang w:eastAsia="nl-NL"/>
              </w:rPr>
              <w:t>3.1 Ernstig verwijtbaar handelen van de werkgever</w:t>
            </w:r>
            <w:r w:rsidR="00F11DD5">
              <w:rPr>
                <w:noProof/>
                <w:webHidden/>
              </w:rPr>
              <w:tab/>
            </w:r>
            <w:r w:rsidR="00F11DD5">
              <w:rPr>
                <w:noProof/>
                <w:webHidden/>
              </w:rPr>
              <w:fldChar w:fldCharType="begin"/>
            </w:r>
            <w:r w:rsidR="00F11DD5">
              <w:rPr>
                <w:noProof/>
                <w:webHidden/>
              </w:rPr>
              <w:instrText xml:space="preserve"> PAGEREF _Toc472509269 \h </w:instrText>
            </w:r>
            <w:r w:rsidR="00F11DD5">
              <w:rPr>
                <w:noProof/>
                <w:webHidden/>
              </w:rPr>
            </w:r>
            <w:r w:rsidR="00F11DD5">
              <w:rPr>
                <w:noProof/>
                <w:webHidden/>
              </w:rPr>
              <w:fldChar w:fldCharType="separate"/>
            </w:r>
            <w:r w:rsidR="001812A5">
              <w:rPr>
                <w:noProof/>
                <w:webHidden/>
              </w:rPr>
              <w:t>30</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70" w:history="1">
            <w:r w:rsidR="00F11DD5" w:rsidRPr="00DC1321">
              <w:rPr>
                <w:rStyle w:val="Hyperlink"/>
                <w:noProof/>
                <w:lang w:eastAsia="nl-NL"/>
              </w:rPr>
              <w:t>3.2 Geen sprake van ernstig verwijtbaar handelen van de werkgever</w:t>
            </w:r>
            <w:r w:rsidR="00F11DD5">
              <w:rPr>
                <w:noProof/>
                <w:webHidden/>
              </w:rPr>
              <w:tab/>
            </w:r>
            <w:r w:rsidR="00F11DD5">
              <w:rPr>
                <w:noProof/>
                <w:webHidden/>
              </w:rPr>
              <w:fldChar w:fldCharType="begin"/>
            </w:r>
            <w:r w:rsidR="00F11DD5">
              <w:rPr>
                <w:noProof/>
                <w:webHidden/>
              </w:rPr>
              <w:instrText xml:space="preserve"> PAGEREF _Toc472509270 \h </w:instrText>
            </w:r>
            <w:r w:rsidR="00F11DD5">
              <w:rPr>
                <w:noProof/>
                <w:webHidden/>
              </w:rPr>
            </w:r>
            <w:r w:rsidR="00F11DD5">
              <w:rPr>
                <w:noProof/>
                <w:webHidden/>
              </w:rPr>
              <w:fldChar w:fldCharType="separate"/>
            </w:r>
            <w:r w:rsidR="001812A5">
              <w:rPr>
                <w:noProof/>
                <w:webHidden/>
              </w:rPr>
              <w:t>36</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71" w:history="1">
            <w:r w:rsidR="00F11DD5" w:rsidRPr="00DC1321">
              <w:rPr>
                <w:rStyle w:val="Hyperlink"/>
                <w:noProof/>
                <w:lang w:eastAsia="nl-NL"/>
              </w:rPr>
              <w:t>3.3 Bepalen hoogte billijke vergoeding</w:t>
            </w:r>
            <w:r w:rsidR="00F11DD5">
              <w:rPr>
                <w:noProof/>
                <w:webHidden/>
              </w:rPr>
              <w:tab/>
            </w:r>
            <w:r w:rsidR="00F11DD5">
              <w:rPr>
                <w:noProof/>
                <w:webHidden/>
              </w:rPr>
              <w:fldChar w:fldCharType="begin"/>
            </w:r>
            <w:r w:rsidR="00F11DD5">
              <w:rPr>
                <w:noProof/>
                <w:webHidden/>
              </w:rPr>
              <w:instrText xml:space="preserve"> PAGEREF _Toc472509271 \h </w:instrText>
            </w:r>
            <w:r w:rsidR="00F11DD5">
              <w:rPr>
                <w:noProof/>
                <w:webHidden/>
              </w:rPr>
            </w:r>
            <w:r w:rsidR="00F11DD5">
              <w:rPr>
                <w:noProof/>
                <w:webHidden/>
              </w:rPr>
              <w:fldChar w:fldCharType="separate"/>
            </w:r>
            <w:r w:rsidR="001812A5">
              <w:rPr>
                <w:noProof/>
                <w:webHidden/>
              </w:rPr>
              <w:t>40</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72" w:history="1">
            <w:r w:rsidR="00F11DD5" w:rsidRPr="00DC1321">
              <w:rPr>
                <w:rStyle w:val="Hyperlink"/>
                <w:noProof/>
                <w:lang w:eastAsia="nl-NL"/>
              </w:rPr>
              <w:t>Hoofdstuk 4: Resultaten: beantwoording centrale vraag</w:t>
            </w:r>
            <w:r w:rsidR="00F11DD5">
              <w:rPr>
                <w:noProof/>
                <w:webHidden/>
              </w:rPr>
              <w:tab/>
            </w:r>
            <w:r w:rsidR="00F11DD5">
              <w:rPr>
                <w:noProof/>
                <w:webHidden/>
              </w:rPr>
              <w:fldChar w:fldCharType="begin"/>
            </w:r>
            <w:r w:rsidR="00F11DD5">
              <w:rPr>
                <w:noProof/>
                <w:webHidden/>
              </w:rPr>
              <w:instrText xml:space="preserve"> PAGEREF _Toc472509272 \h </w:instrText>
            </w:r>
            <w:r w:rsidR="00F11DD5">
              <w:rPr>
                <w:noProof/>
                <w:webHidden/>
              </w:rPr>
            </w:r>
            <w:r w:rsidR="00F11DD5">
              <w:rPr>
                <w:noProof/>
                <w:webHidden/>
              </w:rPr>
              <w:fldChar w:fldCharType="separate"/>
            </w:r>
            <w:r w:rsidR="001812A5">
              <w:rPr>
                <w:noProof/>
                <w:webHidden/>
              </w:rPr>
              <w:t>45</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73" w:history="1">
            <w:r w:rsidR="00F11DD5" w:rsidRPr="00DC1321">
              <w:rPr>
                <w:rStyle w:val="Hyperlink"/>
                <w:noProof/>
                <w:lang w:eastAsia="nl-NL"/>
              </w:rPr>
              <w:t>Hoofdstuk 5: Aanbevelingen</w:t>
            </w:r>
            <w:r w:rsidR="00F11DD5">
              <w:rPr>
                <w:noProof/>
                <w:webHidden/>
              </w:rPr>
              <w:tab/>
            </w:r>
            <w:r w:rsidR="00F11DD5">
              <w:rPr>
                <w:noProof/>
                <w:webHidden/>
              </w:rPr>
              <w:fldChar w:fldCharType="begin"/>
            </w:r>
            <w:r w:rsidR="00F11DD5">
              <w:rPr>
                <w:noProof/>
                <w:webHidden/>
              </w:rPr>
              <w:instrText xml:space="preserve"> PAGEREF _Toc472509273 \h </w:instrText>
            </w:r>
            <w:r w:rsidR="00F11DD5">
              <w:rPr>
                <w:noProof/>
                <w:webHidden/>
              </w:rPr>
            </w:r>
            <w:r w:rsidR="00F11DD5">
              <w:rPr>
                <w:noProof/>
                <w:webHidden/>
              </w:rPr>
              <w:fldChar w:fldCharType="separate"/>
            </w:r>
            <w:r w:rsidR="001812A5">
              <w:rPr>
                <w:noProof/>
                <w:webHidden/>
              </w:rPr>
              <w:t>48</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74" w:history="1">
            <w:r w:rsidR="00F11DD5" w:rsidRPr="00DC1321">
              <w:rPr>
                <w:rStyle w:val="Hyperlink"/>
                <w:noProof/>
              </w:rPr>
              <w:t>Bronnen- en Literatuurlijst</w:t>
            </w:r>
            <w:r w:rsidR="00F11DD5">
              <w:rPr>
                <w:noProof/>
                <w:webHidden/>
              </w:rPr>
              <w:tab/>
            </w:r>
            <w:r w:rsidR="00F11DD5">
              <w:rPr>
                <w:noProof/>
                <w:webHidden/>
              </w:rPr>
              <w:fldChar w:fldCharType="begin"/>
            </w:r>
            <w:r w:rsidR="00F11DD5">
              <w:rPr>
                <w:noProof/>
                <w:webHidden/>
              </w:rPr>
              <w:instrText xml:space="preserve"> PAGEREF _Toc472509274 \h </w:instrText>
            </w:r>
            <w:r w:rsidR="00F11DD5">
              <w:rPr>
                <w:noProof/>
                <w:webHidden/>
              </w:rPr>
            </w:r>
            <w:r w:rsidR="00F11DD5">
              <w:rPr>
                <w:noProof/>
                <w:webHidden/>
              </w:rPr>
              <w:fldChar w:fldCharType="separate"/>
            </w:r>
            <w:r w:rsidR="001812A5">
              <w:rPr>
                <w:noProof/>
                <w:webHidden/>
              </w:rPr>
              <w:t>51</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75" w:history="1">
            <w:r w:rsidR="00F11DD5" w:rsidRPr="00DC1321">
              <w:rPr>
                <w:rStyle w:val="Hyperlink"/>
                <w:noProof/>
              </w:rPr>
              <w:t>Jurisprude</w:t>
            </w:r>
            <w:r w:rsidR="00F11DD5" w:rsidRPr="00DC1321">
              <w:rPr>
                <w:rStyle w:val="Hyperlink"/>
                <w:noProof/>
              </w:rPr>
              <w:t>n</w:t>
            </w:r>
            <w:r w:rsidR="00F11DD5" w:rsidRPr="00DC1321">
              <w:rPr>
                <w:rStyle w:val="Hyperlink"/>
                <w:noProof/>
              </w:rPr>
              <w:t>tielijst</w:t>
            </w:r>
            <w:r w:rsidR="00F11DD5">
              <w:rPr>
                <w:noProof/>
                <w:webHidden/>
              </w:rPr>
              <w:tab/>
            </w:r>
            <w:r w:rsidR="00F11DD5">
              <w:rPr>
                <w:noProof/>
                <w:webHidden/>
              </w:rPr>
              <w:fldChar w:fldCharType="begin"/>
            </w:r>
            <w:r w:rsidR="00F11DD5">
              <w:rPr>
                <w:noProof/>
                <w:webHidden/>
              </w:rPr>
              <w:instrText xml:space="preserve"> PAGEREF _Toc472509275 \h </w:instrText>
            </w:r>
            <w:r w:rsidR="00F11DD5">
              <w:rPr>
                <w:noProof/>
                <w:webHidden/>
              </w:rPr>
            </w:r>
            <w:r w:rsidR="00F11DD5">
              <w:rPr>
                <w:noProof/>
                <w:webHidden/>
              </w:rPr>
              <w:fldChar w:fldCharType="separate"/>
            </w:r>
            <w:r w:rsidR="001812A5">
              <w:rPr>
                <w:noProof/>
                <w:webHidden/>
              </w:rPr>
              <w:t>53</w:t>
            </w:r>
            <w:r w:rsidR="00F11DD5">
              <w:rPr>
                <w:noProof/>
                <w:webHidden/>
              </w:rPr>
              <w:fldChar w:fldCharType="end"/>
            </w:r>
          </w:hyperlink>
        </w:p>
        <w:p w:rsidR="00F11DD5" w:rsidRDefault="000A4E85">
          <w:pPr>
            <w:pStyle w:val="Inhopg1"/>
            <w:tabs>
              <w:tab w:val="right" w:leader="dot" w:pos="9062"/>
            </w:tabs>
            <w:rPr>
              <w:rFonts w:eastAsiaTheme="minorEastAsia"/>
              <w:noProof/>
              <w:lang w:eastAsia="nl-NL"/>
            </w:rPr>
          </w:pPr>
          <w:hyperlink w:anchor="_Toc472509276" w:history="1">
            <w:r w:rsidR="00F11DD5" w:rsidRPr="00DC1321">
              <w:rPr>
                <w:rStyle w:val="Hyperlink"/>
                <w:noProof/>
              </w:rPr>
              <w:t>BIJLAGEN</w:t>
            </w:r>
            <w:r w:rsidR="00F11DD5">
              <w:rPr>
                <w:noProof/>
                <w:webHidden/>
              </w:rPr>
              <w:tab/>
            </w:r>
            <w:r w:rsidR="00F11DD5">
              <w:rPr>
                <w:noProof/>
                <w:webHidden/>
              </w:rPr>
              <w:fldChar w:fldCharType="begin"/>
            </w:r>
            <w:r w:rsidR="00F11DD5">
              <w:rPr>
                <w:noProof/>
                <w:webHidden/>
              </w:rPr>
              <w:instrText xml:space="preserve"> PAGEREF _Toc472509276 \h </w:instrText>
            </w:r>
            <w:r w:rsidR="00F11DD5">
              <w:rPr>
                <w:noProof/>
                <w:webHidden/>
              </w:rPr>
            </w:r>
            <w:r w:rsidR="00F11DD5">
              <w:rPr>
                <w:noProof/>
                <w:webHidden/>
              </w:rPr>
              <w:fldChar w:fldCharType="separate"/>
            </w:r>
            <w:r w:rsidR="001812A5">
              <w:rPr>
                <w:noProof/>
                <w:webHidden/>
              </w:rPr>
              <w:t>56</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77" w:history="1">
            <w:r w:rsidR="00F11DD5" w:rsidRPr="00DC1321">
              <w:rPr>
                <w:rStyle w:val="Hyperlink"/>
                <w:noProof/>
              </w:rPr>
              <w:t>BIJLAGE 1</w:t>
            </w:r>
            <w:r w:rsidR="00F11DD5">
              <w:rPr>
                <w:noProof/>
                <w:webHidden/>
              </w:rPr>
              <w:tab/>
            </w:r>
            <w:r w:rsidR="00F11DD5">
              <w:rPr>
                <w:noProof/>
                <w:webHidden/>
              </w:rPr>
              <w:fldChar w:fldCharType="begin"/>
            </w:r>
            <w:r w:rsidR="00F11DD5">
              <w:rPr>
                <w:noProof/>
                <w:webHidden/>
              </w:rPr>
              <w:instrText xml:space="preserve"> PAGEREF _Toc472509277 \h </w:instrText>
            </w:r>
            <w:r w:rsidR="00F11DD5">
              <w:rPr>
                <w:noProof/>
                <w:webHidden/>
              </w:rPr>
            </w:r>
            <w:r w:rsidR="00F11DD5">
              <w:rPr>
                <w:noProof/>
                <w:webHidden/>
              </w:rPr>
              <w:fldChar w:fldCharType="separate"/>
            </w:r>
            <w:r w:rsidR="001812A5">
              <w:rPr>
                <w:noProof/>
                <w:webHidden/>
              </w:rPr>
              <w:t>56</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78" w:history="1">
            <w:r w:rsidR="00F11DD5" w:rsidRPr="00DC1321">
              <w:rPr>
                <w:rStyle w:val="Hyperlink"/>
                <w:noProof/>
              </w:rPr>
              <w:t>BIJLAGE 2</w:t>
            </w:r>
            <w:r w:rsidR="00F11DD5">
              <w:rPr>
                <w:noProof/>
                <w:webHidden/>
              </w:rPr>
              <w:tab/>
            </w:r>
            <w:r w:rsidR="00F11DD5">
              <w:rPr>
                <w:noProof/>
                <w:webHidden/>
              </w:rPr>
              <w:fldChar w:fldCharType="begin"/>
            </w:r>
            <w:r w:rsidR="00F11DD5">
              <w:rPr>
                <w:noProof/>
                <w:webHidden/>
              </w:rPr>
              <w:instrText xml:space="preserve"> PAGEREF _Toc472509278 \h </w:instrText>
            </w:r>
            <w:r w:rsidR="00F11DD5">
              <w:rPr>
                <w:noProof/>
                <w:webHidden/>
              </w:rPr>
            </w:r>
            <w:r w:rsidR="00F11DD5">
              <w:rPr>
                <w:noProof/>
                <w:webHidden/>
              </w:rPr>
              <w:fldChar w:fldCharType="separate"/>
            </w:r>
            <w:r w:rsidR="001812A5">
              <w:rPr>
                <w:noProof/>
                <w:webHidden/>
              </w:rPr>
              <w:t>57</w:t>
            </w:r>
            <w:r w:rsidR="00F11DD5">
              <w:rPr>
                <w:noProof/>
                <w:webHidden/>
              </w:rPr>
              <w:fldChar w:fldCharType="end"/>
            </w:r>
          </w:hyperlink>
        </w:p>
        <w:p w:rsidR="00F11DD5" w:rsidRDefault="000A4E85">
          <w:pPr>
            <w:pStyle w:val="Inhopg2"/>
            <w:tabs>
              <w:tab w:val="right" w:leader="dot" w:pos="9062"/>
            </w:tabs>
            <w:rPr>
              <w:rFonts w:eastAsiaTheme="minorEastAsia"/>
              <w:noProof/>
              <w:lang w:eastAsia="nl-NL"/>
            </w:rPr>
          </w:pPr>
          <w:hyperlink w:anchor="_Toc472509279" w:history="1">
            <w:r w:rsidR="00F11DD5" w:rsidRPr="00DC1321">
              <w:rPr>
                <w:rStyle w:val="Hyperlink"/>
                <w:noProof/>
              </w:rPr>
              <w:t>BIJLAGE 3</w:t>
            </w:r>
            <w:r w:rsidR="00F11DD5">
              <w:rPr>
                <w:noProof/>
                <w:webHidden/>
              </w:rPr>
              <w:tab/>
            </w:r>
            <w:r w:rsidR="00F11DD5">
              <w:rPr>
                <w:noProof/>
                <w:webHidden/>
              </w:rPr>
              <w:fldChar w:fldCharType="begin"/>
            </w:r>
            <w:r w:rsidR="00F11DD5">
              <w:rPr>
                <w:noProof/>
                <w:webHidden/>
              </w:rPr>
              <w:instrText xml:space="preserve"> PAGEREF _Toc472509279 \h </w:instrText>
            </w:r>
            <w:r w:rsidR="00F11DD5">
              <w:rPr>
                <w:noProof/>
                <w:webHidden/>
              </w:rPr>
            </w:r>
            <w:r w:rsidR="00F11DD5">
              <w:rPr>
                <w:noProof/>
                <w:webHidden/>
              </w:rPr>
              <w:fldChar w:fldCharType="separate"/>
            </w:r>
            <w:r w:rsidR="001812A5">
              <w:rPr>
                <w:noProof/>
                <w:webHidden/>
              </w:rPr>
              <w:t>58</w:t>
            </w:r>
            <w:r w:rsidR="00F11DD5">
              <w:rPr>
                <w:noProof/>
                <w:webHidden/>
              </w:rPr>
              <w:fldChar w:fldCharType="end"/>
            </w:r>
          </w:hyperlink>
        </w:p>
        <w:p w:rsidR="004E4AFA" w:rsidRDefault="004E4AFA">
          <w:r>
            <w:rPr>
              <w:b/>
              <w:bCs/>
            </w:rPr>
            <w:fldChar w:fldCharType="end"/>
          </w:r>
        </w:p>
      </w:sdtContent>
    </w:sdt>
    <w:p w:rsidR="007E6428" w:rsidRDefault="007E6428">
      <w:pPr>
        <w:rPr>
          <w:rFonts w:eastAsia="Times New Roman" w:cs="Times New Roman"/>
          <w:color w:val="000000"/>
          <w:lang w:eastAsia="zh-CN"/>
        </w:rPr>
      </w:pPr>
      <w:r>
        <w:rPr>
          <w:color w:val="000000"/>
        </w:rPr>
        <w:br w:type="page"/>
      </w:r>
    </w:p>
    <w:p w:rsidR="00FB67CA" w:rsidRPr="00F43F61" w:rsidRDefault="00FB67CA" w:rsidP="004C512B">
      <w:pPr>
        <w:pStyle w:val="Kop1"/>
        <w:rPr>
          <w:color w:val="auto"/>
        </w:rPr>
      </w:pPr>
      <w:bookmarkStart w:id="2" w:name="_Toc472509259"/>
      <w:r w:rsidRPr="00F43F61">
        <w:rPr>
          <w:color w:val="auto"/>
        </w:rPr>
        <w:lastRenderedPageBreak/>
        <w:t>Hoofdstuk 1</w:t>
      </w:r>
      <w:r w:rsidR="00AE780F" w:rsidRPr="00F43F61">
        <w:rPr>
          <w:color w:val="auto"/>
        </w:rPr>
        <w:t>: Inleiding</w:t>
      </w:r>
      <w:bookmarkEnd w:id="2"/>
    </w:p>
    <w:p w:rsidR="004E4AFA" w:rsidRDefault="004E4AFA" w:rsidP="008E3A78">
      <w:pPr>
        <w:pStyle w:val="Kop2"/>
        <w:spacing w:before="0" w:line="360" w:lineRule="auto"/>
        <w:rPr>
          <w:color w:val="auto"/>
          <w:sz w:val="24"/>
          <w:szCs w:val="24"/>
        </w:rPr>
      </w:pPr>
    </w:p>
    <w:p w:rsidR="004C2C2C" w:rsidRPr="004E4AFA" w:rsidRDefault="00FB67CA" w:rsidP="008E3A78">
      <w:pPr>
        <w:pStyle w:val="Kop2"/>
        <w:spacing w:before="0" w:line="360" w:lineRule="auto"/>
        <w:rPr>
          <w:color w:val="auto"/>
          <w:sz w:val="24"/>
          <w:szCs w:val="24"/>
        </w:rPr>
      </w:pPr>
      <w:bookmarkStart w:id="3" w:name="_Toc472509260"/>
      <w:r w:rsidRPr="004E4AFA">
        <w:rPr>
          <w:color w:val="auto"/>
          <w:sz w:val="24"/>
          <w:szCs w:val="24"/>
        </w:rPr>
        <w:t xml:space="preserve">1.1 </w:t>
      </w:r>
      <w:r w:rsidR="004C2C2C" w:rsidRPr="004E4AFA">
        <w:rPr>
          <w:color w:val="auto"/>
          <w:sz w:val="24"/>
          <w:szCs w:val="24"/>
        </w:rPr>
        <w:t>Probleemanalyse</w:t>
      </w:r>
      <w:bookmarkEnd w:id="3"/>
      <w:r w:rsidR="004C2C2C" w:rsidRPr="004E4AFA">
        <w:rPr>
          <w:color w:val="auto"/>
          <w:sz w:val="24"/>
          <w:szCs w:val="24"/>
        </w:rPr>
        <w:t xml:space="preserve"> </w:t>
      </w:r>
    </w:p>
    <w:p w:rsidR="004E4AFA" w:rsidRDefault="004E4AFA" w:rsidP="008E3A78">
      <w:pPr>
        <w:spacing w:after="0" w:line="360" w:lineRule="auto"/>
      </w:pPr>
    </w:p>
    <w:p w:rsidR="00651A66" w:rsidRDefault="004C2C2C" w:rsidP="008E3A78">
      <w:pPr>
        <w:spacing w:after="0" w:line="360" w:lineRule="auto"/>
        <w:rPr>
          <w:lang w:eastAsia="ja-JP"/>
        </w:rPr>
      </w:pPr>
      <w:r>
        <w:t>Per 1 juli 2015 is in de Wet werk en zekerheid een nieuwe bepaling opgenomen</w:t>
      </w:r>
      <w:r w:rsidR="0066653F">
        <w:t xml:space="preserve"> omtrent de billijke vergoeding</w:t>
      </w:r>
      <w:r>
        <w:t xml:space="preserve">. Deze bepaling biedt de rechter de mogelijkheid om naast de transitievergoeding, als bedoeld in artikel 7:673 BW, een billijke vergoeding toe te kennen. </w:t>
      </w:r>
      <w:r w:rsidR="0038461D">
        <w:rPr>
          <w:color w:val="000000" w:themeColor="text1"/>
        </w:rPr>
        <w:t>Het doel van de wet is</w:t>
      </w:r>
      <w:r w:rsidR="00EC0650" w:rsidRPr="00D65E26">
        <w:rPr>
          <w:color w:val="000000" w:themeColor="text1"/>
        </w:rPr>
        <w:t xml:space="preserve"> onder mee</w:t>
      </w:r>
      <w:r w:rsidR="00863CB2">
        <w:rPr>
          <w:color w:val="000000" w:themeColor="text1"/>
        </w:rPr>
        <w:t>r</w:t>
      </w:r>
      <w:r w:rsidR="00EC0650" w:rsidRPr="00D65E26">
        <w:rPr>
          <w:color w:val="000000" w:themeColor="text1"/>
        </w:rPr>
        <w:t xml:space="preserve"> </w:t>
      </w:r>
      <w:r w:rsidR="00863CB2">
        <w:rPr>
          <w:color w:val="000000" w:themeColor="text1"/>
        </w:rPr>
        <w:t>het</w:t>
      </w:r>
      <w:r w:rsidR="00863CB2">
        <w:t xml:space="preserve"> stelsel eenvoudiger, sneller, eerlijker en minder kostbaar te maken voor werkgevers en </w:t>
      </w:r>
      <w:r w:rsidR="00651A66">
        <w:rPr>
          <w:rFonts w:hint="eastAsia"/>
          <w:lang w:eastAsia="ja-JP"/>
        </w:rPr>
        <w:t xml:space="preserve">is </w:t>
      </w:r>
      <w:r w:rsidR="00FC2DD8">
        <w:rPr>
          <w:lang w:eastAsia="ja-JP"/>
        </w:rPr>
        <w:t xml:space="preserve">tevens </w:t>
      </w:r>
      <w:r w:rsidR="00863CB2">
        <w:t>meer gericht op het vinden van een nieuwe baan</w:t>
      </w:r>
      <w:r w:rsidR="00FC2DD8">
        <w:t xml:space="preserve"> voor de werknemer</w:t>
      </w:r>
      <w:r w:rsidR="00863CB2">
        <w:t>.</w:t>
      </w:r>
      <w:r w:rsidR="00863CB2">
        <w:rPr>
          <w:rStyle w:val="Voetnootmarkering"/>
          <w:color w:val="000000" w:themeColor="text1"/>
        </w:rPr>
        <w:footnoteReference w:id="1"/>
      </w:r>
      <w:r w:rsidR="009724DE">
        <w:rPr>
          <w:color w:val="000000" w:themeColor="text1"/>
        </w:rPr>
        <w:t xml:space="preserve"> </w:t>
      </w:r>
      <w:r w:rsidR="009724DE">
        <w:t>Onder de oude wetgeving had de kantonrechter, indien er sprake was van een ontbinding wegens verande</w:t>
      </w:r>
      <w:r w:rsidR="00583854">
        <w:t>ring</w:t>
      </w:r>
      <w:r w:rsidR="00660CA1">
        <w:t xml:space="preserve"> van omstandigheden, </w:t>
      </w:r>
      <w:r w:rsidR="00FC2DD8">
        <w:t xml:space="preserve">de mogelijkheid </w:t>
      </w:r>
      <w:r w:rsidR="00660CA1">
        <w:t xml:space="preserve">om </w:t>
      </w:r>
      <w:r w:rsidR="00FC2DD8">
        <w:t xml:space="preserve">aan </w:t>
      </w:r>
      <w:r w:rsidR="00660CA1">
        <w:rPr>
          <w:rFonts w:hint="eastAsia"/>
          <w:lang w:eastAsia="ja-JP"/>
        </w:rPr>
        <w:t>ee</w:t>
      </w:r>
      <w:r w:rsidR="009724DE">
        <w:t xml:space="preserve">n van de partijen een billijke vergoeding toe te kennen. De hoogte van de billijke vergoeding werd berekend aan de hand van de kantonrechtersformule. Onder de WWZ is deze kantonrechtersformule komen te vervallen en geldt er een nieuwe bepaling </w:t>
      </w:r>
      <w:r w:rsidR="00660CA1">
        <w:t>omtrent de billijke vergoeding.</w:t>
      </w:r>
      <w:r w:rsidR="009724DE">
        <w:rPr>
          <w:rStyle w:val="Voetnootmarkering"/>
          <w:color w:val="000000" w:themeColor="text1"/>
        </w:rPr>
        <w:footnoteReference w:id="2"/>
      </w:r>
      <w:r w:rsidR="00660CA1">
        <w:rPr>
          <w:rFonts w:hint="eastAsia"/>
          <w:lang w:eastAsia="ja-JP"/>
        </w:rPr>
        <w:t xml:space="preserve"> </w:t>
      </w:r>
    </w:p>
    <w:p w:rsidR="00523215" w:rsidRDefault="00523215" w:rsidP="008E3A78">
      <w:pPr>
        <w:spacing w:after="0" w:line="360" w:lineRule="auto"/>
        <w:rPr>
          <w:color w:val="000000" w:themeColor="text1"/>
        </w:rPr>
      </w:pPr>
    </w:p>
    <w:p w:rsidR="00651A66" w:rsidRDefault="002932B2" w:rsidP="008E3A78">
      <w:pPr>
        <w:spacing w:after="0" w:line="360" w:lineRule="auto"/>
        <w:rPr>
          <w:lang w:eastAsia="ja-JP"/>
        </w:rPr>
      </w:pPr>
      <w:r w:rsidRPr="00D65E26">
        <w:rPr>
          <w:color w:val="000000" w:themeColor="text1"/>
        </w:rPr>
        <w:t>In de</w:t>
      </w:r>
      <w:r w:rsidR="00EC0650" w:rsidRPr="00D65E26">
        <w:rPr>
          <w:color w:val="000000" w:themeColor="text1"/>
        </w:rPr>
        <w:t xml:space="preserve"> nieuwe</w:t>
      </w:r>
      <w:r w:rsidRPr="00D65E26">
        <w:rPr>
          <w:color w:val="000000" w:themeColor="text1"/>
        </w:rPr>
        <w:t xml:space="preserve"> Wet werk en zekerheid zijn verschillende bepalingen opgenomen waarin uitdrukkelijk over een billijke vergoeding wordt gesproken.</w:t>
      </w:r>
      <w:r w:rsidR="003A4ADF">
        <w:rPr>
          <w:rStyle w:val="Voetnootmarkering"/>
          <w:color w:val="000000" w:themeColor="text1"/>
        </w:rPr>
        <w:footnoteReference w:id="3"/>
      </w:r>
      <w:r w:rsidR="003A4ADF">
        <w:rPr>
          <w:rFonts w:hint="eastAsia"/>
          <w:color w:val="000000" w:themeColor="text1"/>
          <w:lang w:eastAsia="ja-JP"/>
        </w:rPr>
        <w:t xml:space="preserve"> </w:t>
      </w:r>
      <w:r w:rsidR="00BA198E">
        <w:rPr>
          <w:color w:val="000000" w:themeColor="text1"/>
        </w:rPr>
        <w:t xml:space="preserve">De billijke vergoeding kan onderverdeeld worden in een alternatieve vergoeding en een additionele vergoeding. De alternatieve billijke vergoeding wordt bijvoorbeeld uitgekeerd </w:t>
      </w:r>
      <w:r w:rsidR="00161711">
        <w:rPr>
          <w:rFonts w:hint="eastAsia"/>
          <w:color w:val="000000" w:themeColor="text1"/>
          <w:lang w:eastAsia="ja-JP"/>
        </w:rPr>
        <w:t>in plaats van vernietiging van een opzegging</w:t>
      </w:r>
      <w:r w:rsidR="00FC2DD8">
        <w:rPr>
          <w:color w:val="000000" w:themeColor="text1"/>
          <w:lang w:eastAsia="ja-JP"/>
        </w:rPr>
        <w:t>,</w:t>
      </w:r>
      <w:r w:rsidR="00161711">
        <w:rPr>
          <w:rFonts w:hint="eastAsia"/>
          <w:color w:val="000000" w:themeColor="text1"/>
          <w:lang w:eastAsia="ja-JP"/>
        </w:rPr>
        <w:t xml:space="preserve"> op grond van artikel 7:681 lid 1 BW of wegens een overtreding van de weder indiensttreding voorwaarde</w:t>
      </w:r>
      <w:r w:rsidR="00FC2DD8">
        <w:rPr>
          <w:color w:val="000000" w:themeColor="text1"/>
          <w:lang w:eastAsia="ja-JP"/>
        </w:rPr>
        <w:t>,</w:t>
      </w:r>
      <w:r w:rsidR="00161711">
        <w:rPr>
          <w:rFonts w:hint="eastAsia"/>
          <w:color w:val="000000" w:themeColor="text1"/>
          <w:lang w:eastAsia="ja-JP"/>
        </w:rPr>
        <w:t xml:space="preserve"> op grond van artikel 7:682 lid 4 en lid 5 BW</w:t>
      </w:r>
      <w:r w:rsidR="00161711">
        <w:rPr>
          <w:color w:val="000000" w:themeColor="text1"/>
        </w:rPr>
        <w:t>.</w:t>
      </w:r>
      <w:r w:rsidR="00161711">
        <w:rPr>
          <w:rStyle w:val="Voetnootmarkering"/>
          <w:color w:val="000000" w:themeColor="text1"/>
        </w:rPr>
        <w:footnoteReference w:id="4"/>
      </w:r>
      <w:r w:rsidR="00161711">
        <w:rPr>
          <w:rFonts w:hint="eastAsia"/>
          <w:color w:val="000000" w:themeColor="text1"/>
          <w:lang w:eastAsia="ja-JP"/>
        </w:rPr>
        <w:t xml:space="preserve"> </w:t>
      </w:r>
      <w:r w:rsidR="00BA198E">
        <w:rPr>
          <w:color w:val="000000" w:themeColor="text1"/>
        </w:rPr>
        <w:t>Er is dan geen sprake van ernstig verwijtbaa</w:t>
      </w:r>
      <w:r w:rsidR="00170836">
        <w:rPr>
          <w:color w:val="000000" w:themeColor="text1"/>
        </w:rPr>
        <w:t>r handelen, terwijl dat bij de additionele billijke vergoeding wel een vereiste is.</w:t>
      </w:r>
      <w:r w:rsidR="00170836">
        <w:rPr>
          <w:rStyle w:val="Voetnootmarkering"/>
          <w:color w:val="000000" w:themeColor="text1"/>
        </w:rPr>
        <w:footnoteReference w:id="5"/>
      </w:r>
      <w:r w:rsidR="00170836">
        <w:rPr>
          <w:color w:val="000000" w:themeColor="text1"/>
        </w:rPr>
        <w:t xml:space="preserve"> </w:t>
      </w:r>
      <w:r w:rsidR="00EC0650" w:rsidRPr="00D65E26">
        <w:rPr>
          <w:color w:val="000000" w:themeColor="text1"/>
        </w:rPr>
        <w:t xml:space="preserve">In artikel 7:671b lid 8 onder c van het Burgerlijk Wetboek </w:t>
      </w:r>
      <w:r w:rsidR="00FC2DD8">
        <w:rPr>
          <w:color w:val="000000" w:themeColor="text1"/>
        </w:rPr>
        <w:t>is</w:t>
      </w:r>
      <w:r w:rsidR="00EC0650" w:rsidRPr="00D65E26">
        <w:rPr>
          <w:color w:val="000000" w:themeColor="text1"/>
        </w:rPr>
        <w:t xml:space="preserve"> opgenomen dat de additionele billijke vergoeding zich slechts zal voordoen indien er sprake is van ernstig verwijtbaar handelen of nalaten van de werkgever.</w:t>
      </w:r>
      <w:r w:rsidR="00310225">
        <w:rPr>
          <w:rStyle w:val="Voetnootmarkering"/>
        </w:rPr>
        <w:footnoteReference w:id="6"/>
      </w:r>
      <w:r w:rsidR="00310225">
        <w:t xml:space="preserve"> </w:t>
      </w:r>
      <w:r w:rsidR="00EC0650" w:rsidRPr="00D65E26">
        <w:rPr>
          <w:color w:val="000000" w:themeColor="text1"/>
        </w:rPr>
        <w:t xml:space="preserve">Deze vergoeding wordt </w:t>
      </w:r>
      <w:r w:rsidR="00AF0A97">
        <w:rPr>
          <w:color w:val="000000" w:themeColor="text1"/>
        </w:rPr>
        <w:t xml:space="preserve">door de regering </w:t>
      </w:r>
      <w:r w:rsidR="000A4E85">
        <w:rPr>
          <w:color w:val="000000" w:themeColor="text1"/>
        </w:rPr>
        <w:t xml:space="preserve">aangeduid </w:t>
      </w:r>
      <w:r w:rsidR="00AF0A97">
        <w:rPr>
          <w:color w:val="000000" w:themeColor="text1"/>
        </w:rPr>
        <w:t>als het</w:t>
      </w:r>
      <w:r w:rsidR="00EC0650" w:rsidRPr="00D65E26">
        <w:rPr>
          <w:color w:val="000000" w:themeColor="text1"/>
        </w:rPr>
        <w:t xml:space="preserve"> </w:t>
      </w:r>
      <w:r w:rsidR="00AF0A97">
        <w:rPr>
          <w:color w:val="000000" w:themeColor="text1"/>
        </w:rPr>
        <w:t>‘</w:t>
      </w:r>
      <w:r w:rsidR="00EC0650" w:rsidRPr="00D65E26">
        <w:rPr>
          <w:color w:val="000000" w:themeColor="text1"/>
        </w:rPr>
        <w:t>muizengaatje</w:t>
      </w:r>
      <w:r w:rsidR="00AF0A97">
        <w:rPr>
          <w:color w:val="000000" w:themeColor="text1"/>
        </w:rPr>
        <w:t>’</w:t>
      </w:r>
      <w:r w:rsidR="00EC0650" w:rsidRPr="00D65E26">
        <w:rPr>
          <w:color w:val="000000" w:themeColor="text1"/>
        </w:rPr>
        <w:t xml:space="preserve">, omdat de bedoeling is dat </w:t>
      </w:r>
      <w:r w:rsidR="00FC2DD8">
        <w:rPr>
          <w:color w:val="000000" w:themeColor="text1"/>
        </w:rPr>
        <w:t>deze</w:t>
      </w:r>
      <w:r w:rsidR="00EC0650" w:rsidRPr="00D65E26">
        <w:rPr>
          <w:color w:val="000000" w:themeColor="text1"/>
        </w:rPr>
        <w:t xml:space="preserve"> enkel in zeer uitzonder</w:t>
      </w:r>
      <w:r w:rsidR="0042342D">
        <w:rPr>
          <w:color w:val="000000" w:themeColor="text1"/>
        </w:rPr>
        <w:t>lijke gevallen toegekend wordt.</w:t>
      </w:r>
      <w:r w:rsidR="00CA0AE0">
        <w:rPr>
          <w:rStyle w:val="Voetnootmarkering"/>
          <w:color w:val="000000" w:themeColor="text1"/>
        </w:rPr>
        <w:footnoteReference w:id="7"/>
      </w:r>
      <w:r w:rsidR="0042342D">
        <w:rPr>
          <w:color w:val="000000" w:themeColor="text1"/>
        </w:rPr>
        <w:t xml:space="preserve"> </w:t>
      </w:r>
      <w:r w:rsidR="00C866C2">
        <w:t>Hoewel</w:t>
      </w:r>
      <w:r w:rsidR="00FC2DD8">
        <w:t xml:space="preserve"> </w:t>
      </w:r>
      <w:r w:rsidR="00C866C2">
        <w:t xml:space="preserve">aan een eventuele toekenning van een billijke vergoeding </w:t>
      </w:r>
      <w:r w:rsidR="00FC2DD8">
        <w:t xml:space="preserve">strenge voorwaarden zijn </w:t>
      </w:r>
      <w:r w:rsidR="00C866C2">
        <w:t>verbonden, heeft de rechter veel ruimte bij het bepalen van de hoogte er</w:t>
      </w:r>
      <w:r w:rsidR="002C1EEB">
        <w:t xml:space="preserve"> </w:t>
      </w:r>
      <w:r w:rsidR="00C866C2">
        <w:t>van.</w:t>
      </w:r>
      <w:r w:rsidR="00C866C2">
        <w:rPr>
          <w:rStyle w:val="Voetnootmarkering"/>
        </w:rPr>
        <w:footnoteReference w:id="8"/>
      </w:r>
      <w:r w:rsidR="00C866C2">
        <w:t xml:space="preserve"> </w:t>
      </w:r>
    </w:p>
    <w:p w:rsidR="0055119E" w:rsidRDefault="00651A66" w:rsidP="008E3A78">
      <w:pPr>
        <w:spacing w:after="0" w:line="360" w:lineRule="auto"/>
      </w:pPr>
      <w:r>
        <w:lastRenderedPageBreak/>
        <w:t xml:space="preserve">In de wet en in de wetsgeschiedenis is geen formule terug te vinden </w:t>
      </w:r>
      <w:r w:rsidR="00523215">
        <w:t>voor</w:t>
      </w:r>
      <w:r w:rsidR="007122BB">
        <w:t xml:space="preserve"> de wijze </w:t>
      </w:r>
      <w:r w:rsidR="00681BFF">
        <w:t>waarop de</w:t>
      </w:r>
      <w:r>
        <w:t xml:space="preserve"> hoogte van de additionele billijke vergoeding moet worden </w:t>
      </w:r>
      <w:r w:rsidR="003E0C33">
        <w:t>vastgesteld.</w:t>
      </w:r>
      <w:r w:rsidR="003E0C33">
        <w:rPr>
          <w:lang w:eastAsia="ja-JP"/>
        </w:rPr>
        <w:t xml:space="preserve"> </w:t>
      </w:r>
      <w:r w:rsidR="0055119E">
        <w:t xml:space="preserve">Wat betreft het bepalen van </w:t>
      </w:r>
      <w:r>
        <w:t xml:space="preserve">de hoogte van de billijke vergoeding valt slechts het volgende uit de wetsgeschiedenis af te leiden: </w:t>
      </w:r>
    </w:p>
    <w:p w:rsidR="00583854" w:rsidRDefault="00583854" w:rsidP="008E3A78">
      <w:pPr>
        <w:spacing w:after="0" w:line="360" w:lineRule="auto"/>
      </w:pPr>
    </w:p>
    <w:p w:rsidR="00EC0650" w:rsidRPr="00357565" w:rsidRDefault="002B2EF8" w:rsidP="008E3A78">
      <w:pPr>
        <w:spacing w:after="0" w:line="360" w:lineRule="auto"/>
      </w:pPr>
      <w:r>
        <w:t>“</w:t>
      </w:r>
      <w:r w:rsidR="0055119E">
        <w:t>D</w:t>
      </w:r>
      <w:r w:rsidR="00651A66">
        <w:t>e hoogte van de billijke vergoeding staat in rel</w:t>
      </w:r>
      <w:r w:rsidR="00523215">
        <w:t>atie tot het ernstig verwijtbaar</w:t>
      </w:r>
      <w:r w:rsidR="00651A66">
        <w:t xml:space="preserve"> handel</w:t>
      </w:r>
      <w:r w:rsidR="00523215">
        <w:t>en of nalaten van de werkgever;</w:t>
      </w:r>
      <w:r w:rsidR="0055119E">
        <w:rPr>
          <w:lang w:eastAsia="ja-JP"/>
        </w:rPr>
        <w:t xml:space="preserve"> </w:t>
      </w:r>
      <w:r w:rsidR="00523215">
        <w:t>h</w:t>
      </w:r>
      <w:r w:rsidR="00651A66">
        <w:t>et past niet om hiervoor criteria in de wet op te nemen, de rechter heeft de vrijheid om de hoogte te bepalen op een wijze</w:t>
      </w:r>
      <w:r w:rsidR="00523215">
        <w:t xml:space="preserve"> die en op het niveau dat aansluit</w:t>
      </w:r>
      <w:r w:rsidR="00651A66">
        <w:t xml:space="preserve"> bij de bijzondere omstandigheden van het geval; criteria als loon</w:t>
      </w:r>
      <w:r w:rsidR="00515E6B">
        <w:t xml:space="preserve"> en duur van het dienstverband </w:t>
      </w:r>
      <w:r w:rsidR="00651A66">
        <w:t>hoeven geen rol te spelen bij het bepalen van de hoogte van de billijke vergoeding</w:t>
      </w:r>
      <w:r w:rsidR="00651A66">
        <w:rPr>
          <w:rFonts w:ascii="Verdana" w:hAnsi="Verdana"/>
          <w:color w:val="000000"/>
          <w:sz w:val="18"/>
          <w:szCs w:val="18"/>
        </w:rPr>
        <w:t xml:space="preserve">, </w:t>
      </w:r>
      <w:r w:rsidR="00651A66" w:rsidRPr="00357565">
        <w:rPr>
          <w:color w:val="000000"/>
        </w:rPr>
        <w:t>omdat dit al is verdisconteerd in de transitievergoeding</w:t>
      </w:r>
      <w:r w:rsidR="00651A66" w:rsidRPr="00357565">
        <w:t xml:space="preserve">; </w:t>
      </w:r>
      <w:r w:rsidR="008C7991">
        <w:t xml:space="preserve">uit </w:t>
      </w:r>
      <w:r w:rsidR="00651A66" w:rsidRPr="00357565">
        <w:t>de</w:t>
      </w:r>
      <w:r w:rsidR="00651A66">
        <w:t xml:space="preserve"> v</w:t>
      </w:r>
      <w:r w:rsidR="008C7991">
        <w:t>ergoeding hoeft niet duidelijk naar voren te komen</w:t>
      </w:r>
      <w:r w:rsidR="00651A66">
        <w:t xml:space="preserve"> of het ontslag redelijk is in het licht van het gevolgencriterium; er mag rekening gehouden worden met de financiële situatie van de werkgever.</w:t>
      </w:r>
      <w:r w:rsidRPr="002B2EF8">
        <w:rPr>
          <w:rStyle w:val="Voetnootmarkering"/>
        </w:rPr>
        <w:t xml:space="preserve"> </w:t>
      </w:r>
      <w:r>
        <w:rPr>
          <w:rStyle w:val="Voetnootmarkering"/>
        </w:rPr>
        <w:footnoteReference w:id="9"/>
      </w:r>
      <w:r>
        <w:t>”</w:t>
      </w:r>
      <w:r w:rsidR="00357565">
        <w:t xml:space="preserve"> </w:t>
      </w:r>
    </w:p>
    <w:p w:rsidR="00583854" w:rsidRDefault="00583854" w:rsidP="008E3A78">
      <w:pPr>
        <w:spacing w:after="0" w:line="360" w:lineRule="auto"/>
      </w:pPr>
    </w:p>
    <w:p w:rsidR="00056E64" w:rsidRDefault="00C866C2" w:rsidP="008E3A78">
      <w:pPr>
        <w:spacing w:after="0" w:line="360" w:lineRule="auto"/>
        <w:rPr>
          <w:lang w:eastAsia="ja-JP"/>
        </w:rPr>
      </w:pPr>
      <w:r>
        <w:t xml:space="preserve">Zoals </w:t>
      </w:r>
      <w:r w:rsidR="00357565">
        <w:rPr>
          <w:rFonts w:hint="eastAsia"/>
          <w:lang w:eastAsia="ja-JP"/>
        </w:rPr>
        <w:t>hierboven</w:t>
      </w:r>
      <w:r w:rsidR="008C7991">
        <w:t xml:space="preserve"> om</w:t>
      </w:r>
      <w:r>
        <w:t xml:space="preserve">schreven wordt de additionele billijke vergoeding toegekend indien er sprake is van ernstig verwijtbaar handelen of nalaten van de werkgever. </w:t>
      </w:r>
      <w:r w:rsidR="002932B2">
        <w:t xml:space="preserve">In de Memorie van Toelichting </w:t>
      </w:r>
      <w:r w:rsidR="00752230">
        <w:t>word</w:t>
      </w:r>
      <w:r w:rsidR="00915551">
        <w:t>t</w:t>
      </w:r>
      <w:r w:rsidR="00752230">
        <w:t xml:space="preserve"> </w:t>
      </w:r>
      <w:r w:rsidR="002932B2">
        <w:t>een aantal voorbeelden</w:t>
      </w:r>
      <w:r w:rsidR="00752230">
        <w:t xml:space="preserve"> van</w:t>
      </w:r>
      <w:r w:rsidR="002932B2">
        <w:t xml:space="preserve"> </w:t>
      </w:r>
      <w:r w:rsidR="00752230">
        <w:t>ernstig verwijtbaar han</w:t>
      </w:r>
      <w:r w:rsidR="00240693">
        <w:t xml:space="preserve">delen van de werkgever genoemd: als er als gevolg van laakbaar gedrag van de werkgever een verstoorde arbeidsrelatie is ontstaan en de rechter concludeert dat er geen andere optie is dan ontslag; als een werkgever discrimineert, de werknemer hiertegen bezwaar maakt, er een onwerkbare situatie ontstaat en niets anders rest dan ontslag; als een werkgever grovelijk de verplichtingen niet nakomt die voortvloeien uit de arbeidsovereenkomst en er als gevolg daarvan een verstoorde arbeidsverhouding ontstaat. </w:t>
      </w:r>
      <w:r w:rsidR="00523215">
        <w:t>Hierbij is t</w:t>
      </w:r>
      <w:r w:rsidR="00240693">
        <w:t>e denken aan de situatie waarin de werkgever zijn re-integratieverplichtingen bij ziekte ernstig heeft veronachtzaamd; de situatie waarin de werkgever een valse grond voor ontslag aanvoert</w:t>
      </w:r>
      <w:r w:rsidR="00523215">
        <w:t>,</w:t>
      </w:r>
      <w:r w:rsidR="00240693">
        <w:t xml:space="preserve"> met als enig oogmerk een onwerkbare situatie te creëren en ontslag langs die weg te realiseren; de situatie waarin </w:t>
      </w:r>
      <w:r w:rsidR="00056E64">
        <w:t xml:space="preserve">een </w:t>
      </w:r>
      <w:r w:rsidR="00240693">
        <w:t>werknemer arbeidsongeschikt is geworden (en uiteindelijk wordt ontslagen) als gevolg van verwijtbaar onvoldoende</w:t>
      </w:r>
      <w:r w:rsidR="00195274" w:rsidRPr="00195274">
        <w:rPr>
          <w:rFonts w:eastAsia="Times New Roman" w:cs="Times New Roman"/>
          <w:color w:val="000000"/>
          <w:lang w:eastAsia="nl-NL"/>
        </w:rPr>
        <w:t xml:space="preserve"> </w:t>
      </w:r>
      <w:r w:rsidR="00195274" w:rsidRPr="006F7FF7">
        <w:rPr>
          <w:rFonts w:eastAsia="Times New Roman" w:cs="Times New Roman"/>
          <w:color w:val="000000"/>
          <w:lang w:eastAsia="nl-NL"/>
        </w:rPr>
        <w:t>zorg van de werkgever voor de arbeidsomstandigheden</w:t>
      </w:r>
      <w:r w:rsidR="00564E43">
        <w:t>.</w:t>
      </w:r>
      <w:r w:rsidR="00564E43">
        <w:rPr>
          <w:rStyle w:val="Voetnootmarkering"/>
        </w:rPr>
        <w:footnoteReference w:id="10"/>
      </w:r>
    </w:p>
    <w:p w:rsidR="00583854" w:rsidRDefault="00583854" w:rsidP="008E3A78">
      <w:pPr>
        <w:spacing w:after="0" w:line="360" w:lineRule="auto"/>
      </w:pPr>
    </w:p>
    <w:p w:rsidR="0066653F" w:rsidRDefault="00357565" w:rsidP="008E3A78">
      <w:pPr>
        <w:spacing w:after="0" w:line="360" w:lineRule="auto"/>
        <w:rPr>
          <w:lang w:eastAsia="ja-JP"/>
        </w:rPr>
      </w:pPr>
      <w:r>
        <w:t xml:space="preserve">De vraag </w:t>
      </w:r>
      <w:r>
        <w:rPr>
          <w:rFonts w:hint="eastAsia"/>
          <w:lang w:eastAsia="ja-JP"/>
        </w:rPr>
        <w:t xml:space="preserve">is welke overwegingen </w:t>
      </w:r>
      <w:r w:rsidR="00B64EC9">
        <w:t xml:space="preserve">de kantonrechters </w:t>
      </w:r>
      <w:r w:rsidR="007122BB">
        <w:rPr>
          <w:lang w:eastAsia="ja-JP"/>
        </w:rPr>
        <w:t>hebben</w:t>
      </w:r>
      <w:r>
        <w:rPr>
          <w:rFonts w:hint="eastAsia"/>
          <w:lang w:eastAsia="ja-JP"/>
        </w:rPr>
        <w:t xml:space="preserve"> </w:t>
      </w:r>
      <w:r>
        <w:t xml:space="preserve">bij het </w:t>
      </w:r>
      <w:r w:rsidR="00874877">
        <w:t xml:space="preserve">toekennen en </w:t>
      </w:r>
      <w:r>
        <w:t>bepalen van de hoogte van de billijke vergoeding</w:t>
      </w:r>
      <w:r>
        <w:rPr>
          <w:rFonts w:hint="eastAsia"/>
          <w:lang w:eastAsia="ja-JP"/>
        </w:rPr>
        <w:t xml:space="preserve">, lettend op de hierboven genoemde </w:t>
      </w:r>
      <w:r w:rsidR="00B64EC9">
        <w:t>voorbeelden van ernstig verwijtbaar handelen</w:t>
      </w:r>
      <w:r w:rsidR="00C33801">
        <w:rPr>
          <w:lang w:eastAsia="ja-JP"/>
        </w:rPr>
        <w:t>.</w:t>
      </w:r>
      <w:r w:rsidR="00B64EC9">
        <w:t xml:space="preserve"> </w:t>
      </w:r>
    </w:p>
    <w:p w:rsidR="00121151" w:rsidRDefault="004903A4" w:rsidP="008E3A78">
      <w:pPr>
        <w:spacing w:after="0" w:line="360" w:lineRule="auto"/>
        <w:rPr>
          <w:color w:val="000000" w:themeColor="text1"/>
        </w:rPr>
      </w:pPr>
      <w:r w:rsidRPr="00D65E26">
        <w:rPr>
          <w:color w:val="000000" w:themeColor="text1"/>
        </w:rPr>
        <w:t>In dit onderzoek ga</w:t>
      </w:r>
      <w:r w:rsidR="00FB67CA">
        <w:rPr>
          <w:color w:val="000000" w:themeColor="text1"/>
        </w:rPr>
        <w:t xml:space="preserve"> ik mij verdiepen in</w:t>
      </w:r>
      <w:r w:rsidR="0066653F" w:rsidRPr="00D65E26">
        <w:rPr>
          <w:color w:val="000000" w:themeColor="text1"/>
        </w:rPr>
        <w:t xml:space="preserve"> de </w:t>
      </w:r>
      <w:r w:rsidR="0055119E">
        <w:rPr>
          <w:color w:val="000000" w:themeColor="text1"/>
        </w:rPr>
        <w:t xml:space="preserve">additionele </w:t>
      </w:r>
      <w:r w:rsidR="0066653F" w:rsidRPr="00D65E26">
        <w:rPr>
          <w:color w:val="000000" w:themeColor="text1"/>
        </w:rPr>
        <w:t xml:space="preserve">billijke vergoeding </w:t>
      </w:r>
      <w:r w:rsidRPr="00D65E26">
        <w:rPr>
          <w:color w:val="000000" w:themeColor="text1"/>
          <w:spacing w:val="-3"/>
          <w:lang w:eastAsia="nl-NL"/>
        </w:rPr>
        <w:t>die in het nieuwe recht, na invoering van de Wet werk en zekerheid, geldt.</w:t>
      </w:r>
      <w:r w:rsidR="00E85B50" w:rsidRPr="00D65E26">
        <w:rPr>
          <w:color w:val="000000" w:themeColor="text1"/>
          <w:spacing w:val="-3"/>
          <w:lang w:eastAsia="nl-NL"/>
        </w:rPr>
        <w:t xml:space="preserve"> </w:t>
      </w:r>
      <w:r w:rsidRPr="00D65E26">
        <w:rPr>
          <w:color w:val="000000" w:themeColor="text1"/>
        </w:rPr>
        <w:t>Het probleem waar vee</w:t>
      </w:r>
      <w:r w:rsidR="00915551" w:rsidRPr="00D65E26">
        <w:rPr>
          <w:color w:val="000000" w:themeColor="text1"/>
        </w:rPr>
        <w:t>l</w:t>
      </w:r>
      <w:r w:rsidRPr="00D65E26">
        <w:rPr>
          <w:color w:val="000000" w:themeColor="text1"/>
        </w:rPr>
        <w:t xml:space="preserve"> arbeidsrechtadvocaten en </w:t>
      </w:r>
      <w:r w:rsidRPr="00D65E26">
        <w:rPr>
          <w:color w:val="000000" w:themeColor="text1"/>
        </w:rPr>
        <w:lastRenderedPageBreak/>
        <w:t xml:space="preserve">werkgevers tegen aan lopen is dat er </w:t>
      </w:r>
      <w:r w:rsidR="007122BB" w:rsidRPr="00D65E26">
        <w:rPr>
          <w:color w:val="000000" w:themeColor="text1"/>
        </w:rPr>
        <w:t>over de totstandkoming van de ho</w:t>
      </w:r>
      <w:r w:rsidR="007122BB">
        <w:rPr>
          <w:color w:val="000000" w:themeColor="text1"/>
        </w:rPr>
        <w:t>ogte van de billijke vergoeding</w:t>
      </w:r>
      <w:r w:rsidR="007122BB" w:rsidRPr="00D65E26">
        <w:rPr>
          <w:color w:val="000000" w:themeColor="text1"/>
        </w:rPr>
        <w:t xml:space="preserve"> </w:t>
      </w:r>
      <w:r w:rsidR="00E85B50" w:rsidRPr="00D65E26">
        <w:rPr>
          <w:color w:val="000000" w:themeColor="text1"/>
        </w:rPr>
        <w:t>veel onduidelijkheden bestaan</w:t>
      </w:r>
      <w:r w:rsidRPr="00D65E26">
        <w:rPr>
          <w:color w:val="000000" w:themeColor="text1"/>
        </w:rPr>
        <w:t xml:space="preserve"> in de </w:t>
      </w:r>
      <w:r w:rsidR="00E85B50" w:rsidRPr="00D65E26">
        <w:rPr>
          <w:color w:val="000000" w:themeColor="text1"/>
        </w:rPr>
        <w:t>WWZ</w:t>
      </w:r>
      <w:r w:rsidR="00121151">
        <w:rPr>
          <w:color w:val="000000" w:themeColor="text1"/>
        </w:rPr>
        <w:t xml:space="preserve">. </w:t>
      </w:r>
    </w:p>
    <w:p w:rsidR="00583854" w:rsidRDefault="00583854" w:rsidP="008E3A78">
      <w:pPr>
        <w:spacing w:after="0" w:line="360" w:lineRule="auto"/>
        <w:rPr>
          <w:spacing w:val="-3"/>
          <w:lang w:eastAsia="nl-NL"/>
        </w:rPr>
      </w:pPr>
    </w:p>
    <w:p w:rsidR="008E7FD2" w:rsidRPr="00121151" w:rsidRDefault="00E85B50" w:rsidP="008E3A78">
      <w:pPr>
        <w:spacing w:after="0" w:line="360" w:lineRule="auto"/>
        <w:rPr>
          <w:color w:val="000000" w:themeColor="text1"/>
        </w:rPr>
      </w:pPr>
      <w:r>
        <w:rPr>
          <w:spacing w:val="-3"/>
          <w:lang w:eastAsia="nl-NL"/>
        </w:rPr>
        <w:t>Voor mijn opdrachtgever</w:t>
      </w:r>
      <w:r w:rsidR="000E1AC3">
        <w:rPr>
          <w:spacing w:val="-3"/>
          <w:lang w:eastAsia="nl-NL"/>
        </w:rPr>
        <w:t xml:space="preserve">, </w:t>
      </w:r>
      <w:r w:rsidR="00777341">
        <w:rPr>
          <w:spacing w:val="-3"/>
          <w:lang w:eastAsia="nl-NL"/>
        </w:rPr>
        <w:t>mr. J. Blakborn</w:t>
      </w:r>
      <w:r w:rsidR="00405350">
        <w:rPr>
          <w:spacing w:val="-3"/>
          <w:lang w:eastAsia="nl-NL"/>
        </w:rPr>
        <w:t>,</w:t>
      </w:r>
      <w:r w:rsidR="00777341">
        <w:rPr>
          <w:spacing w:val="-3"/>
          <w:lang w:eastAsia="nl-NL"/>
        </w:rPr>
        <w:t xml:space="preserve"> advocaat bij </w:t>
      </w:r>
      <w:r w:rsidR="00056E64">
        <w:rPr>
          <w:spacing w:val="-3"/>
          <w:lang w:eastAsia="nl-NL"/>
        </w:rPr>
        <w:t>Van</w:t>
      </w:r>
      <w:r w:rsidR="00777341">
        <w:rPr>
          <w:spacing w:val="-3"/>
          <w:lang w:eastAsia="nl-NL"/>
        </w:rPr>
        <w:t xml:space="preserve"> Diepen Van der Kroef Advocaten</w:t>
      </w:r>
      <w:r w:rsidR="000E1AC3">
        <w:rPr>
          <w:spacing w:val="-3"/>
          <w:lang w:eastAsia="nl-NL"/>
        </w:rPr>
        <w:t>,</w:t>
      </w:r>
      <w:r>
        <w:rPr>
          <w:spacing w:val="-3"/>
          <w:lang w:eastAsia="nl-NL"/>
        </w:rPr>
        <w:t xml:space="preserve"> is het nuttig om kennis te ne</w:t>
      </w:r>
      <w:r w:rsidR="00915551">
        <w:rPr>
          <w:spacing w:val="-3"/>
          <w:lang w:eastAsia="nl-NL"/>
        </w:rPr>
        <w:t xml:space="preserve">men van een </w:t>
      </w:r>
      <w:r w:rsidR="00357565">
        <w:rPr>
          <w:rFonts w:hint="eastAsia"/>
          <w:spacing w:val="-3"/>
          <w:lang w:eastAsia="ja-JP"/>
        </w:rPr>
        <w:t>kwalitatief en betrouwbaar</w:t>
      </w:r>
      <w:r w:rsidR="00523215">
        <w:rPr>
          <w:spacing w:val="-3"/>
          <w:lang w:eastAsia="nl-NL"/>
        </w:rPr>
        <w:t xml:space="preserve"> jurisprudentie</w:t>
      </w:r>
      <w:r>
        <w:rPr>
          <w:spacing w:val="-3"/>
          <w:lang w:eastAsia="nl-NL"/>
        </w:rPr>
        <w:t>onder</w:t>
      </w:r>
      <w:r w:rsidR="00523215">
        <w:rPr>
          <w:spacing w:val="-3"/>
          <w:lang w:eastAsia="nl-NL"/>
        </w:rPr>
        <w:t xml:space="preserve">zoek, om zodoende inzicht te </w:t>
      </w:r>
      <w:r>
        <w:rPr>
          <w:spacing w:val="-3"/>
          <w:lang w:eastAsia="nl-NL"/>
        </w:rPr>
        <w:t xml:space="preserve">krijgen </w:t>
      </w:r>
      <w:r w:rsidR="00915551">
        <w:rPr>
          <w:spacing w:val="-3"/>
          <w:lang w:eastAsia="nl-NL"/>
        </w:rPr>
        <w:t>in</w:t>
      </w:r>
      <w:r>
        <w:rPr>
          <w:spacing w:val="-3"/>
          <w:lang w:eastAsia="nl-NL"/>
        </w:rPr>
        <w:t xml:space="preserve"> </w:t>
      </w:r>
      <w:r w:rsidR="00357565">
        <w:rPr>
          <w:rFonts w:hint="eastAsia"/>
          <w:spacing w:val="-3"/>
          <w:lang w:eastAsia="ja-JP"/>
        </w:rPr>
        <w:t>wat</w:t>
      </w:r>
      <w:r w:rsidR="00D65583">
        <w:rPr>
          <w:spacing w:val="-3"/>
          <w:lang w:eastAsia="nl-NL"/>
        </w:rPr>
        <w:t xml:space="preserve"> kantonrechters </w:t>
      </w:r>
      <w:r w:rsidR="00357565">
        <w:rPr>
          <w:rFonts w:hint="eastAsia"/>
          <w:spacing w:val="-3"/>
          <w:lang w:eastAsia="ja-JP"/>
        </w:rPr>
        <w:t>overwegen bij het</w:t>
      </w:r>
      <w:r w:rsidR="000B5DFC">
        <w:rPr>
          <w:spacing w:val="-3"/>
          <w:lang w:eastAsia="nl-NL"/>
        </w:rPr>
        <w:t xml:space="preserve"> bepalen</w:t>
      </w:r>
      <w:r w:rsidR="00880785">
        <w:rPr>
          <w:spacing w:val="-3"/>
          <w:lang w:eastAsia="nl-NL"/>
        </w:rPr>
        <w:t xml:space="preserve"> of de billijke vergoeding moet worden toegekend</w:t>
      </w:r>
      <w:r w:rsidR="002B2EF8">
        <w:rPr>
          <w:spacing w:val="-3"/>
          <w:lang w:eastAsia="nl-NL"/>
        </w:rPr>
        <w:t>,</w:t>
      </w:r>
      <w:r w:rsidR="00880785">
        <w:rPr>
          <w:spacing w:val="-3"/>
          <w:lang w:eastAsia="nl-NL"/>
        </w:rPr>
        <w:t xml:space="preserve"> en</w:t>
      </w:r>
      <w:r w:rsidR="002B2EF8">
        <w:rPr>
          <w:spacing w:val="-3"/>
          <w:lang w:eastAsia="nl-NL"/>
        </w:rPr>
        <w:t xml:space="preserve"> zo ja,</w:t>
      </w:r>
      <w:r w:rsidR="00880785">
        <w:rPr>
          <w:spacing w:val="-3"/>
          <w:lang w:eastAsia="nl-NL"/>
        </w:rPr>
        <w:t xml:space="preserve"> hoe de kantonrechters </w:t>
      </w:r>
      <w:r w:rsidR="00D65583">
        <w:rPr>
          <w:spacing w:val="-3"/>
          <w:lang w:eastAsia="nl-NL"/>
        </w:rPr>
        <w:t>de hoog</w:t>
      </w:r>
      <w:r w:rsidR="000B5DFC">
        <w:rPr>
          <w:spacing w:val="-3"/>
          <w:lang w:eastAsia="nl-NL"/>
        </w:rPr>
        <w:t>te van de billijke vergoeding</w:t>
      </w:r>
      <w:r w:rsidR="00880785">
        <w:rPr>
          <w:spacing w:val="-3"/>
          <w:lang w:eastAsia="nl-NL"/>
        </w:rPr>
        <w:t xml:space="preserve"> bepalen</w:t>
      </w:r>
      <w:r w:rsidR="000B5DFC">
        <w:rPr>
          <w:spacing w:val="-3"/>
          <w:lang w:eastAsia="nl-NL"/>
        </w:rPr>
        <w:t>.</w:t>
      </w:r>
    </w:p>
    <w:p w:rsidR="00583854" w:rsidRDefault="00583854" w:rsidP="008E3A78">
      <w:pPr>
        <w:spacing w:after="0" w:line="360" w:lineRule="auto"/>
        <w:rPr>
          <w:lang w:eastAsia="ja-JP"/>
        </w:rPr>
      </w:pPr>
    </w:p>
    <w:p w:rsidR="000F46E9" w:rsidRPr="008E7FD2" w:rsidRDefault="008E7FD2" w:rsidP="008E3A78">
      <w:pPr>
        <w:spacing w:after="0" w:line="360" w:lineRule="auto"/>
        <w:rPr>
          <w:spacing w:val="-3"/>
          <w:lang w:eastAsia="ja-JP"/>
        </w:rPr>
      </w:pPr>
      <w:r>
        <w:rPr>
          <w:rFonts w:hint="eastAsia"/>
          <w:lang w:eastAsia="ja-JP"/>
        </w:rPr>
        <w:t xml:space="preserve">Er </w:t>
      </w:r>
      <w:r w:rsidR="003C60EC">
        <w:rPr>
          <w:lang w:eastAsia="ja-JP"/>
        </w:rPr>
        <w:t>bestaat</w:t>
      </w:r>
      <w:r>
        <w:rPr>
          <w:rFonts w:hint="eastAsia"/>
          <w:lang w:eastAsia="ja-JP"/>
        </w:rPr>
        <w:t xml:space="preserve"> veel kritiek op het feit dat kantonrechters onduidelijk zijn in hun motivering bij het bepalen van de hoogte van de billijke vergoeding.</w:t>
      </w:r>
      <w:r>
        <w:rPr>
          <w:rStyle w:val="Voetnootmarkering"/>
        </w:rPr>
        <w:footnoteReference w:id="11"/>
      </w:r>
      <w:r>
        <w:rPr>
          <w:rFonts w:hint="eastAsia"/>
          <w:spacing w:val="-3"/>
          <w:lang w:eastAsia="ja-JP"/>
        </w:rPr>
        <w:t xml:space="preserve"> H</w:t>
      </w:r>
      <w:r w:rsidR="000B5DFC" w:rsidRPr="00D65E26">
        <w:rPr>
          <w:color w:val="000000" w:themeColor="text1"/>
          <w:spacing w:val="-3"/>
          <w:lang w:eastAsia="nl-NL"/>
        </w:rPr>
        <w:t>et</w:t>
      </w:r>
      <w:r>
        <w:rPr>
          <w:rFonts w:hint="eastAsia"/>
          <w:color w:val="000000" w:themeColor="text1"/>
          <w:spacing w:val="-3"/>
          <w:lang w:eastAsia="ja-JP"/>
        </w:rPr>
        <w:t xml:space="preserve"> is daarom</w:t>
      </w:r>
      <w:r w:rsidR="000B5DFC" w:rsidRPr="00D65E26">
        <w:rPr>
          <w:color w:val="000000" w:themeColor="text1"/>
          <w:spacing w:val="-3"/>
          <w:lang w:eastAsia="nl-NL"/>
        </w:rPr>
        <w:t xml:space="preserve"> </w:t>
      </w:r>
      <w:r w:rsidR="000E1AC3">
        <w:rPr>
          <w:color w:val="000000" w:themeColor="text1"/>
          <w:spacing w:val="-3"/>
          <w:lang w:eastAsia="nl-NL"/>
        </w:rPr>
        <w:t xml:space="preserve">voor </w:t>
      </w:r>
      <w:r>
        <w:rPr>
          <w:rFonts w:hint="eastAsia"/>
          <w:color w:val="000000" w:themeColor="text1"/>
          <w:spacing w:val="-3"/>
          <w:lang w:eastAsia="ja-JP"/>
        </w:rPr>
        <w:t xml:space="preserve">onder andere </w:t>
      </w:r>
      <w:r w:rsidR="000E1AC3">
        <w:rPr>
          <w:color w:val="000000" w:themeColor="text1"/>
          <w:spacing w:val="-3"/>
          <w:lang w:eastAsia="nl-NL"/>
        </w:rPr>
        <w:t>mijn opdrachtgever</w:t>
      </w:r>
      <w:r w:rsidR="000E1AC3">
        <w:rPr>
          <w:spacing w:val="-3"/>
          <w:lang w:eastAsia="nl-NL"/>
        </w:rPr>
        <w:t xml:space="preserve"> </w:t>
      </w:r>
      <w:r w:rsidR="000B5DFC" w:rsidRPr="00D65E26">
        <w:rPr>
          <w:color w:val="000000" w:themeColor="text1"/>
          <w:spacing w:val="-3"/>
          <w:lang w:eastAsia="nl-NL"/>
        </w:rPr>
        <w:t>soms</w:t>
      </w:r>
      <w:r w:rsidR="00056E64">
        <w:rPr>
          <w:color w:val="000000" w:themeColor="text1"/>
          <w:spacing w:val="-3"/>
          <w:lang w:eastAsia="nl-NL"/>
        </w:rPr>
        <w:t xml:space="preserve"> zeer </w:t>
      </w:r>
      <w:r w:rsidR="000B5DFC" w:rsidRPr="00D65E26">
        <w:rPr>
          <w:color w:val="000000" w:themeColor="text1"/>
          <w:spacing w:val="-3"/>
          <w:lang w:eastAsia="nl-NL"/>
        </w:rPr>
        <w:t xml:space="preserve">lastig </w:t>
      </w:r>
      <w:r w:rsidR="000E1AC3">
        <w:rPr>
          <w:color w:val="000000" w:themeColor="text1"/>
          <w:spacing w:val="-3"/>
          <w:lang w:eastAsia="nl-NL"/>
        </w:rPr>
        <w:t>haar</w:t>
      </w:r>
      <w:r w:rsidR="000B5DFC" w:rsidRPr="00D65E26">
        <w:rPr>
          <w:color w:val="000000" w:themeColor="text1"/>
          <w:spacing w:val="-3"/>
          <w:lang w:eastAsia="nl-NL"/>
        </w:rPr>
        <w:t xml:space="preserve"> cliënten te adviseren omtrent de </w:t>
      </w:r>
      <w:r w:rsidR="00357565">
        <w:rPr>
          <w:rFonts w:hint="eastAsia"/>
          <w:color w:val="000000" w:themeColor="text1"/>
          <w:spacing w:val="-3"/>
          <w:lang w:eastAsia="ja-JP"/>
        </w:rPr>
        <w:t xml:space="preserve">totstandkoming van de hoogte van de </w:t>
      </w:r>
      <w:r w:rsidR="000B5DFC" w:rsidRPr="00D65E26">
        <w:rPr>
          <w:color w:val="000000" w:themeColor="text1"/>
          <w:spacing w:val="-3"/>
          <w:lang w:eastAsia="nl-NL"/>
        </w:rPr>
        <w:t xml:space="preserve">billijke vergoeding en </w:t>
      </w:r>
      <w:r w:rsidR="002B2EF8" w:rsidRPr="00D65E26">
        <w:rPr>
          <w:color w:val="000000" w:themeColor="text1"/>
          <w:spacing w:val="-3"/>
          <w:lang w:eastAsia="nl-NL"/>
        </w:rPr>
        <w:t xml:space="preserve">het </w:t>
      </w:r>
      <w:r w:rsidR="000B5DFC" w:rsidRPr="00D65E26">
        <w:rPr>
          <w:color w:val="000000" w:themeColor="text1"/>
          <w:spacing w:val="-3"/>
          <w:lang w:eastAsia="nl-NL"/>
        </w:rPr>
        <w:t>is de vraag hoe zij hier</w:t>
      </w:r>
      <w:r w:rsidR="00357565">
        <w:rPr>
          <w:rFonts w:hint="eastAsia"/>
          <w:color w:val="000000" w:themeColor="text1"/>
          <w:spacing w:val="-3"/>
          <w:lang w:eastAsia="ja-JP"/>
        </w:rPr>
        <w:t xml:space="preserve"> </w:t>
      </w:r>
      <w:r w:rsidR="00405350" w:rsidRPr="00D65E26">
        <w:rPr>
          <w:color w:val="000000" w:themeColor="text1"/>
          <w:spacing w:val="-3"/>
          <w:lang w:eastAsia="nl-NL"/>
        </w:rPr>
        <w:t>in procedures</w:t>
      </w:r>
      <w:r w:rsidR="00405350">
        <w:rPr>
          <w:rFonts w:hint="eastAsia"/>
          <w:color w:val="000000" w:themeColor="text1"/>
          <w:spacing w:val="-3"/>
          <w:lang w:eastAsia="ja-JP"/>
        </w:rPr>
        <w:t xml:space="preserve"> </w:t>
      </w:r>
      <w:r w:rsidR="00357565">
        <w:rPr>
          <w:rFonts w:hint="eastAsia"/>
          <w:color w:val="000000" w:themeColor="text1"/>
          <w:spacing w:val="-3"/>
          <w:lang w:eastAsia="ja-JP"/>
        </w:rPr>
        <w:t>het beste mee</w:t>
      </w:r>
      <w:r w:rsidR="000B5DFC" w:rsidRPr="00D65E26">
        <w:rPr>
          <w:color w:val="000000" w:themeColor="text1"/>
          <w:spacing w:val="-3"/>
          <w:lang w:eastAsia="nl-NL"/>
        </w:rPr>
        <w:t xml:space="preserve"> om </w:t>
      </w:r>
      <w:r w:rsidR="00523215">
        <w:rPr>
          <w:color w:val="000000" w:themeColor="text1"/>
          <w:spacing w:val="-3"/>
          <w:lang w:eastAsia="nl-NL"/>
        </w:rPr>
        <w:t>kan</w:t>
      </w:r>
      <w:r w:rsidR="000B5DFC" w:rsidRPr="00D65E26">
        <w:rPr>
          <w:color w:val="000000" w:themeColor="text1"/>
          <w:spacing w:val="-3"/>
          <w:lang w:eastAsia="nl-NL"/>
        </w:rPr>
        <w:t xml:space="preserve"> gaan. Daarom wil </w:t>
      </w:r>
      <w:r w:rsidR="00056E64">
        <w:rPr>
          <w:spacing w:val="-3"/>
          <w:lang w:eastAsia="nl-NL"/>
        </w:rPr>
        <w:t xml:space="preserve">Van Diepen Van der Kroef Advocaten </w:t>
      </w:r>
      <w:r w:rsidR="000B5DFC" w:rsidRPr="00D65E26">
        <w:rPr>
          <w:color w:val="000000" w:themeColor="text1"/>
          <w:spacing w:val="-3"/>
          <w:lang w:eastAsia="nl-NL"/>
        </w:rPr>
        <w:t>weten hoe kantonrechters oordelen over de toekenning van de billijke vergoeding</w:t>
      </w:r>
      <w:r w:rsidR="00056E64">
        <w:rPr>
          <w:color w:val="000000" w:themeColor="text1"/>
          <w:spacing w:val="-3"/>
          <w:lang w:eastAsia="nl-NL"/>
        </w:rPr>
        <w:t xml:space="preserve"> </w:t>
      </w:r>
      <w:r w:rsidR="000B5DFC" w:rsidRPr="00D65E26">
        <w:rPr>
          <w:color w:val="000000" w:themeColor="text1"/>
          <w:spacing w:val="-3"/>
          <w:lang w:eastAsia="nl-NL"/>
        </w:rPr>
        <w:t xml:space="preserve">en de </w:t>
      </w:r>
      <w:r w:rsidR="00405350">
        <w:rPr>
          <w:color w:val="000000" w:themeColor="text1"/>
          <w:spacing w:val="-3"/>
          <w:lang w:eastAsia="nl-NL"/>
        </w:rPr>
        <w:t xml:space="preserve">vaststelling van de </w:t>
      </w:r>
      <w:r w:rsidR="000B5DFC" w:rsidRPr="00D65E26">
        <w:rPr>
          <w:color w:val="000000" w:themeColor="text1"/>
          <w:spacing w:val="-3"/>
          <w:lang w:eastAsia="nl-NL"/>
        </w:rPr>
        <w:t>hoogte daarvan.</w:t>
      </w:r>
    </w:p>
    <w:p w:rsidR="00583854" w:rsidRDefault="00583854" w:rsidP="008E3A78">
      <w:pPr>
        <w:spacing w:after="0" w:line="360" w:lineRule="auto"/>
      </w:pPr>
    </w:p>
    <w:p w:rsidR="003B3A17" w:rsidRDefault="00471D53" w:rsidP="008E3A78">
      <w:pPr>
        <w:spacing w:after="0" w:line="360" w:lineRule="auto"/>
      </w:pPr>
      <w:r>
        <w:t xml:space="preserve">Dit onderzoek zal </w:t>
      </w:r>
      <w:r w:rsidR="00405350">
        <w:t xml:space="preserve">voor mijn opdrachtgever </w:t>
      </w:r>
      <w:r w:rsidR="00D65583">
        <w:t>bruikbaar zijn omdat het veel onduidelijkheden zal wegnemen</w:t>
      </w:r>
      <w:r w:rsidR="00590830">
        <w:t xml:space="preserve"> wat betreft de totstandkoming van de hoogte van de billijke vergoeding</w:t>
      </w:r>
      <w:r w:rsidR="00D65583">
        <w:t xml:space="preserve">. </w:t>
      </w:r>
      <w:r w:rsidR="00590830">
        <w:t xml:space="preserve">Zodoende zal </w:t>
      </w:r>
      <w:r w:rsidR="000E1AC3">
        <w:rPr>
          <w:spacing w:val="-3"/>
          <w:lang w:eastAsia="nl-NL"/>
        </w:rPr>
        <w:t xml:space="preserve">Van Diepen Van der Kroef Advocaten </w:t>
      </w:r>
      <w:r w:rsidR="00357565">
        <w:rPr>
          <w:rFonts w:hint="eastAsia"/>
          <w:lang w:eastAsia="ja-JP"/>
        </w:rPr>
        <w:t>haar</w:t>
      </w:r>
      <w:r w:rsidR="00590830">
        <w:t xml:space="preserve"> cliënten nog beter kunnen adviseren en bijstaan. </w:t>
      </w:r>
    </w:p>
    <w:p w:rsidR="004C512B" w:rsidRPr="00056E64" w:rsidRDefault="004C512B" w:rsidP="008E3A78">
      <w:pPr>
        <w:spacing w:after="0" w:line="360" w:lineRule="auto"/>
        <w:rPr>
          <w:spacing w:val="-3"/>
          <w:lang w:eastAsia="nl-NL"/>
        </w:rPr>
      </w:pPr>
    </w:p>
    <w:p w:rsidR="008E098B" w:rsidRPr="004E4AFA" w:rsidRDefault="004C512B" w:rsidP="008E3A78">
      <w:pPr>
        <w:pStyle w:val="Kop2"/>
        <w:spacing w:before="0" w:line="360" w:lineRule="auto"/>
        <w:rPr>
          <w:color w:val="auto"/>
          <w:sz w:val="24"/>
          <w:szCs w:val="24"/>
        </w:rPr>
      </w:pPr>
      <w:bookmarkStart w:id="4" w:name="_Toc472509261"/>
      <w:r w:rsidRPr="004E4AFA">
        <w:rPr>
          <w:color w:val="auto"/>
          <w:sz w:val="24"/>
          <w:szCs w:val="24"/>
        </w:rPr>
        <w:t>1.2</w:t>
      </w:r>
      <w:r w:rsidR="00F41106" w:rsidRPr="004E4AFA">
        <w:rPr>
          <w:color w:val="auto"/>
          <w:sz w:val="24"/>
          <w:szCs w:val="24"/>
        </w:rPr>
        <w:t xml:space="preserve"> Doelstelling, centrale vraag en deelvragen</w:t>
      </w:r>
      <w:bookmarkEnd w:id="4"/>
    </w:p>
    <w:p w:rsidR="004C512B" w:rsidRDefault="004C512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E098B" w:rsidRPr="00F41106" w:rsidRDefault="008E09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r w:rsidRPr="00F41106">
        <w:rPr>
          <w:b/>
          <w:spacing w:val="-3"/>
          <w:lang w:eastAsia="nl-NL"/>
        </w:rPr>
        <w:t>Doelstelling</w:t>
      </w:r>
    </w:p>
    <w:p w:rsidR="008E098B" w:rsidRDefault="00EF3C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 xml:space="preserve">Het doel van mijn onderzoek is </w:t>
      </w:r>
      <w:r w:rsidR="000570D8">
        <w:rPr>
          <w:spacing w:val="-3"/>
          <w:lang w:eastAsia="nl-NL"/>
        </w:rPr>
        <w:t xml:space="preserve">om </w:t>
      </w:r>
      <w:r w:rsidR="006E50FA">
        <w:rPr>
          <w:spacing w:val="-3"/>
          <w:lang w:eastAsia="nl-NL"/>
        </w:rPr>
        <w:t xml:space="preserve">voor </w:t>
      </w:r>
      <w:r w:rsidR="000570D8">
        <w:rPr>
          <w:spacing w:val="-3"/>
          <w:lang w:eastAsia="nl-NL"/>
        </w:rPr>
        <w:t>Van Diepen en Van der Kroef Advocaten</w:t>
      </w:r>
      <w:r>
        <w:rPr>
          <w:spacing w:val="-3"/>
          <w:lang w:eastAsia="nl-NL"/>
        </w:rPr>
        <w:t xml:space="preserve"> een </w:t>
      </w:r>
      <w:r w:rsidR="00C80808">
        <w:rPr>
          <w:spacing w:val="-3"/>
          <w:lang w:eastAsia="nl-NL"/>
        </w:rPr>
        <w:t xml:space="preserve">betrouwbaar </w:t>
      </w:r>
      <w:r w:rsidR="002E7FC5">
        <w:rPr>
          <w:spacing w:val="-3"/>
          <w:lang w:eastAsia="nl-NL"/>
        </w:rPr>
        <w:t xml:space="preserve">en </w:t>
      </w:r>
      <w:r w:rsidR="00C80808">
        <w:rPr>
          <w:spacing w:val="-3"/>
          <w:lang w:eastAsia="nl-NL"/>
        </w:rPr>
        <w:t xml:space="preserve">bruikbaar </w:t>
      </w:r>
      <w:r>
        <w:rPr>
          <w:spacing w:val="-3"/>
          <w:lang w:eastAsia="nl-NL"/>
        </w:rPr>
        <w:t>onderzoek</w:t>
      </w:r>
      <w:r w:rsidR="00FD410F">
        <w:rPr>
          <w:spacing w:val="-3"/>
          <w:lang w:eastAsia="nl-NL"/>
        </w:rPr>
        <w:t>srapport</w:t>
      </w:r>
      <w:r>
        <w:rPr>
          <w:spacing w:val="-3"/>
          <w:lang w:eastAsia="nl-NL"/>
        </w:rPr>
        <w:t xml:space="preserve"> </w:t>
      </w:r>
      <w:r w:rsidR="006E50FA">
        <w:rPr>
          <w:spacing w:val="-3"/>
          <w:lang w:eastAsia="nl-NL"/>
        </w:rPr>
        <w:t>op te stellen</w:t>
      </w:r>
      <w:r>
        <w:rPr>
          <w:spacing w:val="-3"/>
          <w:lang w:eastAsia="nl-NL"/>
        </w:rPr>
        <w:t>. Uit dit onder</w:t>
      </w:r>
      <w:r w:rsidR="00C80808">
        <w:rPr>
          <w:spacing w:val="-3"/>
          <w:lang w:eastAsia="nl-NL"/>
        </w:rPr>
        <w:t xml:space="preserve">zoeksrapport </w:t>
      </w:r>
      <w:r>
        <w:rPr>
          <w:spacing w:val="-3"/>
          <w:lang w:eastAsia="nl-NL"/>
        </w:rPr>
        <w:t xml:space="preserve">moet mijn opdrachtgever een </w:t>
      </w:r>
      <w:r w:rsidR="00C80808">
        <w:rPr>
          <w:spacing w:val="-3"/>
          <w:lang w:eastAsia="nl-NL"/>
        </w:rPr>
        <w:t>helder beeld</w:t>
      </w:r>
      <w:r>
        <w:rPr>
          <w:spacing w:val="-3"/>
          <w:lang w:eastAsia="nl-NL"/>
        </w:rPr>
        <w:t xml:space="preserve"> krijgen van </w:t>
      </w:r>
      <w:r w:rsidR="002E7FC5">
        <w:rPr>
          <w:spacing w:val="-3"/>
          <w:lang w:eastAsia="nl-NL"/>
        </w:rPr>
        <w:t>de</w:t>
      </w:r>
      <w:r w:rsidR="00C80808">
        <w:rPr>
          <w:spacing w:val="-3"/>
          <w:lang w:eastAsia="nl-NL"/>
        </w:rPr>
        <w:t xml:space="preserve"> overwegingen</w:t>
      </w:r>
      <w:r>
        <w:rPr>
          <w:spacing w:val="-3"/>
          <w:lang w:eastAsia="nl-NL"/>
        </w:rPr>
        <w:t xml:space="preserve"> </w:t>
      </w:r>
      <w:r w:rsidR="002E7FC5">
        <w:rPr>
          <w:spacing w:val="-3"/>
          <w:lang w:eastAsia="nl-NL"/>
        </w:rPr>
        <w:t xml:space="preserve">die </w:t>
      </w:r>
      <w:r>
        <w:rPr>
          <w:spacing w:val="-3"/>
          <w:lang w:eastAsia="nl-NL"/>
        </w:rPr>
        <w:t>kantonrechte</w:t>
      </w:r>
      <w:r w:rsidR="00F41106">
        <w:rPr>
          <w:spacing w:val="-3"/>
          <w:lang w:eastAsia="nl-NL"/>
        </w:rPr>
        <w:t xml:space="preserve">rs </w:t>
      </w:r>
      <w:r w:rsidR="002E7FC5">
        <w:rPr>
          <w:spacing w:val="-3"/>
          <w:lang w:eastAsia="nl-NL"/>
        </w:rPr>
        <w:t>hebben</w:t>
      </w:r>
      <w:r w:rsidR="00C80808">
        <w:rPr>
          <w:spacing w:val="-3"/>
          <w:lang w:eastAsia="nl-NL"/>
        </w:rPr>
        <w:t xml:space="preserve"> </w:t>
      </w:r>
      <w:r w:rsidR="00F41106">
        <w:rPr>
          <w:spacing w:val="-3"/>
          <w:lang w:eastAsia="nl-NL"/>
        </w:rPr>
        <w:t>bij he</w:t>
      </w:r>
      <w:r w:rsidR="000570D8">
        <w:rPr>
          <w:spacing w:val="-3"/>
          <w:lang w:eastAsia="nl-NL"/>
        </w:rPr>
        <w:t>t</w:t>
      </w:r>
      <w:r w:rsidR="00F41106">
        <w:rPr>
          <w:spacing w:val="-3"/>
          <w:lang w:eastAsia="nl-NL"/>
        </w:rPr>
        <w:t xml:space="preserve"> bepalen van </w:t>
      </w:r>
      <w:r>
        <w:rPr>
          <w:spacing w:val="-3"/>
          <w:lang w:eastAsia="nl-NL"/>
        </w:rPr>
        <w:t>de hoogte van de billijke vergoeding en</w:t>
      </w:r>
      <w:r w:rsidR="00F41106">
        <w:rPr>
          <w:spacing w:val="-3"/>
          <w:lang w:eastAsia="nl-NL"/>
        </w:rPr>
        <w:t xml:space="preserve"> in hoeverre</w:t>
      </w:r>
      <w:r>
        <w:rPr>
          <w:spacing w:val="-3"/>
          <w:lang w:eastAsia="nl-NL"/>
        </w:rPr>
        <w:t xml:space="preserve"> het ernstig verwijtbaar handelen van de werkgever</w:t>
      </w:r>
      <w:r w:rsidR="00F41106">
        <w:rPr>
          <w:spacing w:val="-3"/>
          <w:lang w:eastAsia="nl-NL"/>
        </w:rPr>
        <w:t xml:space="preserve"> daarin een rol speelt</w:t>
      </w:r>
      <w:r>
        <w:rPr>
          <w:spacing w:val="-3"/>
          <w:lang w:eastAsia="nl-NL"/>
        </w:rPr>
        <w:t xml:space="preserve">. Het is de bedoeling dat na het lezen van </w:t>
      </w:r>
      <w:r w:rsidR="00C80808">
        <w:rPr>
          <w:spacing w:val="-3"/>
          <w:lang w:eastAsia="nl-NL"/>
        </w:rPr>
        <w:t>het</w:t>
      </w:r>
      <w:r>
        <w:rPr>
          <w:spacing w:val="-3"/>
          <w:lang w:eastAsia="nl-NL"/>
        </w:rPr>
        <w:t xml:space="preserve"> onderzoek</w:t>
      </w:r>
      <w:r w:rsidR="00C80808">
        <w:rPr>
          <w:spacing w:val="-3"/>
          <w:lang w:eastAsia="nl-NL"/>
        </w:rPr>
        <w:t>srapport</w:t>
      </w:r>
      <w:r>
        <w:rPr>
          <w:spacing w:val="-3"/>
          <w:lang w:eastAsia="nl-NL"/>
        </w:rPr>
        <w:t xml:space="preserve"> </w:t>
      </w:r>
      <w:r w:rsidR="000570D8">
        <w:rPr>
          <w:spacing w:val="-3"/>
          <w:lang w:eastAsia="nl-NL"/>
        </w:rPr>
        <w:t xml:space="preserve">Van Diepen en Van der Kroef Advocaten haar </w:t>
      </w:r>
      <w:r>
        <w:rPr>
          <w:spacing w:val="-3"/>
          <w:lang w:eastAsia="nl-NL"/>
        </w:rPr>
        <w:t xml:space="preserve">cliënten nog beter kan </w:t>
      </w:r>
      <w:r w:rsidR="00C80808">
        <w:rPr>
          <w:spacing w:val="-3"/>
          <w:lang w:eastAsia="nl-NL"/>
        </w:rPr>
        <w:t>bijstaan en adviseren</w:t>
      </w:r>
      <w:r>
        <w:rPr>
          <w:spacing w:val="-3"/>
          <w:lang w:eastAsia="nl-NL"/>
        </w:rPr>
        <w:t xml:space="preserve"> bij het vorderen van een billijke vergoeding. </w:t>
      </w:r>
      <w:r w:rsidR="00523215">
        <w:rPr>
          <w:spacing w:val="-3"/>
          <w:lang w:eastAsia="nl-NL"/>
        </w:rPr>
        <w:t>Ook zal er dan</w:t>
      </w:r>
      <w:r>
        <w:rPr>
          <w:spacing w:val="-3"/>
          <w:lang w:eastAsia="nl-NL"/>
        </w:rPr>
        <w:t xml:space="preserve"> een betere </w:t>
      </w:r>
      <w:r w:rsidR="00330C63">
        <w:rPr>
          <w:spacing w:val="-3"/>
          <w:lang w:eastAsia="nl-NL"/>
        </w:rPr>
        <w:t>af</w:t>
      </w:r>
      <w:r>
        <w:rPr>
          <w:spacing w:val="-3"/>
          <w:lang w:eastAsia="nl-NL"/>
        </w:rPr>
        <w:t xml:space="preserve">weging </w:t>
      </w:r>
      <w:r w:rsidR="00426917">
        <w:rPr>
          <w:spacing w:val="-3"/>
          <w:lang w:eastAsia="nl-NL"/>
        </w:rPr>
        <w:t xml:space="preserve">gemaakt kunnen worden </w:t>
      </w:r>
      <w:r w:rsidR="002B2EF8">
        <w:rPr>
          <w:spacing w:val="-3"/>
          <w:lang w:eastAsia="nl-NL"/>
        </w:rPr>
        <w:t xml:space="preserve">omtrent de billijke vergoeding </w:t>
      </w:r>
      <w:r>
        <w:rPr>
          <w:spacing w:val="-3"/>
          <w:lang w:eastAsia="nl-NL"/>
        </w:rPr>
        <w:t xml:space="preserve">om al dan niet een zaak </w:t>
      </w:r>
      <w:r w:rsidR="002B2EF8">
        <w:rPr>
          <w:spacing w:val="-3"/>
          <w:lang w:eastAsia="nl-NL"/>
        </w:rPr>
        <w:t>aan te vechten</w:t>
      </w:r>
      <w:r w:rsidR="00887B8B">
        <w:rPr>
          <w:spacing w:val="-3"/>
          <w:lang w:eastAsia="nl-NL"/>
        </w:rPr>
        <w:t xml:space="preserve"> van de </w:t>
      </w:r>
      <w:r w:rsidR="00F66488">
        <w:rPr>
          <w:spacing w:val="-3"/>
          <w:lang w:eastAsia="nl-NL"/>
        </w:rPr>
        <w:t>zijde</w:t>
      </w:r>
      <w:r w:rsidR="00887B8B">
        <w:rPr>
          <w:spacing w:val="-3"/>
          <w:lang w:eastAsia="nl-NL"/>
        </w:rPr>
        <w:t xml:space="preserve"> van de</w:t>
      </w:r>
      <w:r w:rsidR="00F66488">
        <w:rPr>
          <w:spacing w:val="-3"/>
          <w:lang w:eastAsia="nl-NL"/>
        </w:rPr>
        <w:t xml:space="preserve"> werkgever of </w:t>
      </w:r>
      <w:r w:rsidR="00887B8B">
        <w:rPr>
          <w:spacing w:val="-3"/>
          <w:lang w:eastAsia="nl-NL"/>
        </w:rPr>
        <w:t xml:space="preserve"> van de </w:t>
      </w:r>
      <w:r w:rsidR="00F66488">
        <w:rPr>
          <w:spacing w:val="-3"/>
          <w:lang w:eastAsia="nl-NL"/>
        </w:rPr>
        <w:t>werknemer</w:t>
      </w:r>
      <w:r w:rsidR="002B2EF8">
        <w:rPr>
          <w:spacing w:val="-3"/>
          <w:lang w:eastAsia="nl-NL"/>
        </w:rPr>
        <w:t xml:space="preserve">. </w:t>
      </w:r>
    </w:p>
    <w:p w:rsidR="008E3A78" w:rsidRDefault="008E3A78"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583854" w:rsidRDefault="00583854"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583854" w:rsidRDefault="00583854"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426917" w:rsidRPr="00F41106" w:rsidRDefault="00F41106"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r w:rsidRPr="00F41106">
        <w:rPr>
          <w:b/>
          <w:spacing w:val="-3"/>
          <w:lang w:eastAsia="nl-NL"/>
        </w:rPr>
        <w:lastRenderedPageBreak/>
        <w:t xml:space="preserve">Centrale vraag </w:t>
      </w:r>
    </w:p>
    <w:p w:rsidR="00284000" w:rsidRPr="00D65E26" w:rsidRDefault="006F6528"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r>
        <w:rPr>
          <w:color w:val="000000" w:themeColor="text1"/>
        </w:rPr>
        <w:t>Welk advies</w:t>
      </w:r>
      <w:r w:rsidR="00284000" w:rsidRPr="00D65E26">
        <w:rPr>
          <w:color w:val="000000" w:themeColor="text1"/>
        </w:rPr>
        <w:t xml:space="preserve"> </w:t>
      </w:r>
      <w:r>
        <w:rPr>
          <w:color w:val="000000" w:themeColor="text1"/>
        </w:rPr>
        <w:t>kan</w:t>
      </w:r>
      <w:r w:rsidR="00284000" w:rsidRPr="00D65E26">
        <w:rPr>
          <w:color w:val="000000" w:themeColor="text1"/>
        </w:rPr>
        <w:t xml:space="preserve"> </w:t>
      </w:r>
      <w:r w:rsidR="000570D8">
        <w:rPr>
          <w:spacing w:val="-3"/>
          <w:lang w:eastAsia="nl-NL"/>
        </w:rPr>
        <w:t xml:space="preserve">Van Diepen en Van der Kroef Advocaten </w:t>
      </w:r>
      <w:r w:rsidR="00284000" w:rsidRPr="00D65E26">
        <w:rPr>
          <w:color w:val="000000" w:themeColor="text1"/>
        </w:rPr>
        <w:t>worden</w:t>
      </w:r>
      <w:r w:rsidR="00750E67">
        <w:rPr>
          <w:color w:val="000000" w:themeColor="text1"/>
        </w:rPr>
        <w:t xml:space="preserve"> gegeven</w:t>
      </w:r>
      <w:r>
        <w:rPr>
          <w:color w:val="000000" w:themeColor="text1"/>
        </w:rPr>
        <w:t xml:space="preserve">, als het gaat om </w:t>
      </w:r>
      <w:r w:rsidRPr="00D65E26">
        <w:rPr>
          <w:color w:val="000000" w:themeColor="text1"/>
          <w:spacing w:val="-3"/>
          <w:lang w:eastAsia="nl-NL"/>
        </w:rPr>
        <w:t>het</w:t>
      </w:r>
      <w:r w:rsidR="00750E67">
        <w:rPr>
          <w:color w:val="000000" w:themeColor="text1"/>
          <w:spacing w:val="-3"/>
          <w:lang w:eastAsia="nl-NL"/>
        </w:rPr>
        <w:t xml:space="preserve"> toekennen van de billijke vergoeding en </w:t>
      </w:r>
      <w:r w:rsidR="00681BFF">
        <w:rPr>
          <w:color w:val="000000" w:themeColor="text1"/>
          <w:spacing w:val="-3"/>
          <w:lang w:eastAsia="nl-NL"/>
        </w:rPr>
        <w:t xml:space="preserve">het </w:t>
      </w:r>
      <w:r w:rsidR="00681BFF" w:rsidRPr="00D65E26">
        <w:rPr>
          <w:color w:val="000000" w:themeColor="text1"/>
          <w:spacing w:val="-3"/>
          <w:lang w:eastAsia="nl-NL"/>
        </w:rPr>
        <w:t>bepalen</w:t>
      </w:r>
      <w:r w:rsidRPr="00D65E26">
        <w:rPr>
          <w:color w:val="000000" w:themeColor="text1"/>
          <w:spacing w:val="-3"/>
          <w:lang w:eastAsia="nl-NL"/>
        </w:rPr>
        <w:t xml:space="preserve"> van de hoogte van </w:t>
      </w:r>
      <w:r w:rsidR="00284000" w:rsidRPr="00D65E26">
        <w:rPr>
          <w:color w:val="000000" w:themeColor="text1"/>
        </w:rPr>
        <w:t>de billijke vergoeding</w:t>
      </w:r>
      <w:r w:rsidR="0003700B">
        <w:rPr>
          <w:color w:val="000000" w:themeColor="text1"/>
        </w:rPr>
        <w:t>,</w:t>
      </w:r>
      <w:r w:rsidR="00284000" w:rsidRPr="00D65E26">
        <w:rPr>
          <w:color w:val="000000" w:themeColor="text1"/>
        </w:rPr>
        <w:t xml:space="preserve"> aan de hand van de</w:t>
      </w:r>
      <w:r>
        <w:rPr>
          <w:color w:val="000000" w:themeColor="text1"/>
        </w:rPr>
        <w:t xml:space="preserve"> belangrijkste</w:t>
      </w:r>
      <w:r w:rsidR="00284000" w:rsidRPr="00D65E26">
        <w:rPr>
          <w:color w:val="000000" w:themeColor="text1"/>
        </w:rPr>
        <w:t xml:space="preserve"> overwegingen die kantonrechters </w:t>
      </w:r>
      <w:r w:rsidR="00330C63">
        <w:rPr>
          <w:color w:val="000000" w:themeColor="text1"/>
        </w:rPr>
        <w:t>hebben</w:t>
      </w:r>
      <w:r w:rsidR="00284000" w:rsidRPr="00D65E26">
        <w:rPr>
          <w:color w:val="000000" w:themeColor="text1"/>
        </w:rPr>
        <w:t xml:space="preserve"> </w:t>
      </w:r>
      <w:r w:rsidR="00284000" w:rsidRPr="00D65E26">
        <w:rPr>
          <w:color w:val="000000" w:themeColor="text1"/>
          <w:spacing w:val="-3"/>
          <w:lang w:eastAsia="nl-NL"/>
        </w:rPr>
        <w:t xml:space="preserve">volgens de </w:t>
      </w:r>
      <w:r w:rsidR="00916AFF">
        <w:rPr>
          <w:color w:val="000000" w:themeColor="text1"/>
          <w:spacing w:val="-3"/>
          <w:lang w:eastAsia="nl-NL"/>
        </w:rPr>
        <w:t xml:space="preserve">relevante </w:t>
      </w:r>
      <w:r w:rsidR="00284000" w:rsidRPr="00D65E26">
        <w:rPr>
          <w:color w:val="000000" w:themeColor="text1"/>
          <w:spacing w:val="-3"/>
          <w:lang w:eastAsia="nl-NL"/>
        </w:rPr>
        <w:t>literatuur, wet- en regelgeving en jurisprudentie</w:t>
      </w:r>
      <w:r>
        <w:rPr>
          <w:color w:val="000000" w:themeColor="text1"/>
          <w:spacing w:val="-3"/>
          <w:lang w:eastAsia="nl-NL"/>
        </w:rPr>
        <w:t>?</w:t>
      </w:r>
    </w:p>
    <w:p w:rsidR="008E3A78" w:rsidRDefault="008E3A78"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p>
    <w:p w:rsidR="00F41106" w:rsidRDefault="00F41106"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r w:rsidRPr="00F41106">
        <w:rPr>
          <w:b/>
          <w:bCs/>
          <w:spacing w:val="-3"/>
          <w:lang w:eastAsia="nl-NL"/>
        </w:rPr>
        <w:t xml:space="preserve">Deelvragen </w:t>
      </w:r>
    </w:p>
    <w:p w:rsidR="009F2D22" w:rsidRDefault="009F2D22"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r>
        <w:rPr>
          <w:b/>
          <w:bCs/>
          <w:spacing w:val="-3"/>
          <w:lang w:eastAsia="nl-NL"/>
        </w:rPr>
        <w:t xml:space="preserve">Theoretisch – Juridisch gericht </w:t>
      </w:r>
    </w:p>
    <w:p w:rsidR="00F41106" w:rsidRDefault="00F41106" w:rsidP="008E3A78">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sidRPr="00F41106">
        <w:rPr>
          <w:spacing w:val="-3"/>
          <w:lang w:eastAsia="nl-NL"/>
        </w:rPr>
        <w:t>Wat is de billijke vergoeding</w:t>
      </w:r>
      <w:r w:rsidR="000570D8">
        <w:rPr>
          <w:spacing w:val="-3"/>
          <w:lang w:eastAsia="nl-NL"/>
        </w:rPr>
        <w:t xml:space="preserve"> </w:t>
      </w:r>
      <w:r w:rsidR="00EA52A5">
        <w:rPr>
          <w:spacing w:val="-3"/>
          <w:lang w:eastAsia="nl-NL"/>
        </w:rPr>
        <w:t>volgen</w:t>
      </w:r>
      <w:r w:rsidR="00E64B53">
        <w:rPr>
          <w:spacing w:val="-3"/>
          <w:lang w:eastAsia="nl-NL"/>
        </w:rPr>
        <w:t>s</w:t>
      </w:r>
      <w:r w:rsidR="00EA52A5">
        <w:rPr>
          <w:spacing w:val="-3"/>
          <w:lang w:eastAsia="nl-NL"/>
        </w:rPr>
        <w:t xml:space="preserve"> de </w:t>
      </w:r>
      <w:r w:rsidR="00086A08">
        <w:rPr>
          <w:spacing w:val="-3"/>
          <w:lang w:eastAsia="nl-NL"/>
        </w:rPr>
        <w:t xml:space="preserve">relevante </w:t>
      </w:r>
      <w:r w:rsidR="00EA52A5">
        <w:rPr>
          <w:spacing w:val="-3"/>
          <w:lang w:eastAsia="nl-NL"/>
        </w:rPr>
        <w:t>literatuur en de wet- en regelgeving</w:t>
      </w:r>
      <w:r>
        <w:rPr>
          <w:spacing w:val="-3"/>
          <w:lang w:eastAsia="nl-NL"/>
        </w:rPr>
        <w:t>?</w:t>
      </w:r>
    </w:p>
    <w:p w:rsidR="00E60596" w:rsidRPr="00E60596" w:rsidRDefault="00E60596" w:rsidP="008E3A78">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sidRPr="00E60596">
        <w:rPr>
          <w:spacing w:val="-3"/>
          <w:lang w:eastAsia="nl-NL"/>
        </w:rPr>
        <w:t xml:space="preserve">Onder welke omstandigheden </w:t>
      </w:r>
      <w:r>
        <w:rPr>
          <w:spacing w:val="-3"/>
          <w:lang w:eastAsia="nl-NL"/>
        </w:rPr>
        <w:t xml:space="preserve">is er sprake van ernstig verwijtbaar handelen van de werkgever en </w:t>
      </w:r>
      <w:r w:rsidRPr="00E60596">
        <w:rPr>
          <w:spacing w:val="-3"/>
          <w:lang w:eastAsia="nl-NL"/>
        </w:rPr>
        <w:t xml:space="preserve">wordt de billijke vergoeding toegekend volgens de </w:t>
      </w:r>
      <w:r w:rsidR="00086A08">
        <w:rPr>
          <w:spacing w:val="-3"/>
          <w:lang w:eastAsia="nl-NL"/>
        </w:rPr>
        <w:t xml:space="preserve">relevante </w:t>
      </w:r>
      <w:r w:rsidRPr="00E60596">
        <w:rPr>
          <w:spacing w:val="-3"/>
          <w:lang w:eastAsia="nl-NL"/>
        </w:rPr>
        <w:t xml:space="preserve">literatuur en de wetgeving? </w:t>
      </w:r>
    </w:p>
    <w:p w:rsidR="00F41106" w:rsidRPr="00426785" w:rsidRDefault="00426785" w:rsidP="008E3A78">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sidRPr="00426785">
        <w:rPr>
          <w:spacing w:val="-3"/>
          <w:lang w:eastAsia="nl-NL"/>
        </w:rPr>
        <w:t>Hoe wordt de hoogte van de billijke vergoeding bepaal</w:t>
      </w:r>
      <w:r w:rsidR="008345C3">
        <w:rPr>
          <w:spacing w:val="-3"/>
          <w:lang w:eastAsia="nl-NL"/>
        </w:rPr>
        <w:t>d</w:t>
      </w:r>
      <w:r w:rsidRPr="00426785">
        <w:rPr>
          <w:spacing w:val="-3"/>
          <w:lang w:eastAsia="nl-NL"/>
        </w:rPr>
        <w:t xml:space="preserve"> volgens de literatuur en de wet</w:t>
      </w:r>
      <w:r w:rsidR="00777341">
        <w:rPr>
          <w:spacing w:val="-3"/>
          <w:lang w:eastAsia="nl-NL"/>
        </w:rPr>
        <w:t>- en regel</w:t>
      </w:r>
      <w:r w:rsidRPr="00426785">
        <w:rPr>
          <w:spacing w:val="-3"/>
          <w:lang w:eastAsia="nl-NL"/>
        </w:rPr>
        <w:t>geving?</w:t>
      </w:r>
    </w:p>
    <w:p w:rsidR="00583854" w:rsidRDefault="00583854"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9F2D22" w:rsidRPr="009F2D22" w:rsidRDefault="009F2D22"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r w:rsidRPr="009F2D22">
        <w:rPr>
          <w:b/>
          <w:spacing w:val="-3"/>
          <w:lang w:eastAsia="nl-NL"/>
        </w:rPr>
        <w:t>Praktijk</w:t>
      </w:r>
      <w:r>
        <w:rPr>
          <w:b/>
          <w:spacing w:val="-3"/>
          <w:lang w:eastAsia="nl-NL"/>
        </w:rPr>
        <w:t>gericht</w:t>
      </w:r>
      <w:r w:rsidRPr="009F2D22">
        <w:rPr>
          <w:b/>
          <w:spacing w:val="-3"/>
          <w:lang w:eastAsia="nl-NL"/>
        </w:rPr>
        <w:t xml:space="preserve"> </w:t>
      </w:r>
    </w:p>
    <w:p w:rsidR="006D5DC2" w:rsidRPr="00856A43" w:rsidRDefault="006D5DC2" w:rsidP="008E3A78">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sidRPr="00856A43">
        <w:rPr>
          <w:spacing w:val="-3"/>
          <w:lang w:eastAsia="nl-NL"/>
        </w:rPr>
        <w:t xml:space="preserve">Onder welke omstandigheden is er volgens de </w:t>
      </w:r>
      <w:r w:rsidR="00086A08">
        <w:rPr>
          <w:spacing w:val="-3"/>
          <w:lang w:eastAsia="nl-NL"/>
        </w:rPr>
        <w:t xml:space="preserve">relevante </w:t>
      </w:r>
      <w:r w:rsidRPr="00856A43">
        <w:rPr>
          <w:spacing w:val="-3"/>
          <w:lang w:eastAsia="nl-NL"/>
        </w:rPr>
        <w:t>jurisprudentie sprake van ernstig verwijt</w:t>
      </w:r>
      <w:r w:rsidR="00A16053">
        <w:rPr>
          <w:spacing w:val="-3"/>
          <w:lang w:eastAsia="nl-NL"/>
        </w:rPr>
        <w:t>baar handelen van de werkgever en wordt</w:t>
      </w:r>
      <w:r w:rsidRPr="00856A43">
        <w:rPr>
          <w:spacing w:val="-3"/>
          <w:lang w:eastAsia="nl-NL"/>
        </w:rPr>
        <w:t xml:space="preserve"> de </w:t>
      </w:r>
      <w:r w:rsidR="00A16053">
        <w:rPr>
          <w:spacing w:val="-3"/>
          <w:lang w:eastAsia="nl-NL"/>
        </w:rPr>
        <w:t xml:space="preserve">vordering van de </w:t>
      </w:r>
      <w:r w:rsidRPr="00856A43">
        <w:rPr>
          <w:spacing w:val="-3"/>
          <w:lang w:eastAsia="nl-NL"/>
        </w:rPr>
        <w:t>billijke vergoeding toegewezen?</w:t>
      </w:r>
    </w:p>
    <w:p w:rsidR="006D5DC2" w:rsidRPr="00C80808" w:rsidRDefault="006D5DC2" w:rsidP="008E3A78">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sidRPr="00C80808">
        <w:rPr>
          <w:spacing w:val="-3"/>
          <w:lang w:eastAsia="nl-NL"/>
        </w:rPr>
        <w:t>Onder welke omstandigheden is er volgens de</w:t>
      </w:r>
      <w:r w:rsidR="00086A08">
        <w:rPr>
          <w:spacing w:val="-3"/>
          <w:lang w:eastAsia="nl-NL"/>
        </w:rPr>
        <w:t xml:space="preserve"> relevante</w:t>
      </w:r>
      <w:r w:rsidRPr="00C80808">
        <w:rPr>
          <w:spacing w:val="-3"/>
          <w:lang w:eastAsia="nl-NL"/>
        </w:rPr>
        <w:t xml:space="preserve"> jurisprudentie geen sprake van ernstig verwijtbaar handelen van de werkgever en wordt de vordering van de billijke vergoeding afgewezen? </w:t>
      </w:r>
      <w:r w:rsidR="007D6320" w:rsidRPr="00C80808">
        <w:rPr>
          <w:spacing w:val="-3"/>
          <w:lang w:eastAsia="nl-NL"/>
        </w:rPr>
        <w:t xml:space="preserve"> </w:t>
      </w:r>
    </w:p>
    <w:p w:rsidR="00F41106" w:rsidRDefault="0021185D" w:rsidP="008E3A78">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sidRPr="00856A43">
        <w:rPr>
          <w:spacing w:val="-3"/>
          <w:lang w:eastAsia="nl-NL"/>
        </w:rPr>
        <w:t xml:space="preserve">Welke </w:t>
      </w:r>
      <w:r w:rsidR="00CB58D4">
        <w:rPr>
          <w:spacing w:val="-3"/>
          <w:lang w:eastAsia="nl-NL"/>
        </w:rPr>
        <w:t xml:space="preserve">belangrijkste </w:t>
      </w:r>
      <w:r w:rsidR="00A16053">
        <w:rPr>
          <w:spacing w:val="-3"/>
          <w:lang w:eastAsia="nl-NL"/>
        </w:rPr>
        <w:t xml:space="preserve">overwegingen </w:t>
      </w:r>
      <w:r w:rsidR="008345C3">
        <w:rPr>
          <w:spacing w:val="-3"/>
          <w:lang w:eastAsia="nl-NL"/>
        </w:rPr>
        <w:t xml:space="preserve">hebben </w:t>
      </w:r>
      <w:r w:rsidRPr="00856A43">
        <w:rPr>
          <w:spacing w:val="-3"/>
          <w:lang w:eastAsia="nl-NL"/>
        </w:rPr>
        <w:t xml:space="preserve">de </w:t>
      </w:r>
      <w:r w:rsidR="00681BFF" w:rsidRPr="00856A43">
        <w:rPr>
          <w:spacing w:val="-3"/>
          <w:lang w:eastAsia="nl-NL"/>
        </w:rPr>
        <w:t>kantonrechters bij</w:t>
      </w:r>
      <w:r w:rsidRPr="00856A43">
        <w:rPr>
          <w:spacing w:val="-3"/>
          <w:lang w:eastAsia="nl-NL"/>
        </w:rPr>
        <w:t xml:space="preserve"> het bepalen van de hoogte van de </w:t>
      </w:r>
      <w:r w:rsidRPr="0021185D">
        <w:rPr>
          <w:spacing w:val="-3"/>
          <w:lang w:eastAsia="nl-NL"/>
        </w:rPr>
        <w:t xml:space="preserve">billijke vergoeding? </w:t>
      </w:r>
    </w:p>
    <w:p w:rsidR="007E6428" w:rsidRDefault="007E6428"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F373F" w:rsidRDefault="00DF373F" w:rsidP="008E3A78">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5146A6" w:rsidRPr="004E4AFA" w:rsidRDefault="004C512B" w:rsidP="008E3A78">
      <w:pPr>
        <w:pStyle w:val="Kop2"/>
        <w:spacing w:before="0" w:line="360" w:lineRule="auto"/>
        <w:rPr>
          <w:color w:val="auto"/>
          <w:sz w:val="24"/>
          <w:szCs w:val="24"/>
          <w:lang w:eastAsia="nl-NL"/>
        </w:rPr>
      </w:pPr>
      <w:bookmarkStart w:id="5" w:name="_Toc472509262"/>
      <w:r w:rsidRPr="004E4AFA">
        <w:rPr>
          <w:color w:val="auto"/>
          <w:sz w:val="24"/>
          <w:szCs w:val="24"/>
          <w:lang w:eastAsia="nl-NL"/>
        </w:rPr>
        <w:t xml:space="preserve">1.3 </w:t>
      </w:r>
      <w:r w:rsidR="004E4AFA">
        <w:rPr>
          <w:color w:val="auto"/>
          <w:sz w:val="24"/>
          <w:szCs w:val="24"/>
          <w:lang w:eastAsia="nl-NL"/>
        </w:rPr>
        <w:t>Onderzoeksmethode</w:t>
      </w:r>
      <w:bookmarkEnd w:id="5"/>
    </w:p>
    <w:p w:rsidR="004E4AFA" w:rsidRDefault="004E4AFA"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7D00FF" w:rsidRPr="00112DC6" w:rsidRDefault="00A71576"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lang w:eastAsia="ja-JP"/>
        </w:rPr>
      </w:pPr>
      <w:r w:rsidRPr="00A71576">
        <w:rPr>
          <w:color w:val="000000"/>
        </w:rPr>
        <w:t xml:space="preserve">Om de centrale vraag te </w:t>
      </w:r>
      <w:r>
        <w:rPr>
          <w:color w:val="000000"/>
        </w:rPr>
        <w:t>kunnen beantwoorden, heb ik zes</w:t>
      </w:r>
      <w:r w:rsidRPr="00A71576">
        <w:rPr>
          <w:color w:val="000000"/>
        </w:rPr>
        <w:t xml:space="preserve"> deelvragen geformuleerd. Hieronder wordt per deelvraag aangegeven van welke methode ik gebruik ga maken. Ook geef ik per deelvraag aan wat de kwaliteit is van de bronnen die ik ga gebruiken om mijn deelvragen te beantwoorden. Hierbij zorg ik ervoor dat de betrouwbaarheid van de bronnen wordt gewaarborgd.</w:t>
      </w:r>
      <w:r w:rsidR="00E72354">
        <w:rPr>
          <w:color w:val="000000"/>
        </w:rPr>
        <w:t xml:space="preserve"> Voor alle theorie gerelateerde deelvragen heb ik dezelfde bronnen gebruikt. De gebruikte literatuur en wetgeving voor de theor</w:t>
      </w:r>
      <w:r w:rsidR="008345C3">
        <w:rPr>
          <w:color w:val="000000"/>
        </w:rPr>
        <w:t>etische</w:t>
      </w:r>
      <w:r w:rsidR="00E72354">
        <w:rPr>
          <w:color w:val="000000"/>
        </w:rPr>
        <w:t xml:space="preserve"> deelvragen staa</w:t>
      </w:r>
      <w:r w:rsidR="008345C3">
        <w:rPr>
          <w:color w:val="000000"/>
        </w:rPr>
        <w:t>t</w:t>
      </w:r>
      <w:r w:rsidR="00E72354">
        <w:rPr>
          <w:color w:val="000000"/>
        </w:rPr>
        <w:t xml:space="preserve"> in de literatuurlijst. </w:t>
      </w:r>
    </w:p>
    <w:p w:rsidR="00800320" w:rsidRDefault="00800320"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p>
    <w:p w:rsidR="00112DC6" w:rsidRDefault="00A71576"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ja-JP"/>
        </w:rPr>
      </w:pPr>
      <w:r>
        <w:rPr>
          <w:b/>
          <w:bCs/>
          <w:spacing w:val="-3"/>
          <w:lang w:eastAsia="nl-NL"/>
        </w:rPr>
        <w:lastRenderedPageBreak/>
        <w:t xml:space="preserve">Deelvraag 1: </w:t>
      </w:r>
      <w:r w:rsidRPr="00A71576">
        <w:rPr>
          <w:b/>
          <w:bCs/>
          <w:spacing w:val="-3"/>
          <w:lang w:eastAsia="nl-NL"/>
        </w:rPr>
        <w:t xml:space="preserve">Wat is de billijke vergoeding </w:t>
      </w:r>
      <w:r w:rsidR="00681BFF" w:rsidRPr="00A71576">
        <w:rPr>
          <w:b/>
          <w:bCs/>
          <w:spacing w:val="-3"/>
          <w:lang w:eastAsia="nl-NL"/>
        </w:rPr>
        <w:t>volgens de</w:t>
      </w:r>
      <w:r w:rsidRPr="00A71576">
        <w:rPr>
          <w:b/>
          <w:bCs/>
          <w:spacing w:val="-3"/>
          <w:lang w:eastAsia="nl-NL"/>
        </w:rPr>
        <w:t xml:space="preserve"> literatuur en de wetgeving?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7D00FF" w:rsidRDefault="00A71576"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r w:rsidRPr="00A71576">
        <w:rPr>
          <w:color w:val="000000"/>
        </w:rPr>
        <w:t>Deze deel</w:t>
      </w:r>
      <w:r w:rsidR="00916AFF">
        <w:rPr>
          <w:color w:val="000000"/>
        </w:rPr>
        <w:t>vraag vind ik essentieel voor</w:t>
      </w:r>
      <w:r w:rsidRPr="00A71576">
        <w:rPr>
          <w:color w:val="000000"/>
        </w:rPr>
        <w:t xml:space="preserve"> mijn onderzoek omdat </w:t>
      </w:r>
      <w:r w:rsidR="008345C3">
        <w:rPr>
          <w:color w:val="000000"/>
        </w:rPr>
        <w:t>deze</w:t>
      </w:r>
      <w:r w:rsidRPr="00A71576">
        <w:rPr>
          <w:color w:val="000000"/>
        </w:rPr>
        <w:t xml:space="preserve"> een helder beeld geeft van wat </w:t>
      </w:r>
      <w:r>
        <w:rPr>
          <w:color w:val="000000"/>
        </w:rPr>
        <w:t>de additionele billijke ver</w:t>
      </w:r>
      <w:r w:rsidRPr="00A71576">
        <w:rPr>
          <w:color w:val="000000"/>
        </w:rPr>
        <w:t xml:space="preserve">goeding precies is. De lezer </w:t>
      </w:r>
      <w:r w:rsidR="007D00FF">
        <w:rPr>
          <w:color w:val="000000"/>
        </w:rPr>
        <w:t xml:space="preserve">zal </w:t>
      </w:r>
      <w:r w:rsidR="000570D8">
        <w:rPr>
          <w:color w:val="000000"/>
        </w:rPr>
        <w:t>een duidelijk</w:t>
      </w:r>
      <w:r w:rsidR="007D00FF">
        <w:rPr>
          <w:color w:val="000000"/>
        </w:rPr>
        <w:t>er</w:t>
      </w:r>
      <w:r w:rsidR="000570D8">
        <w:rPr>
          <w:color w:val="000000"/>
        </w:rPr>
        <w:t xml:space="preserve"> beeld </w:t>
      </w:r>
      <w:r w:rsidR="007D00FF">
        <w:rPr>
          <w:color w:val="000000"/>
        </w:rPr>
        <w:t xml:space="preserve">krijgen </w:t>
      </w:r>
      <w:r w:rsidR="000570D8">
        <w:rPr>
          <w:color w:val="000000"/>
        </w:rPr>
        <w:t>van</w:t>
      </w:r>
      <w:r w:rsidRPr="00A71576">
        <w:rPr>
          <w:color w:val="000000"/>
        </w:rPr>
        <w:t xml:space="preserve"> het kernbegrip </w:t>
      </w:r>
      <w:r w:rsidR="008345C3">
        <w:rPr>
          <w:color w:val="000000"/>
        </w:rPr>
        <w:t>uit</w:t>
      </w:r>
      <w:r w:rsidRPr="00A71576">
        <w:rPr>
          <w:color w:val="000000"/>
        </w:rPr>
        <w:t xml:space="preserve"> dit onderzoek. </w:t>
      </w:r>
      <w:r w:rsidR="007D00FF">
        <w:rPr>
          <w:color w:val="000000"/>
        </w:rPr>
        <w:t>Daarnaast k</w:t>
      </w:r>
      <w:r w:rsidR="008345C3">
        <w:rPr>
          <w:color w:val="000000"/>
        </w:rPr>
        <w:t>unnen</w:t>
      </w:r>
      <w:r w:rsidR="007D00FF">
        <w:rPr>
          <w:color w:val="000000"/>
        </w:rPr>
        <w:t xml:space="preserve"> er uit de </w:t>
      </w:r>
      <w:r w:rsidR="008345C3">
        <w:rPr>
          <w:color w:val="000000"/>
        </w:rPr>
        <w:t>in</w:t>
      </w:r>
      <w:r w:rsidR="007D00FF">
        <w:rPr>
          <w:color w:val="000000"/>
        </w:rPr>
        <w:t>gewonnen informatie van de gebruikte bronnen</w:t>
      </w:r>
      <w:r w:rsidR="008345C3">
        <w:rPr>
          <w:color w:val="000000"/>
        </w:rPr>
        <w:t>,</w:t>
      </w:r>
      <w:r w:rsidR="007D00FF">
        <w:rPr>
          <w:color w:val="000000"/>
        </w:rPr>
        <w:t xml:space="preserve"> goe</w:t>
      </w:r>
      <w:r w:rsidR="00800320">
        <w:rPr>
          <w:color w:val="000000"/>
        </w:rPr>
        <w:t>de topics worden geselecteerd voor</w:t>
      </w:r>
      <w:r w:rsidR="007D00FF">
        <w:rPr>
          <w:color w:val="000000"/>
        </w:rPr>
        <w:t xml:space="preserve"> het </w:t>
      </w:r>
      <w:r w:rsidR="00800320">
        <w:rPr>
          <w:color w:val="000000"/>
        </w:rPr>
        <w:t xml:space="preserve">uitvoeren </w:t>
      </w:r>
      <w:r w:rsidR="007D00FF">
        <w:rPr>
          <w:color w:val="000000"/>
        </w:rPr>
        <w:t xml:space="preserve">van het jurisprudentieonderzoek. </w:t>
      </w:r>
    </w:p>
    <w:p w:rsidR="00F66488" w:rsidRDefault="00F66488"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color w:val="000000"/>
        </w:rPr>
      </w:pPr>
    </w:p>
    <w:p w:rsidR="00F66488" w:rsidRDefault="00F66488"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color w:val="000000"/>
        </w:rPr>
      </w:pPr>
      <w:r>
        <w:rPr>
          <w:i/>
          <w:color w:val="000000"/>
        </w:rPr>
        <w:t>Literatuur – en bronnenonderzoek</w:t>
      </w:r>
    </w:p>
    <w:p w:rsidR="00A71576" w:rsidRPr="00A71576" w:rsidRDefault="00A71576"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Om de</w:t>
      </w:r>
      <w:r>
        <w:rPr>
          <w:rFonts w:asciiTheme="minorHAnsi" w:hAnsiTheme="minorHAnsi"/>
          <w:color w:val="000000"/>
          <w:sz w:val="22"/>
          <w:szCs w:val="22"/>
        </w:rPr>
        <w:t>ze deelvraag te beantwoorden ga</w:t>
      </w:r>
      <w:r w:rsidRPr="00A71576">
        <w:rPr>
          <w:rFonts w:asciiTheme="minorHAnsi" w:hAnsiTheme="minorHAnsi"/>
          <w:color w:val="000000"/>
          <w:sz w:val="22"/>
          <w:szCs w:val="22"/>
        </w:rPr>
        <w:t xml:space="preserve"> ik een literatuuronderzoek ve</w:t>
      </w:r>
      <w:r>
        <w:rPr>
          <w:rFonts w:asciiTheme="minorHAnsi" w:hAnsiTheme="minorHAnsi"/>
          <w:color w:val="000000"/>
          <w:sz w:val="22"/>
          <w:szCs w:val="22"/>
        </w:rPr>
        <w:t>r</w:t>
      </w:r>
      <w:r w:rsidRPr="00A71576">
        <w:rPr>
          <w:rFonts w:asciiTheme="minorHAnsi" w:hAnsiTheme="minorHAnsi"/>
          <w:color w:val="000000"/>
          <w:sz w:val="22"/>
          <w:szCs w:val="22"/>
        </w:rPr>
        <w:t xml:space="preserve">richten, waarbij ik onder andere boeken, internetbronnen en vaktijdschriften zal </w:t>
      </w:r>
      <w:r w:rsidR="00681BFF">
        <w:rPr>
          <w:rFonts w:asciiTheme="minorHAnsi" w:hAnsiTheme="minorHAnsi"/>
          <w:color w:val="000000"/>
          <w:sz w:val="22"/>
          <w:szCs w:val="22"/>
        </w:rPr>
        <w:t>raadplegen</w:t>
      </w:r>
      <w:r w:rsidR="00681BFF" w:rsidRPr="00A71576">
        <w:rPr>
          <w:rFonts w:asciiTheme="minorHAnsi" w:hAnsiTheme="minorHAnsi"/>
          <w:color w:val="000000"/>
          <w:sz w:val="22"/>
          <w:szCs w:val="22"/>
        </w:rPr>
        <w:t>.</w:t>
      </w:r>
      <w:r w:rsidRPr="00A71576">
        <w:rPr>
          <w:rFonts w:asciiTheme="minorHAnsi" w:hAnsiTheme="minorHAnsi"/>
          <w:color w:val="000000"/>
          <w:sz w:val="22"/>
          <w:szCs w:val="22"/>
        </w:rPr>
        <w:t xml:space="preserve"> In de literatuur is veel informatie te vinden over de </w:t>
      </w:r>
      <w:r>
        <w:rPr>
          <w:rFonts w:asciiTheme="minorHAnsi" w:hAnsiTheme="minorHAnsi"/>
          <w:color w:val="000000"/>
          <w:sz w:val="22"/>
          <w:szCs w:val="22"/>
        </w:rPr>
        <w:t xml:space="preserve">billijke </w:t>
      </w:r>
      <w:r w:rsidRPr="00A71576">
        <w:rPr>
          <w:rFonts w:asciiTheme="minorHAnsi" w:hAnsiTheme="minorHAnsi"/>
          <w:color w:val="000000"/>
          <w:sz w:val="22"/>
          <w:szCs w:val="22"/>
        </w:rPr>
        <w:t>vergoedin</w:t>
      </w:r>
      <w:r w:rsidR="00800320">
        <w:rPr>
          <w:rFonts w:asciiTheme="minorHAnsi" w:hAnsiTheme="minorHAnsi"/>
          <w:color w:val="000000"/>
          <w:sz w:val="22"/>
          <w:szCs w:val="22"/>
        </w:rPr>
        <w:t>g. Ik heb de literatuurboeken</w:t>
      </w:r>
      <w:r w:rsidRPr="00A71576">
        <w:rPr>
          <w:rFonts w:asciiTheme="minorHAnsi" w:hAnsiTheme="minorHAnsi"/>
          <w:color w:val="000000"/>
          <w:sz w:val="22"/>
          <w:szCs w:val="22"/>
        </w:rPr>
        <w:t xml:space="preserve"> bestudeerd om te kijken welke hoofdstukken van belang zijn voor mijn onderzoek. Uit de boeken wil ik voornamelijk algemene informatie verzamelen over de </w:t>
      </w:r>
      <w:r>
        <w:rPr>
          <w:rFonts w:asciiTheme="minorHAnsi" w:hAnsiTheme="minorHAnsi"/>
          <w:color w:val="000000"/>
          <w:sz w:val="22"/>
          <w:szCs w:val="22"/>
        </w:rPr>
        <w:t xml:space="preserve">billijke </w:t>
      </w:r>
      <w:r w:rsidR="007D00FF">
        <w:rPr>
          <w:rFonts w:asciiTheme="minorHAnsi" w:hAnsiTheme="minorHAnsi"/>
          <w:color w:val="000000"/>
          <w:sz w:val="22"/>
          <w:szCs w:val="22"/>
        </w:rPr>
        <w:t xml:space="preserve">vergoeding. </w:t>
      </w:r>
      <w:r>
        <w:rPr>
          <w:rFonts w:asciiTheme="minorHAnsi" w:hAnsiTheme="minorHAnsi"/>
          <w:color w:val="000000"/>
          <w:sz w:val="22"/>
          <w:szCs w:val="22"/>
        </w:rPr>
        <w:t>In de literatuurlijst van dit onderzoeksv</w:t>
      </w:r>
      <w:r w:rsidR="007564E2">
        <w:rPr>
          <w:rFonts w:asciiTheme="minorHAnsi" w:hAnsiTheme="minorHAnsi"/>
          <w:color w:val="000000"/>
          <w:sz w:val="22"/>
          <w:szCs w:val="22"/>
        </w:rPr>
        <w:t>erslag</w:t>
      </w:r>
      <w:r>
        <w:rPr>
          <w:rFonts w:asciiTheme="minorHAnsi" w:hAnsiTheme="minorHAnsi"/>
          <w:color w:val="000000"/>
          <w:sz w:val="22"/>
          <w:szCs w:val="22"/>
        </w:rPr>
        <w:t xml:space="preserve">, staan de </w:t>
      </w:r>
      <w:r w:rsidRPr="00A71576">
        <w:rPr>
          <w:rFonts w:asciiTheme="minorHAnsi" w:hAnsiTheme="minorHAnsi"/>
          <w:color w:val="000000"/>
          <w:sz w:val="22"/>
          <w:szCs w:val="22"/>
        </w:rPr>
        <w:t>boeken</w:t>
      </w:r>
      <w:r>
        <w:rPr>
          <w:rFonts w:asciiTheme="minorHAnsi" w:hAnsiTheme="minorHAnsi"/>
          <w:color w:val="000000"/>
          <w:sz w:val="22"/>
          <w:szCs w:val="22"/>
        </w:rPr>
        <w:t xml:space="preserve"> en vakbladen</w:t>
      </w:r>
      <w:r w:rsidRPr="00A71576">
        <w:rPr>
          <w:rFonts w:asciiTheme="minorHAnsi" w:hAnsiTheme="minorHAnsi"/>
          <w:color w:val="000000"/>
          <w:sz w:val="22"/>
          <w:szCs w:val="22"/>
        </w:rPr>
        <w:t xml:space="preserve"> </w:t>
      </w:r>
      <w:r>
        <w:rPr>
          <w:rFonts w:asciiTheme="minorHAnsi" w:hAnsiTheme="minorHAnsi"/>
          <w:color w:val="000000"/>
          <w:sz w:val="22"/>
          <w:szCs w:val="22"/>
        </w:rPr>
        <w:t xml:space="preserve">opgesomd die ik heb </w:t>
      </w:r>
      <w:r w:rsidRPr="00A71576">
        <w:rPr>
          <w:rFonts w:asciiTheme="minorHAnsi" w:hAnsiTheme="minorHAnsi"/>
          <w:color w:val="000000"/>
          <w:sz w:val="22"/>
          <w:szCs w:val="22"/>
        </w:rPr>
        <w:t>geraadpleegd</w:t>
      </w:r>
      <w:r>
        <w:rPr>
          <w:rFonts w:asciiTheme="minorHAnsi" w:hAnsiTheme="minorHAnsi"/>
          <w:color w:val="000000"/>
          <w:sz w:val="22"/>
          <w:szCs w:val="22"/>
        </w:rPr>
        <w:t xml:space="preserve"> om deze deelvraag zo goed mogelijk te beantwoorden.</w:t>
      </w:r>
    </w:p>
    <w:p w:rsidR="00583854" w:rsidRDefault="00583854" w:rsidP="008E3A78">
      <w:pPr>
        <w:pStyle w:val="Normaalweb"/>
        <w:spacing w:before="0" w:beforeAutospacing="0" w:after="0" w:afterAutospacing="0" w:line="360" w:lineRule="auto"/>
        <w:rPr>
          <w:rFonts w:asciiTheme="minorHAnsi" w:hAnsiTheme="minorHAnsi"/>
          <w:color w:val="000000"/>
          <w:sz w:val="22"/>
          <w:szCs w:val="22"/>
        </w:rPr>
      </w:pPr>
    </w:p>
    <w:p w:rsidR="00A71576" w:rsidRPr="00A71576" w:rsidRDefault="00A71576"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 xml:space="preserve">In elk </w:t>
      </w:r>
      <w:r w:rsidR="007564E2">
        <w:rPr>
          <w:rFonts w:asciiTheme="minorHAnsi" w:hAnsiTheme="minorHAnsi"/>
          <w:color w:val="000000"/>
          <w:sz w:val="22"/>
          <w:szCs w:val="22"/>
        </w:rPr>
        <w:t xml:space="preserve">genoemd </w:t>
      </w:r>
      <w:r w:rsidRPr="00A71576">
        <w:rPr>
          <w:rFonts w:asciiTheme="minorHAnsi" w:hAnsiTheme="minorHAnsi"/>
          <w:color w:val="000000"/>
          <w:sz w:val="22"/>
          <w:szCs w:val="22"/>
        </w:rPr>
        <w:t xml:space="preserve">boek en </w:t>
      </w:r>
      <w:r w:rsidR="00183F39">
        <w:rPr>
          <w:rFonts w:asciiTheme="minorHAnsi" w:hAnsiTheme="minorHAnsi"/>
          <w:color w:val="000000"/>
          <w:sz w:val="22"/>
          <w:szCs w:val="22"/>
        </w:rPr>
        <w:t>vakblad</w:t>
      </w:r>
      <w:r w:rsidRPr="00A71576">
        <w:rPr>
          <w:rFonts w:asciiTheme="minorHAnsi" w:hAnsiTheme="minorHAnsi"/>
          <w:color w:val="000000"/>
          <w:sz w:val="22"/>
          <w:szCs w:val="22"/>
        </w:rPr>
        <w:t xml:space="preserve"> heb ik algemene infor</w:t>
      </w:r>
      <w:r w:rsidR="00183F39">
        <w:rPr>
          <w:rFonts w:asciiTheme="minorHAnsi" w:hAnsiTheme="minorHAnsi"/>
          <w:color w:val="000000"/>
          <w:sz w:val="22"/>
          <w:szCs w:val="22"/>
        </w:rPr>
        <w:t xml:space="preserve">matie gevonden over de billijke </w:t>
      </w:r>
      <w:r w:rsidRPr="00A71576">
        <w:rPr>
          <w:rFonts w:asciiTheme="minorHAnsi" w:hAnsiTheme="minorHAnsi"/>
          <w:color w:val="000000"/>
          <w:sz w:val="22"/>
          <w:szCs w:val="22"/>
        </w:rPr>
        <w:t>vergoeding</w:t>
      </w:r>
      <w:r w:rsidR="000D68B0">
        <w:rPr>
          <w:rFonts w:asciiTheme="minorHAnsi" w:hAnsiTheme="minorHAnsi"/>
          <w:color w:val="000000"/>
          <w:sz w:val="22"/>
          <w:szCs w:val="22"/>
        </w:rPr>
        <w:t xml:space="preserve"> die volgens de</w:t>
      </w:r>
      <w:r w:rsidR="00183F39">
        <w:rPr>
          <w:rFonts w:asciiTheme="minorHAnsi" w:hAnsiTheme="minorHAnsi"/>
          <w:color w:val="000000"/>
          <w:sz w:val="22"/>
          <w:szCs w:val="22"/>
        </w:rPr>
        <w:t xml:space="preserve"> huidige Wet Werk en Zekerheid geldt</w:t>
      </w:r>
      <w:r w:rsidRPr="00A71576">
        <w:rPr>
          <w:rFonts w:asciiTheme="minorHAnsi" w:hAnsiTheme="minorHAnsi"/>
          <w:color w:val="000000"/>
          <w:sz w:val="22"/>
          <w:szCs w:val="22"/>
        </w:rPr>
        <w:t xml:space="preserve">. Elk boek </w:t>
      </w:r>
      <w:r w:rsidR="00183F39">
        <w:rPr>
          <w:rFonts w:asciiTheme="minorHAnsi" w:hAnsiTheme="minorHAnsi"/>
          <w:color w:val="000000"/>
          <w:sz w:val="22"/>
          <w:szCs w:val="22"/>
        </w:rPr>
        <w:t xml:space="preserve">en vakblad </w:t>
      </w:r>
      <w:r w:rsidRPr="00A71576">
        <w:rPr>
          <w:rFonts w:asciiTheme="minorHAnsi" w:hAnsiTheme="minorHAnsi"/>
          <w:color w:val="000000"/>
          <w:sz w:val="22"/>
          <w:szCs w:val="22"/>
        </w:rPr>
        <w:t xml:space="preserve">heeft een eigen omschrijving van de </w:t>
      </w:r>
      <w:r w:rsidR="00183F39">
        <w:rPr>
          <w:rFonts w:asciiTheme="minorHAnsi" w:hAnsiTheme="minorHAnsi"/>
          <w:color w:val="000000"/>
          <w:sz w:val="22"/>
          <w:szCs w:val="22"/>
        </w:rPr>
        <w:t xml:space="preserve">billijke </w:t>
      </w:r>
      <w:r w:rsidRPr="00A71576">
        <w:rPr>
          <w:rFonts w:asciiTheme="minorHAnsi" w:hAnsiTheme="minorHAnsi"/>
          <w:color w:val="000000"/>
          <w:sz w:val="22"/>
          <w:szCs w:val="22"/>
        </w:rPr>
        <w:t xml:space="preserve">vergoeding. </w:t>
      </w:r>
      <w:r w:rsidR="00183F39">
        <w:rPr>
          <w:rFonts w:asciiTheme="minorHAnsi" w:hAnsiTheme="minorHAnsi"/>
          <w:color w:val="000000"/>
          <w:sz w:val="22"/>
          <w:szCs w:val="22"/>
        </w:rPr>
        <w:t xml:space="preserve">Het </w:t>
      </w:r>
      <w:r w:rsidRPr="00A71576">
        <w:rPr>
          <w:rFonts w:asciiTheme="minorHAnsi" w:hAnsiTheme="minorHAnsi"/>
          <w:color w:val="000000"/>
          <w:sz w:val="22"/>
          <w:szCs w:val="22"/>
        </w:rPr>
        <w:t xml:space="preserve">ene boek heeft een uitgebreidere uitleg </w:t>
      </w:r>
      <w:r w:rsidR="007564E2">
        <w:rPr>
          <w:rFonts w:asciiTheme="minorHAnsi" w:hAnsiTheme="minorHAnsi"/>
          <w:color w:val="000000"/>
          <w:sz w:val="22"/>
          <w:szCs w:val="22"/>
        </w:rPr>
        <w:t>dan</w:t>
      </w:r>
      <w:r w:rsidRPr="00A71576">
        <w:rPr>
          <w:rFonts w:asciiTheme="minorHAnsi" w:hAnsiTheme="minorHAnsi"/>
          <w:color w:val="000000"/>
          <w:sz w:val="22"/>
          <w:szCs w:val="22"/>
        </w:rPr>
        <w:t xml:space="preserve"> het andere. Uit elk boek kan ik essentiële informatie halen om mijn deelvraag te beantwoorden. Door het bestuderen van </w:t>
      </w:r>
      <w:r w:rsidR="00183F39">
        <w:rPr>
          <w:rFonts w:asciiTheme="minorHAnsi" w:hAnsiTheme="minorHAnsi"/>
          <w:color w:val="000000"/>
          <w:sz w:val="22"/>
          <w:szCs w:val="22"/>
        </w:rPr>
        <w:t xml:space="preserve">zoveel mogelijk </w:t>
      </w:r>
      <w:r w:rsidRPr="00A71576">
        <w:rPr>
          <w:rFonts w:asciiTheme="minorHAnsi" w:hAnsiTheme="minorHAnsi"/>
          <w:color w:val="000000"/>
          <w:sz w:val="22"/>
          <w:szCs w:val="22"/>
        </w:rPr>
        <w:t>relevante literatuur</w:t>
      </w:r>
      <w:r w:rsidR="00183F39">
        <w:rPr>
          <w:rFonts w:asciiTheme="minorHAnsi" w:hAnsiTheme="minorHAnsi"/>
          <w:color w:val="000000"/>
          <w:sz w:val="22"/>
          <w:szCs w:val="22"/>
        </w:rPr>
        <w:t>, wordt</w:t>
      </w:r>
      <w:r w:rsidRPr="00A71576">
        <w:rPr>
          <w:rFonts w:asciiTheme="minorHAnsi" w:hAnsiTheme="minorHAnsi"/>
          <w:color w:val="000000"/>
          <w:sz w:val="22"/>
          <w:szCs w:val="22"/>
        </w:rPr>
        <w:t xml:space="preserve"> de betrouwbaarheid en effectiviteit van het onderzoek</w:t>
      </w:r>
      <w:r w:rsidR="00183F39">
        <w:rPr>
          <w:rFonts w:asciiTheme="minorHAnsi" w:hAnsiTheme="minorHAnsi"/>
          <w:color w:val="000000"/>
          <w:sz w:val="22"/>
          <w:szCs w:val="22"/>
        </w:rPr>
        <w:t xml:space="preserve"> behouden. O</w:t>
      </w:r>
      <w:r w:rsidRPr="00A71576">
        <w:rPr>
          <w:rFonts w:asciiTheme="minorHAnsi" w:hAnsiTheme="minorHAnsi"/>
          <w:color w:val="000000"/>
          <w:sz w:val="22"/>
          <w:szCs w:val="22"/>
        </w:rPr>
        <w:t xml:space="preserve">m de kwaliteit van </w:t>
      </w:r>
      <w:r w:rsidR="00183F39">
        <w:rPr>
          <w:rFonts w:asciiTheme="minorHAnsi" w:hAnsiTheme="minorHAnsi"/>
          <w:color w:val="000000"/>
          <w:sz w:val="22"/>
          <w:szCs w:val="22"/>
        </w:rPr>
        <w:t>de</w:t>
      </w:r>
      <w:r w:rsidRPr="00A71576">
        <w:rPr>
          <w:rFonts w:asciiTheme="minorHAnsi" w:hAnsiTheme="minorHAnsi"/>
          <w:color w:val="000000"/>
          <w:sz w:val="22"/>
          <w:szCs w:val="22"/>
        </w:rPr>
        <w:t xml:space="preserve"> bronnen te waarborgen, ben ik </w:t>
      </w:r>
      <w:r w:rsidR="007564E2" w:rsidRPr="00A71576">
        <w:rPr>
          <w:rFonts w:asciiTheme="minorHAnsi" w:hAnsiTheme="minorHAnsi"/>
          <w:color w:val="000000"/>
          <w:sz w:val="22"/>
          <w:szCs w:val="22"/>
        </w:rPr>
        <w:t>door de relevante wetten erbij te pakken</w:t>
      </w:r>
      <w:r w:rsidR="000D68B0">
        <w:rPr>
          <w:rFonts w:asciiTheme="minorHAnsi" w:hAnsiTheme="minorHAnsi"/>
          <w:color w:val="000000"/>
          <w:sz w:val="22"/>
          <w:szCs w:val="22"/>
        </w:rPr>
        <w:t>,</w:t>
      </w:r>
      <w:r w:rsidR="007564E2" w:rsidRPr="00A71576">
        <w:rPr>
          <w:rFonts w:asciiTheme="minorHAnsi" w:hAnsiTheme="minorHAnsi"/>
          <w:color w:val="000000"/>
          <w:sz w:val="22"/>
          <w:szCs w:val="22"/>
        </w:rPr>
        <w:t xml:space="preserve"> </w:t>
      </w:r>
      <w:r w:rsidRPr="00A71576">
        <w:rPr>
          <w:rFonts w:asciiTheme="minorHAnsi" w:hAnsiTheme="minorHAnsi"/>
          <w:color w:val="000000"/>
          <w:sz w:val="22"/>
          <w:szCs w:val="22"/>
        </w:rPr>
        <w:t xml:space="preserve">nagegaan of de inhoud van de boeken juist </w:t>
      </w:r>
      <w:r w:rsidR="007564E2">
        <w:rPr>
          <w:rFonts w:asciiTheme="minorHAnsi" w:hAnsiTheme="minorHAnsi"/>
          <w:color w:val="000000"/>
          <w:sz w:val="22"/>
          <w:szCs w:val="22"/>
        </w:rPr>
        <w:t>is</w:t>
      </w:r>
      <w:r w:rsidRPr="00A71576">
        <w:rPr>
          <w:rFonts w:asciiTheme="minorHAnsi" w:hAnsiTheme="minorHAnsi"/>
          <w:color w:val="000000"/>
          <w:sz w:val="22"/>
          <w:szCs w:val="22"/>
        </w:rPr>
        <w:t>.</w:t>
      </w:r>
    </w:p>
    <w:p w:rsidR="00583854" w:rsidRDefault="00583854" w:rsidP="008E3A78">
      <w:pPr>
        <w:pStyle w:val="Normaalweb"/>
        <w:spacing w:before="0" w:beforeAutospacing="0" w:after="0" w:afterAutospacing="0" w:line="360" w:lineRule="auto"/>
        <w:rPr>
          <w:rFonts w:asciiTheme="minorHAnsi" w:hAnsiTheme="minorHAnsi"/>
          <w:color w:val="000000"/>
          <w:sz w:val="22"/>
          <w:szCs w:val="22"/>
        </w:rPr>
      </w:pPr>
    </w:p>
    <w:p w:rsidR="00DF373F" w:rsidRDefault="00DF373F" w:rsidP="008E3A78">
      <w:pPr>
        <w:pStyle w:val="Normaalweb"/>
        <w:spacing w:before="0" w:beforeAutospacing="0" w:after="0" w:afterAutospacing="0" w:line="360" w:lineRule="auto"/>
        <w:rPr>
          <w:rFonts w:asciiTheme="minorHAnsi" w:hAnsiTheme="minorHAnsi"/>
          <w:i/>
          <w:color w:val="000000"/>
          <w:sz w:val="22"/>
          <w:szCs w:val="22"/>
        </w:rPr>
      </w:pPr>
    </w:p>
    <w:p w:rsidR="00DF373F" w:rsidRDefault="00DF373F" w:rsidP="008E3A78">
      <w:pPr>
        <w:pStyle w:val="Normaalweb"/>
        <w:spacing w:before="0" w:beforeAutospacing="0" w:after="0" w:afterAutospacing="0" w:line="360" w:lineRule="auto"/>
        <w:rPr>
          <w:rFonts w:asciiTheme="minorHAnsi" w:hAnsiTheme="minorHAnsi"/>
          <w:i/>
          <w:color w:val="000000"/>
          <w:sz w:val="22"/>
          <w:szCs w:val="22"/>
        </w:rPr>
      </w:pPr>
    </w:p>
    <w:p w:rsidR="00F66488" w:rsidRPr="00F66488" w:rsidRDefault="00F66488" w:rsidP="008E3A78">
      <w:pPr>
        <w:pStyle w:val="Normaalweb"/>
        <w:spacing w:before="0" w:beforeAutospacing="0" w:after="0" w:afterAutospacing="0" w:line="360" w:lineRule="auto"/>
        <w:rPr>
          <w:rFonts w:asciiTheme="minorHAnsi" w:hAnsiTheme="minorHAnsi"/>
          <w:i/>
          <w:color w:val="000000"/>
          <w:sz w:val="22"/>
          <w:szCs w:val="22"/>
        </w:rPr>
      </w:pPr>
      <w:r>
        <w:rPr>
          <w:rFonts w:asciiTheme="minorHAnsi" w:hAnsiTheme="minorHAnsi"/>
          <w:i/>
          <w:color w:val="000000"/>
          <w:sz w:val="22"/>
          <w:szCs w:val="22"/>
        </w:rPr>
        <w:t>Wet -en regelgeving</w:t>
      </w:r>
    </w:p>
    <w:p w:rsidR="007D00FF" w:rsidRDefault="00183F39" w:rsidP="008E3A78">
      <w:pPr>
        <w:pStyle w:val="Normaalweb"/>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 xml:space="preserve">Naast een uitgebreid literatuuronderzoek heb ik ook een uitgebreid onderzoek verricht naar de wetgeving omtrent de billijke vergoeding. </w:t>
      </w:r>
      <w:r w:rsidR="00A71576" w:rsidRPr="00A71576">
        <w:rPr>
          <w:rFonts w:asciiTheme="minorHAnsi" w:hAnsiTheme="minorHAnsi"/>
          <w:color w:val="000000"/>
          <w:sz w:val="22"/>
          <w:szCs w:val="22"/>
        </w:rPr>
        <w:t>De relevante wet</w:t>
      </w:r>
      <w:r>
        <w:rPr>
          <w:rFonts w:asciiTheme="minorHAnsi" w:hAnsiTheme="minorHAnsi"/>
          <w:color w:val="000000"/>
          <w:sz w:val="22"/>
          <w:szCs w:val="22"/>
        </w:rPr>
        <w:t>ten en wet</w:t>
      </w:r>
      <w:r w:rsidR="00A71576" w:rsidRPr="00A71576">
        <w:rPr>
          <w:rFonts w:asciiTheme="minorHAnsi" w:hAnsiTheme="minorHAnsi"/>
          <w:color w:val="000000"/>
          <w:sz w:val="22"/>
          <w:szCs w:val="22"/>
        </w:rPr>
        <w:t>sartikelen</w:t>
      </w:r>
      <w:r>
        <w:rPr>
          <w:rFonts w:asciiTheme="minorHAnsi" w:hAnsiTheme="minorHAnsi"/>
          <w:color w:val="000000"/>
          <w:sz w:val="22"/>
          <w:szCs w:val="22"/>
        </w:rPr>
        <w:t xml:space="preserve"> die ik heb gebruikt om deze deelvraag te beantwoorden</w:t>
      </w:r>
      <w:r w:rsidR="00A71576" w:rsidRPr="00A71576">
        <w:rPr>
          <w:rFonts w:asciiTheme="minorHAnsi" w:hAnsiTheme="minorHAnsi"/>
          <w:color w:val="000000"/>
          <w:sz w:val="22"/>
          <w:szCs w:val="22"/>
        </w:rPr>
        <w:t xml:space="preserve"> </w:t>
      </w:r>
      <w:r>
        <w:rPr>
          <w:rFonts w:asciiTheme="minorHAnsi" w:hAnsiTheme="minorHAnsi"/>
          <w:color w:val="000000"/>
          <w:sz w:val="22"/>
          <w:szCs w:val="22"/>
        </w:rPr>
        <w:t>zijn t</w:t>
      </w:r>
      <w:r w:rsidR="00A65E49">
        <w:rPr>
          <w:rFonts w:asciiTheme="minorHAnsi" w:hAnsiTheme="minorHAnsi"/>
          <w:color w:val="000000"/>
          <w:sz w:val="22"/>
          <w:szCs w:val="22"/>
        </w:rPr>
        <w:t>erug te vinden in de literatuur</w:t>
      </w:r>
      <w:r>
        <w:rPr>
          <w:rFonts w:asciiTheme="minorHAnsi" w:hAnsiTheme="minorHAnsi"/>
          <w:color w:val="000000"/>
          <w:sz w:val="22"/>
          <w:szCs w:val="22"/>
        </w:rPr>
        <w:t>lijst</w:t>
      </w:r>
      <w:r w:rsidR="00A71576" w:rsidRPr="00A71576">
        <w:rPr>
          <w:rFonts w:asciiTheme="minorHAnsi" w:hAnsiTheme="minorHAnsi"/>
          <w:color w:val="000000"/>
          <w:sz w:val="22"/>
          <w:szCs w:val="22"/>
        </w:rPr>
        <w:t>. Deze relevante</w:t>
      </w:r>
      <w:r>
        <w:rPr>
          <w:rFonts w:asciiTheme="minorHAnsi" w:hAnsiTheme="minorHAnsi"/>
          <w:color w:val="000000"/>
          <w:sz w:val="22"/>
          <w:szCs w:val="22"/>
        </w:rPr>
        <w:t xml:space="preserve"> wetten en</w:t>
      </w:r>
      <w:r w:rsidR="00A71576" w:rsidRPr="00A71576">
        <w:rPr>
          <w:rFonts w:asciiTheme="minorHAnsi" w:hAnsiTheme="minorHAnsi"/>
          <w:color w:val="000000"/>
          <w:sz w:val="22"/>
          <w:szCs w:val="22"/>
        </w:rPr>
        <w:t xml:space="preserve"> wetsartikelen zijn essentieel voor het beantwoorden van </w:t>
      </w:r>
      <w:r>
        <w:rPr>
          <w:rFonts w:asciiTheme="minorHAnsi" w:hAnsiTheme="minorHAnsi"/>
          <w:color w:val="000000"/>
          <w:sz w:val="22"/>
          <w:szCs w:val="22"/>
        </w:rPr>
        <w:t>deze</w:t>
      </w:r>
      <w:r w:rsidR="00A71576" w:rsidRPr="00A71576">
        <w:rPr>
          <w:rFonts w:asciiTheme="minorHAnsi" w:hAnsiTheme="minorHAnsi"/>
          <w:color w:val="000000"/>
          <w:sz w:val="22"/>
          <w:szCs w:val="22"/>
        </w:rPr>
        <w:t xml:space="preserve"> deelvraag. </w:t>
      </w:r>
      <w:r w:rsidR="00DC7396">
        <w:rPr>
          <w:rFonts w:asciiTheme="minorHAnsi" w:hAnsiTheme="minorHAnsi"/>
          <w:color w:val="000000"/>
          <w:sz w:val="22"/>
          <w:szCs w:val="22"/>
        </w:rPr>
        <w:t>Er is gebruik gemaakt van de WWZ,</w:t>
      </w:r>
      <w:r w:rsidR="00C07F06">
        <w:rPr>
          <w:rFonts w:asciiTheme="minorHAnsi" w:hAnsiTheme="minorHAnsi"/>
          <w:color w:val="000000"/>
          <w:sz w:val="22"/>
          <w:szCs w:val="22"/>
        </w:rPr>
        <w:t xml:space="preserve"> kamerstukken,</w:t>
      </w:r>
      <w:r w:rsidR="00DC7396">
        <w:rPr>
          <w:rFonts w:asciiTheme="minorHAnsi" w:hAnsiTheme="minorHAnsi"/>
          <w:color w:val="000000"/>
          <w:sz w:val="22"/>
          <w:szCs w:val="22"/>
        </w:rPr>
        <w:t xml:space="preserve"> Memorie van Toelichting en Boek 7 van het Burgerlijk </w:t>
      </w:r>
      <w:r w:rsidR="007564E2">
        <w:rPr>
          <w:rFonts w:asciiTheme="minorHAnsi" w:hAnsiTheme="minorHAnsi"/>
          <w:color w:val="000000"/>
          <w:sz w:val="22"/>
          <w:szCs w:val="22"/>
        </w:rPr>
        <w:t>W</w:t>
      </w:r>
      <w:r w:rsidR="00DC7396">
        <w:rPr>
          <w:rFonts w:asciiTheme="minorHAnsi" w:hAnsiTheme="minorHAnsi"/>
          <w:color w:val="000000"/>
          <w:sz w:val="22"/>
          <w:szCs w:val="22"/>
        </w:rPr>
        <w:t>etboek.</w:t>
      </w:r>
    </w:p>
    <w:p w:rsidR="007D00FF" w:rsidRDefault="00A71576"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Door het analyseren van de wetten behoud ik de betrouwbaarheid en effectiviteit van het onderzoek, omdat ik dan alle relevante artikelen voor dit onderzoek heb bestudeerd.</w:t>
      </w:r>
      <w:r w:rsidR="007D00FF">
        <w:rPr>
          <w:rFonts w:asciiTheme="minorHAnsi" w:hAnsiTheme="minorHAnsi"/>
          <w:color w:val="000000"/>
          <w:sz w:val="22"/>
          <w:szCs w:val="22"/>
        </w:rPr>
        <w:t xml:space="preserve">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p>
    <w:p w:rsidR="00183F39" w:rsidRPr="00183F39" w:rsidRDefault="00F66488"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r>
        <w:rPr>
          <w:b/>
          <w:bCs/>
          <w:spacing w:val="-3"/>
          <w:lang w:eastAsia="nl-NL"/>
        </w:rPr>
        <w:t>D</w:t>
      </w:r>
      <w:r w:rsidR="00183F39" w:rsidRPr="00811D87">
        <w:rPr>
          <w:b/>
          <w:bCs/>
          <w:spacing w:val="-3"/>
          <w:lang w:eastAsia="nl-NL"/>
        </w:rPr>
        <w:t xml:space="preserve">eelvraag 2: </w:t>
      </w:r>
      <w:r w:rsidR="00811D87" w:rsidRPr="00811D87">
        <w:rPr>
          <w:b/>
          <w:bCs/>
          <w:spacing w:val="-3"/>
          <w:lang w:eastAsia="nl-NL"/>
        </w:rPr>
        <w:t xml:space="preserve">Onder welke omstandigheden is er sprake van ernstig verwijtbaar handelen van de werkgever en wordt de billijke vergoeding toegekend volgens de literatuur en de wetgeving? </w:t>
      </w:r>
    </w:p>
    <w:p w:rsidR="00825227" w:rsidRDefault="00825227" w:rsidP="008E3A78">
      <w:pPr>
        <w:pStyle w:val="Normaalweb"/>
        <w:spacing w:before="0" w:beforeAutospacing="0" w:after="0" w:afterAutospacing="0" w:line="360" w:lineRule="auto"/>
        <w:rPr>
          <w:rFonts w:asciiTheme="minorHAnsi" w:hAnsiTheme="minorHAnsi"/>
          <w:i/>
          <w:color w:val="000000"/>
          <w:sz w:val="22"/>
          <w:szCs w:val="22"/>
        </w:rPr>
      </w:pPr>
    </w:p>
    <w:p w:rsidR="001C1B26" w:rsidRPr="001C1B26" w:rsidRDefault="001C1B26" w:rsidP="008E3A78">
      <w:pPr>
        <w:pStyle w:val="Normaalweb"/>
        <w:spacing w:before="0" w:beforeAutospacing="0" w:after="0" w:afterAutospacing="0" w:line="360" w:lineRule="auto"/>
        <w:rPr>
          <w:rFonts w:asciiTheme="minorHAnsi" w:hAnsiTheme="minorHAnsi"/>
          <w:i/>
          <w:color w:val="000000"/>
          <w:sz w:val="22"/>
          <w:szCs w:val="22"/>
        </w:rPr>
      </w:pPr>
      <w:r w:rsidRPr="001C1B26">
        <w:rPr>
          <w:rFonts w:asciiTheme="minorHAnsi" w:hAnsiTheme="minorHAnsi"/>
          <w:i/>
          <w:color w:val="000000"/>
          <w:sz w:val="22"/>
          <w:szCs w:val="22"/>
        </w:rPr>
        <w:t>Literatuur</w:t>
      </w:r>
      <w:r>
        <w:rPr>
          <w:rFonts w:asciiTheme="minorHAnsi" w:hAnsiTheme="minorHAnsi"/>
          <w:i/>
          <w:color w:val="000000"/>
          <w:sz w:val="22"/>
          <w:szCs w:val="22"/>
        </w:rPr>
        <w:t>- en bronnen</w:t>
      </w:r>
      <w:r w:rsidRPr="001C1B26">
        <w:rPr>
          <w:rFonts w:asciiTheme="minorHAnsi" w:hAnsiTheme="minorHAnsi"/>
          <w:i/>
          <w:color w:val="000000"/>
          <w:sz w:val="22"/>
          <w:szCs w:val="22"/>
        </w:rPr>
        <w:t>onderzoek</w:t>
      </w:r>
    </w:p>
    <w:p w:rsidR="00465C49" w:rsidRDefault="00E81FC4"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Deze deel</w:t>
      </w:r>
      <w:r w:rsidR="00916AFF">
        <w:rPr>
          <w:rFonts w:asciiTheme="minorHAnsi" w:hAnsiTheme="minorHAnsi"/>
          <w:color w:val="000000"/>
          <w:sz w:val="22"/>
          <w:szCs w:val="22"/>
        </w:rPr>
        <w:t>vraag vind ik essentieel voor</w:t>
      </w:r>
      <w:r w:rsidRPr="00A71576">
        <w:rPr>
          <w:rFonts w:asciiTheme="minorHAnsi" w:hAnsiTheme="minorHAnsi"/>
          <w:color w:val="000000"/>
          <w:sz w:val="22"/>
          <w:szCs w:val="22"/>
        </w:rPr>
        <w:t xml:space="preserve"> mijn onderzoek om</w:t>
      </w:r>
      <w:r>
        <w:rPr>
          <w:rFonts w:asciiTheme="minorHAnsi" w:hAnsiTheme="minorHAnsi"/>
          <w:color w:val="000000"/>
          <w:sz w:val="22"/>
          <w:szCs w:val="22"/>
        </w:rPr>
        <w:t xml:space="preserve">dat </w:t>
      </w:r>
      <w:r w:rsidR="007564E2">
        <w:rPr>
          <w:rFonts w:asciiTheme="minorHAnsi" w:hAnsiTheme="minorHAnsi"/>
          <w:color w:val="000000"/>
          <w:sz w:val="22"/>
          <w:szCs w:val="22"/>
        </w:rPr>
        <w:t>deze</w:t>
      </w:r>
      <w:r>
        <w:rPr>
          <w:rFonts w:asciiTheme="minorHAnsi" w:hAnsiTheme="minorHAnsi"/>
          <w:color w:val="000000"/>
          <w:sz w:val="22"/>
          <w:szCs w:val="22"/>
        </w:rPr>
        <w:t xml:space="preserve"> een helder beeld geeft</w:t>
      </w:r>
      <w:r w:rsidR="007D00FF">
        <w:rPr>
          <w:rFonts w:asciiTheme="minorHAnsi" w:hAnsiTheme="minorHAnsi"/>
          <w:color w:val="000000"/>
          <w:sz w:val="22"/>
          <w:szCs w:val="22"/>
        </w:rPr>
        <w:t xml:space="preserve"> van </w:t>
      </w:r>
      <w:r w:rsidR="007564E2">
        <w:rPr>
          <w:rFonts w:asciiTheme="minorHAnsi" w:hAnsiTheme="minorHAnsi"/>
          <w:color w:val="000000"/>
          <w:sz w:val="22"/>
          <w:szCs w:val="22"/>
        </w:rPr>
        <w:t xml:space="preserve">de </w:t>
      </w:r>
      <w:r w:rsidR="00811D87">
        <w:rPr>
          <w:rFonts w:asciiTheme="minorHAnsi" w:hAnsiTheme="minorHAnsi"/>
          <w:color w:val="000000"/>
          <w:sz w:val="22"/>
          <w:szCs w:val="22"/>
        </w:rPr>
        <w:t>omstandigheden</w:t>
      </w:r>
      <w:r>
        <w:rPr>
          <w:rFonts w:asciiTheme="minorHAnsi" w:hAnsiTheme="minorHAnsi"/>
          <w:color w:val="000000"/>
          <w:sz w:val="22"/>
          <w:szCs w:val="22"/>
        </w:rPr>
        <w:t xml:space="preserve"> </w:t>
      </w:r>
      <w:r w:rsidR="007564E2">
        <w:rPr>
          <w:rFonts w:asciiTheme="minorHAnsi" w:hAnsiTheme="minorHAnsi"/>
          <w:color w:val="000000"/>
          <w:sz w:val="22"/>
          <w:szCs w:val="22"/>
        </w:rPr>
        <w:t xml:space="preserve">waaronder </w:t>
      </w:r>
      <w:r>
        <w:rPr>
          <w:rFonts w:asciiTheme="minorHAnsi" w:hAnsiTheme="minorHAnsi"/>
          <w:color w:val="000000"/>
          <w:sz w:val="22"/>
          <w:szCs w:val="22"/>
        </w:rPr>
        <w:t>de additionele billijke ver</w:t>
      </w:r>
      <w:r w:rsidRPr="00A71576">
        <w:rPr>
          <w:rFonts w:asciiTheme="minorHAnsi" w:hAnsiTheme="minorHAnsi"/>
          <w:color w:val="000000"/>
          <w:sz w:val="22"/>
          <w:szCs w:val="22"/>
        </w:rPr>
        <w:t xml:space="preserve">goeding </w:t>
      </w:r>
      <w:r>
        <w:rPr>
          <w:rFonts w:asciiTheme="minorHAnsi" w:hAnsiTheme="minorHAnsi"/>
          <w:color w:val="000000"/>
          <w:sz w:val="22"/>
          <w:szCs w:val="22"/>
        </w:rPr>
        <w:t xml:space="preserve">in theorie </w:t>
      </w:r>
      <w:r w:rsidR="00811D87">
        <w:rPr>
          <w:rFonts w:asciiTheme="minorHAnsi" w:hAnsiTheme="minorHAnsi"/>
          <w:i/>
          <w:color w:val="000000"/>
          <w:sz w:val="22"/>
          <w:szCs w:val="22"/>
        </w:rPr>
        <w:t xml:space="preserve">wel </w:t>
      </w:r>
      <w:r>
        <w:rPr>
          <w:rFonts w:asciiTheme="minorHAnsi" w:hAnsiTheme="minorHAnsi"/>
          <w:color w:val="000000"/>
          <w:sz w:val="22"/>
          <w:szCs w:val="22"/>
        </w:rPr>
        <w:t>wordt toegekend</w:t>
      </w:r>
      <w:r w:rsidRPr="00A71576">
        <w:rPr>
          <w:rFonts w:asciiTheme="minorHAnsi" w:hAnsiTheme="minorHAnsi"/>
          <w:color w:val="000000"/>
          <w:sz w:val="22"/>
          <w:szCs w:val="22"/>
        </w:rPr>
        <w:t xml:space="preserve">. </w:t>
      </w:r>
      <w:r>
        <w:rPr>
          <w:rFonts w:asciiTheme="minorHAnsi" w:hAnsiTheme="minorHAnsi"/>
          <w:color w:val="000000"/>
          <w:sz w:val="22"/>
          <w:szCs w:val="22"/>
        </w:rPr>
        <w:t xml:space="preserve">Het doel van deze deelvraag is om </w:t>
      </w:r>
      <w:r w:rsidR="00811D87">
        <w:rPr>
          <w:rFonts w:asciiTheme="minorHAnsi" w:hAnsiTheme="minorHAnsi"/>
          <w:color w:val="000000"/>
          <w:sz w:val="22"/>
          <w:szCs w:val="22"/>
        </w:rPr>
        <w:t>zoveel mogelijk kennis op te doen over het ernstig verwijtbaar handelen van de werkgever</w:t>
      </w:r>
      <w:r>
        <w:rPr>
          <w:rFonts w:asciiTheme="minorHAnsi" w:hAnsiTheme="minorHAnsi"/>
          <w:color w:val="000000"/>
          <w:sz w:val="22"/>
          <w:szCs w:val="22"/>
        </w:rPr>
        <w:t xml:space="preserve">. </w:t>
      </w:r>
      <w:r w:rsidR="00465C49">
        <w:rPr>
          <w:rFonts w:asciiTheme="minorHAnsi" w:hAnsiTheme="minorHAnsi"/>
          <w:color w:val="000000"/>
          <w:sz w:val="22"/>
          <w:szCs w:val="22"/>
        </w:rPr>
        <w:t>Daarnaast k</w:t>
      </w:r>
      <w:r w:rsidR="007564E2">
        <w:rPr>
          <w:rFonts w:asciiTheme="minorHAnsi" w:hAnsiTheme="minorHAnsi"/>
          <w:color w:val="000000"/>
          <w:sz w:val="22"/>
          <w:szCs w:val="22"/>
        </w:rPr>
        <w:t>unnen</w:t>
      </w:r>
      <w:r w:rsidR="00465C49">
        <w:rPr>
          <w:rFonts w:asciiTheme="minorHAnsi" w:hAnsiTheme="minorHAnsi"/>
          <w:color w:val="000000"/>
          <w:sz w:val="22"/>
          <w:szCs w:val="22"/>
        </w:rPr>
        <w:t xml:space="preserve"> uit de </w:t>
      </w:r>
      <w:r w:rsidR="007564E2">
        <w:rPr>
          <w:rFonts w:asciiTheme="minorHAnsi" w:hAnsiTheme="minorHAnsi"/>
          <w:color w:val="000000"/>
          <w:sz w:val="22"/>
          <w:szCs w:val="22"/>
        </w:rPr>
        <w:t>in</w:t>
      </w:r>
      <w:r w:rsidR="00465C49">
        <w:rPr>
          <w:rFonts w:asciiTheme="minorHAnsi" w:hAnsiTheme="minorHAnsi"/>
          <w:color w:val="000000"/>
          <w:sz w:val="22"/>
          <w:szCs w:val="22"/>
        </w:rPr>
        <w:t xml:space="preserve">gewonnen informatie van de gebruikte bronnen goede topics worden geselecteerd </w:t>
      </w:r>
      <w:r w:rsidR="007564E2">
        <w:rPr>
          <w:rFonts w:asciiTheme="minorHAnsi" w:hAnsiTheme="minorHAnsi"/>
          <w:color w:val="000000"/>
          <w:sz w:val="22"/>
          <w:szCs w:val="22"/>
        </w:rPr>
        <w:t>voor</w:t>
      </w:r>
      <w:r w:rsidR="00465C49">
        <w:rPr>
          <w:rFonts w:asciiTheme="minorHAnsi" w:hAnsiTheme="minorHAnsi"/>
          <w:color w:val="000000"/>
          <w:sz w:val="22"/>
          <w:szCs w:val="22"/>
        </w:rPr>
        <w:t xml:space="preserve"> het jurisprudentieonderzoek. </w:t>
      </w:r>
    </w:p>
    <w:p w:rsidR="00583854" w:rsidRDefault="00583854" w:rsidP="008E3A78">
      <w:pPr>
        <w:pStyle w:val="Normaalweb"/>
        <w:spacing w:before="0" w:beforeAutospacing="0" w:after="0" w:afterAutospacing="0" w:line="360" w:lineRule="auto"/>
        <w:rPr>
          <w:rFonts w:asciiTheme="minorHAnsi" w:hAnsiTheme="minorHAnsi"/>
          <w:color w:val="000000"/>
          <w:sz w:val="22"/>
          <w:szCs w:val="22"/>
        </w:rPr>
      </w:pPr>
    </w:p>
    <w:p w:rsidR="00E81FC4" w:rsidRPr="00A71576" w:rsidRDefault="00E81FC4"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Om de</w:t>
      </w:r>
      <w:r>
        <w:rPr>
          <w:rFonts w:asciiTheme="minorHAnsi" w:hAnsiTheme="minorHAnsi"/>
          <w:color w:val="000000"/>
          <w:sz w:val="22"/>
          <w:szCs w:val="22"/>
        </w:rPr>
        <w:t>ze deelvraag te beantwoorden ga</w:t>
      </w:r>
      <w:r w:rsidRPr="00A71576">
        <w:rPr>
          <w:rFonts w:asciiTheme="minorHAnsi" w:hAnsiTheme="minorHAnsi"/>
          <w:color w:val="000000"/>
          <w:sz w:val="22"/>
          <w:szCs w:val="22"/>
        </w:rPr>
        <w:t xml:space="preserve"> ik een literatuuronderzoek ve</w:t>
      </w:r>
      <w:r>
        <w:rPr>
          <w:rFonts w:asciiTheme="minorHAnsi" w:hAnsiTheme="minorHAnsi"/>
          <w:color w:val="000000"/>
          <w:sz w:val="22"/>
          <w:szCs w:val="22"/>
        </w:rPr>
        <w:t>r</w:t>
      </w:r>
      <w:r w:rsidRPr="00A71576">
        <w:rPr>
          <w:rFonts w:asciiTheme="minorHAnsi" w:hAnsiTheme="minorHAnsi"/>
          <w:color w:val="000000"/>
          <w:sz w:val="22"/>
          <w:szCs w:val="22"/>
        </w:rPr>
        <w:t xml:space="preserve">richten, waarbij ik onder andere boeken, internetbronnen en vaktijdschriften zal </w:t>
      </w:r>
      <w:r w:rsidR="009878C4">
        <w:rPr>
          <w:rFonts w:asciiTheme="minorHAnsi" w:hAnsiTheme="minorHAnsi"/>
          <w:color w:val="000000"/>
          <w:sz w:val="22"/>
          <w:szCs w:val="22"/>
        </w:rPr>
        <w:t>raadplegen</w:t>
      </w:r>
      <w:r w:rsidRPr="00A71576">
        <w:rPr>
          <w:rFonts w:asciiTheme="minorHAnsi" w:hAnsiTheme="minorHAnsi"/>
          <w:color w:val="000000"/>
          <w:sz w:val="22"/>
          <w:szCs w:val="22"/>
        </w:rPr>
        <w:t xml:space="preserve">. In de literatuur is veel informatie te vinden over </w:t>
      </w:r>
      <w:r w:rsidR="000D68B0">
        <w:rPr>
          <w:rFonts w:asciiTheme="minorHAnsi" w:hAnsiTheme="minorHAnsi"/>
          <w:color w:val="000000"/>
          <w:sz w:val="22"/>
          <w:szCs w:val="22"/>
        </w:rPr>
        <w:t xml:space="preserve">de </w:t>
      </w:r>
      <w:r w:rsidR="00811D87">
        <w:rPr>
          <w:rFonts w:asciiTheme="minorHAnsi" w:hAnsiTheme="minorHAnsi"/>
          <w:color w:val="000000"/>
          <w:sz w:val="22"/>
          <w:szCs w:val="22"/>
        </w:rPr>
        <w:t>omstandigheden waar</w:t>
      </w:r>
      <w:r w:rsidR="007564E2">
        <w:rPr>
          <w:rFonts w:asciiTheme="minorHAnsi" w:hAnsiTheme="minorHAnsi"/>
          <w:color w:val="000000"/>
          <w:sz w:val="22"/>
          <w:szCs w:val="22"/>
        </w:rPr>
        <w:t>onder</w:t>
      </w:r>
      <w:r w:rsidR="00811D87">
        <w:rPr>
          <w:rFonts w:asciiTheme="minorHAnsi" w:hAnsiTheme="minorHAnsi"/>
          <w:color w:val="000000"/>
          <w:sz w:val="22"/>
          <w:szCs w:val="22"/>
        </w:rPr>
        <w:t xml:space="preserve"> </w:t>
      </w:r>
      <w:r>
        <w:rPr>
          <w:rFonts w:asciiTheme="minorHAnsi" w:hAnsiTheme="minorHAnsi"/>
          <w:color w:val="000000"/>
          <w:sz w:val="22"/>
          <w:szCs w:val="22"/>
        </w:rPr>
        <w:t xml:space="preserve">de billijke </w:t>
      </w:r>
      <w:r w:rsidRPr="00A71576">
        <w:rPr>
          <w:rFonts w:asciiTheme="minorHAnsi" w:hAnsiTheme="minorHAnsi"/>
          <w:color w:val="000000"/>
          <w:sz w:val="22"/>
          <w:szCs w:val="22"/>
        </w:rPr>
        <w:t>vergoeding</w:t>
      </w:r>
      <w:r w:rsidR="00811D87">
        <w:rPr>
          <w:rFonts w:asciiTheme="minorHAnsi" w:hAnsiTheme="minorHAnsi"/>
          <w:color w:val="000000"/>
          <w:sz w:val="22"/>
          <w:szCs w:val="22"/>
        </w:rPr>
        <w:t xml:space="preserve"> </w:t>
      </w:r>
      <w:r>
        <w:rPr>
          <w:rFonts w:asciiTheme="minorHAnsi" w:hAnsiTheme="minorHAnsi"/>
          <w:color w:val="000000"/>
          <w:sz w:val="22"/>
          <w:szCs w:val="22"/>
        </w:rPr>
        <w:t>wordt toegekend</w:t>
      </w:r>
      <w:r w:rsidR="000D68B0">
        <w:rPr>
          <w:rFonts w:asciiTheme="minorHAnsi" w:hAnsiTheme="minorHAnsi"/>
          <w:color w:val="000000"/>
          <w:sz w:val="22"/>
          <w:szCs w:val="22"/>
        </w:rPr>
        <w:t>. Ik heb de boeken</w:t>
      </w:r>
      <w:r w:rsidRPr="00A71576">
        <w:rPr>
          <w:rFonts w:asciiTheme="minorHAnsi" w:hAnsiTheme="minorHAnsi"/>
          <w:color w:val="000000"/>
          <w:sz w:val="22"/>
          <w:szCs w:val="22"/>
        </w:rPr>
        <w:t xml:space="preserve"> bestudeerd om te kijken welke hoof</w:t>
      </w:r>
      <w:r w:rsidR="00916AFF">
        <w:rPr>
          <w:rFonts w:asciiTheme="minorHAnsi" w:hAnsiTheme="minorHAnsi"/>
          <w:color w:val="000000"/>
          <w:sz w:val="22"/>
          <w:szCs w:val="22"/>
        </w:rPr>
        <w:t>dstukken van belang zijn voor dit</w:t>
      </w:r>
      <w:r w:rsidRPr="00A71576">
        <w:rPr>
          <w:rFonts w:asciiTheme="minorHAnsi" w:hAnsiTheme="minorHAnsi"/>
          <w:color w:val="000000"/>
          <w:sz w:val="22"/>
          <w:szCs w:val="22"/>
        </w:rPr>
        <w:t xml:space="preserve"> onderzoek. Uit de boeken wil ik voornamelijk algemene informatie verzamelen </w:t>
      </w:r>
      <w:r>
        <w:rPr>
          <w:rFonts w:asciiTheme="minorHAnsi" w:hAnsiTheme="minorHAnsi"/>
          <w:color w:val="000000"/>
          <w:sz w:val="22"/>
          <w:szCs w:val="22"/>
        </w:rPr>
        <w:t xml:space="preserve">om een helder beeld te krijgen </w:t>
      </w:r>
      <w:r w:rsidR="00811D87">
        <w:rPr>
          <w:rFonts w:asciiTheme="minorHAnsi" w:hAnsiTheme="minorHAnsi"/>
          <w:color w:val="000000"/>
          <w:sz w:val="22"/>
          <w:szCs w:val="22"/>
        </w:rPr>
        <w:t xml:space="preserve">van </w:t>
      </w:r>
      <w:r w:rsidR="007564E2">
        <w:rPr>
          <w:rFonts w:asciiTheme="minorHAnsi" w:hAnsiTheme="minorHAnsi"/>
          <w:color w:val="000000"/>
          <w:sz w:val="22"/>
          <w:szCs w:val="22"/>
        </w:rPr>
        <w:t>de situatie waarin</w:t>
      </w:r>
      <w:r>
        <w:rPr>
          <w:rFonts w:asciiTheme="minorHAnsi" w:hAnsiTheme="minorHAnsi"/>
          <w:color w:val="000000"/>
          <w:sz w:val="22"/>
          <w:szCs w:val="22"/>
        </w:rPr>
        <w:t xml:space="preserve"> de</w:t>
      </w:r>
      <w:r w:rsidRPr="00A71576">
        <w:rPr>
          <w:rFonts w:asciiTheme="minorHAnsi" w:hAnsiTheme="minorHAnsi"/>
          <w:color w:val="000000"/>
          <w:sz w:val="22"/>
          <w:szCs w:val="22"/>
        </w:rPr>
        <w:t xml:space="preserve"> </w:t>
      </w:r>
      <w:r>
        <w:rPr>
          <w:rFonts w:asciiTheme="minorHAnsi" w:hAnsiTheme="minorHAnsi"/>
          <w:color w:val="000000"/>
          <w:sz w:val="22"/>
          <w:szCs w:val="22"/>
        </w:rPr>
        <w:t xml:space="preserve">billijke vergoeding wordt toegekend. </w:t>
      </w:r>
    </w:p>
    <w:p w:rsidR="00583854" w:rsidRDefault="00583854" w:rsidP="008E3A78">
      <w:pPr>
        <w:pStyle w:val="Normaalweb"/>
        <w:spacing w:before="0" w:beforeAutospacing="0" w:after="0" w:afterAutospacing="0" w:line="360" w:lineRule="auto"/>
        <w:rPr>
          <w:rFonts w:asciiTheme="minorHAnsi" w:hAnsiTheme="minorHAnsi"/>
          <w:color w:val="000000"/>
          <w:sz w:val="22"/>
          <w:szCs w:val="22"/>
        </w:rPr>
      </w:pPr>
    </w:p>
    <w:p w:rsidR="00B928D6" w:rsidRPr="00D00B04" w:rsidRDefault="00E81FC4" w:rsidP="008E3A78">
      <w:pPr>
        <w:pStyle w:val="Normaalweb"/>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 xml:space="preserve">In de </w:t>
      </w:r>
      <w:r w:rsidR="00681BFF">
        <w:rPr>
          <w:rFonts w:asciiTheme="minorHAnsi" w:hAnsiTheme="minorHAnsi"/>
          <w:color w:val="000000"/>
          <w:sz w:val="22"/>
          <w:szCs w:val="22"/>
        </w:rPr>
        <w:t>literatuurlijst staan</w:t>
      </w:r>
      <w:r>
        <w:rPr>
          <w:rFonts w:asciiTheme="minorHAnsi" w:hAnsiTheme="minorHAnsi"/>
          <w:color w:val="000000"/>
          <w:sz w:val="22"/>
          <w:szCs w:val="22"/>
        </w:rPr>
        <w:t xml:space="preserve"> de </w:t>
      </w:r>
      <w:r w:rsidRPr="00A71576">
        <w:rPr>
          <w:rFonts w:asciiTheme="minorHAnsi" w:hAnsiTheme="minorHAnsi"/>
          <w:color w:val="000000"/>
          <w:sz w:val="22"/>
          <w:szCs w:val="22"/>
        </w:rPr>
        <w:t>boeken</w:t>
      </w:r>
      <w:r>
        <w:rPr>
          <w:rFonts w:asciiTheme="minorHAnsi" w:hAnsiTheme="minorHAnsi"/>
          <w:color w:val="000000"/>
          <w:sz w:val="22"/>
          <w:szCs w:val="22"/>
        </w:rPr>
        <w:t xml:space="preserve"> en vakbladen</w:t>
      </w:r>
      <w:r w:rsidRPr="00A71576">
        <w:rPr>
          <w:rFonts w:asciiTheme="minorHAnsi" w:hAnsiTheme="minorHAnsi"/>
          <w:color w:val="000000"/>
          <w:sz w:val="22"/>
          <w:szCs w:val="22"/>
        </w:rPr>
        <w:t xml:space="preserve"> </w:t>
      </w:r>
      <w:r>
        <w:rPr>
          <w:rFonts w:asciiTheme="minorHAnsi" w:hAnsiTheme="minorHAnsi"/>
          <w:color w:val="000000"/>
          <w:sz w:val="22"/>
          <w:szCs w:val="22"/>
        </w:rPr>
        <w:t xml:space="preserve">opgesomd die ik heb </w:t>
      </w:r>
      <w:r w:rsidRPr="00A71576">
        <w:rPr>
          <w:rFonts w:asciiTheme="minorHAnsi" w:hAnsiTheme="minorHAnsi"/>
          <w:color w:val="000000"/>
          <w:sz w:val="22"/>
          <w:szCs w:val="22"/>
        </w:rPr>
        <w:t>geraadpleegd</w:t>
      </w:r>
      <w:r>
        <w:rPr>
          <w:rFonts w:asciiTheme="minorHAnsi" w:hAnsiTheme="minorHAnsi"/>
          <w:color w:val="000000"/>
          <w:sz w:val="22"/>
          <w:szCs w:val="22"/>
        </w:rPr>
        <w:t xml:space="preserve"> om deze deelvraag zo goed mogelijk te beantwoorden.</w:t>
      </w:r>
      <w:r w:rsidR="004F1E96">
        <w:rPr>
          <w:rFonts w:asciiTheme="minorHAnsi" w:hAnsiTheme="minorHAnsi"/>
          <w:color w:val="000000"/>
          <w:sz w:val="22"/>
          <w:szCs w:val="22"/>
        </w:rPr>
        <w:t xml:space="preserve"> </w:t>
      </w:r>
      <w:r w:rsidRPr="00A71576">
        <w:rPr>
          <w:rFonts w:asciiTheme="minorHAnsi" w:hAnsiTheme="minorHAnsi"/>
          <w:color w:val="000000"/>
          <w:sz w:val="22"/>
          <w:szCs w:val="22"/>
        </w:rPr>
        <w:t xml:space="preserve">In elk boek en </w:t>
      </w:r>
      <w:r>
        <w:rPr>
          <w:rFonts w:asciiTheme="minorHAnsi" w:hAnsiTheme="minorHAnsi"/>
          <w:color w:val="000000"/>
          <w:sz w:val="22"/>
          <w:szCs w:val="22"/>
        </w:rPr>
        <w:t>vakblad</w:t>
      </w:r>
      <w:r w:rsidRPr="00A71576">
        <w:rPr>
          <w:rFonts w:asciiTheme="minorHAnsi" w:hAnsiTheme="minorHAnsi"/>
          <w:color w:val="000000"/>
          <w:sz w:val="22"/>
          <w:szCs w:val="22"/>
        </w:rPr>
        <w:t xml:space="preserve"> heb ik algemene infor</w:t>
      </w:r>
      <w:r>
        <w:rPr>
          <w:rFonts w:asciiTheme="minorHAnsi" w:hAnsiTheme="minorHAnsi"/>
          <w:color w:val="000000"/>
          <w:sz w:val="22"/>
          <w:szCs w:val="22"/>
        </w:rPr>
        <w:t xml:space="preserve">matie gevonden over de bepalingen omtrent de billijke </w:t>
      </w:r>
      <w:r w:rsidRPr="00A71576">
        <w:rPr>
          <w:rFonts w:asciiTheme="minorHAnsi" w:hAnsiTheme="minorHAnsi"/>
          <w:color w:val="000000"/>
          <w:sz w:val="22"/>
          <w:szCs w:val="22"/>
        </w:rPr>
        <w:t>vergoeding</w:t>
      </w:r>
      <w:r>
        <w:rPr>
          <w:rFonts w:asciiTheme="minorHAnsi" w:hAnsiTheme="minorHAnsi"/>
          <w:color w:val="000000"/>
          <w:sz w:val="22"/>
          <w:szCs w:val="22"/>
        </w:rPr>
        <w:t xml:space="preserve"> die volgens het huidige Wet Werk en Zekerheid gelden</w:t>
      </w:r>
      <w:r w:rsidRPr="00A71576">
        <w:rPr>
          <w:rFonts w:asciiTheme="minorHAnsi" w:hAnsiTheme="minorHAnsi"/>
          <w:color w:val="000000"/>
          <w:sz w:val="22"/>
          <w:szCs w:val="22"/>
        </w:rPr>
        <w:t xml:space="preserve">. Elk boek </w:t>
      </w:r>
      <w:r>
        <w:rPr>
          <w:rFonts w:asciiTheme="minorHAnsi" w:hAnsiTheme="minorHAnsi"/>
          <w:color w:val="000000"/>
          <w:sz w:val="22"/>
          <w:szCs w:val="22"/>
        </w:rPr>
        <w:t xml:space="preserve">en vakblad </w:t>
      </w:r>
      <w:r w:rsidRPr="00A71576">
        <w:rPr>
          <w:rFonts w:asciiTheme="minorHAnsi" w:hAnsiTheme="minorHAnsi"/>
          <w:color w:val="000000"/>
          <w:sz w:val="22"/>
          <w:szCs w:val="22"/>
        </w:rPr>
        <w:t xml:space="preserve">heeft een eigen omschrijving </w:t>
      </w:r>
      <w:r>
        <w:rPr>
          <w:rFonts w:asciiTheme="minorHAnsi" w:hAnsiTheme="minorHAnsi"/>
          <w:color w:val="000000"/>
          <w:sz w:val="22"/>
          <w:szCs w:val="22"/>
        </w:rPr>
        <w:t>hiervan</w:t>
      </w:r>
      <w:r w:rsidRPr="00A71576">
        <w:rPr>
          <w:rFonts w:asciiTheme="minorHAnsi" w:hAnsiTheme="minorHAnsi"/>
          <w:color w:val="000000"/>
          <w:sz w:val="22"/>
          <w:szCs w:val="22"/>
        </w:rPr>
        <w:t xml:space="preserve">. </w:t>
      </w:r>
      <w:r>
        <w:rPr>
          <w:rFonts w:asciiTheme="minorHAnsi" w:hAnsiTheme="minorHAnsi"/>
          <w:color w:val="000000"/>
          <w:sz w:val="22"/>
          <w:szCs w:val="22"/>
        </w:rPr>
        <w:t xml:space="preserve">Zoals hiervoor omschreven geeft het </w:t>
      </w:r>
      <w:r w:rsidRPr="00A71576">
        <w:rPr>
          <w:rFonts w:asciiTheme="minorHAnsi" w:hAnsiTheme="minorHAnsi"/>
          <w:color w:val="000000"/>
          <w:sz w:val="22"/>
          <w:szCs w:val="22"/>
        </w:rPr>
        <w:t xml:space="preserve">ene boek een uitgebreidere uitleg </w:t>
      </w:r>
      <w:r w:rsidR="007564E2">
        <w:rPr>
          <w:rFonts w:asciiTheme="minorHAnsi" w:hAnsiTheme="minorHAnsi"/>
          <w:color w:val="000000"/>
          <w:sz w:val="22"/>
          <w:szCs w:val="22"/>
        </w:rPr>
        <w:t>dan</w:t>
      </w:r>
      <w:r w:rsidRPr="00A71576">
        <w:rPr>
          <w:rFonts w:asciiTheme="minorHAnsi" w:hAnsiTheme="minorHAnsi"/>
          <w:color w:val="000000"/>
          <w:sz w:val="22"/>
          <w:szCs w:val="22"/>
        </w:rPr>
        <w:t xml:space="preserve"> het andere boek. Uit elk boek kan ik essentiële informatie halen om mijn deelvraag te beantwoorden. Door het bestuderen van </w:t>
      </w:r>
      <w:r>
        <w:rPr>
          <w:rFonts w:asciiTheme="minorHAnsi" w:hAnsiTheme="minorHAnsi"/>
          <w:color w:val="000000"/>
          <w:sz w:val="22"/>
          <w:szCs w:val="22"/>
        </w:rPr>
        <w:t xml:space="preserve">zoveel mogelijk </w:t>
      </w:r>
      <w:r w:rsidRPr="00A71576">
        <w:rPr>
          <w:rFonts w:asciiTheme="minorHAnsi" w:hAnsiTheme="minorHAnsi"/>
          <w:color w:val="000000"/>
          <w:sz w:val="22"/>
          <w:szCs w:val="22"/>
        </w:rPr>
        <w:t>relevante literatuur</w:t>
      </w:r>
      <w:r>
        <w:rPr>
          <w:rFonts w:asciiTheme="minorHAnsi" w:hAnsiTheme="minorHAnsi"/>
          <w:color w:val="000000"/>
          <w:sz w:val="22"/>
          <w:szCs w:val="22"/>
        </w:rPr>
        <w:t>, wordt</w:t>
      </w:r>
      <w:r w:rsidRPr="00A71576">
        <w:rPr>
          <w:rFonts w:asciiTheme="minorHAnsi" w:hAnsiTheme="minorHAnsi"/>
          <w:color w:val="000000"/>
          <w:sz w:val="22"/>
          <w:szCs w:val="22"/>
        </w:rPr>
        <w:t xml:space="preserve"> de betrouwbaarheid en effectiviteit van het onderzoek</w:t>
      </w:r>
      <w:r>
        <w:rPr>
          <w:rFonts w:asciiTheme="minorHAnsi" w:hAnsiTheme="minorHAnsi"/>
          <w:color w:val="000000"/>
          <w:sz w:val="22"/>
          <w:szCs w:val="22"/>
        </w:rPr>
        <w:t xml:space="preserve"> behouden. O</w:t>
      </w:r>
      <w:r w:rsidRPr="00A71576">
        <w:rPr>
          <w:rFonts w:asciiTheme="minorHAnsi" w:hAnsiTheme="minorHAnsi"/>
          <w:color w:val="000000"/>
          <w:sz w:val="22"/>
          <w:szCs w:val="22"/>
        </w:rPr>
        <w:t xml:space="preserve">m de kwaliteit van </w:t>
      </w:r>
      <w:r>
        <w:rPr>
          <w:rFonts w:asciiTheme="minorHAnsi" w:hAnsiTheme="minorHAnsi"/>
          <w:color w:val="000000"/>
          <w:sz w:val="22"/>
          <w:szCs w:val="22"/>
        </w:rPr>
        <w:t>de</w:t>
      </w:r>
      <w:r w:rsidRPr="00A71576">
        <w:rPr>
          <w:rFonts w:asciiTheme="minorHAnsi" w:hAnsiTheme="minorHAnsi"/>
          <w:color w:val="000000"/>
          <w:sz w:val="22"/>
          <w:szCs w:val="22"/>
        </w:rPr>
        <w:t xml:space="preserve"> bronnen te waarborgen, ben ik</w:t>
      </w:r>
      <w:r w:rsidR="009D4933">
        <w:rPr>
          <w:rFonts w:asciiTheme="minorHAnsi" w:hAnsiTheme="minorHAnsi"/>
          <w:color w:val="000000"/>
          <w:sz w:val="22"/>
          <w:szCs w:val="22"/>
        </w:rPr>
        <w:t>,</w:t>
      </w:r>
      <w:r w:rsidRPr="00A71576">
        <w:rPr>
          <w:rFonts w:asciiTheme="minorHAnsi" w:hAnsiTheme="minorHAnsi"/>
          <w:color w:val="000000"/>
          <w:sz w:val="22"/>
          <w:szCs w:val="22"/>
        </w:rPr>
        <w:t xml:space="preserve"> </w:t>
      </w:r>
      <w:r w:rsidR="009D4933" w:rsidRPr="00A71576">
        <w:rPr>
          <w:rFonts w:asciiTheme="minorHAnsi" w:hAnsiTheme="minorHAnsi"/>
          <w:color w:val="000000"/>
          <w:sz w:val="22"/>
          <w:szCs w:val="22"/>
        </w:rPr>
        <w:t>door de re</w:t>
      </w:r>
      <w:r w:rsidR="009D4933">
        <w:rPr>
          <w:rFonts w:asciiTheme="minorHAnsi" w:hAnsiTheme="minorHAnsi"/>
          <w:color w:val="000000"/>
          <w:sz w:val="22"/>
          <w:szCs w:val="22"/>
        </w:rPr>
        <w:t>levante wetten erbij te pakken,</w:t>
      </w:r>
      <w:r w:rsidR="009D4933" w:rsidRPr="00A71576">
        <w:rPr>
          <w:rFonts w:asciiTheme="minorHAnsi" w:hAnsiTheme="minorHAnsi"/>
          <w:color w:val="000000"/>
          <w:sz w:val="22"/>
          <w:szCs w:val="22"/>
        </w:rPr>
        <w:t xml:space="preserve"> </w:t>
      </w:r>
      <w:r w:rsidRPr="00A71576">
        <w:rPr>
          <w:rFonts w:asciiTheme="minorHAnsi" w:hAnsiTheme="minorHAnsi"/>
          <w:color w:val="000000"/>
          <w:sz w:val="22"/>
          <w:szCs w:val="22"/>
        </w:rPr>
        <w:t xml:space="preserve">nagegaan of de inhoud van de boeken juist </w:t>
      </w:r>
      <w:r w:rsidR="009D4933">
        <w:rPr>
          <w:rFonts w:asciiTheme="minorHAnsi" w:hAnsiTheme="minorHAnsi"/>
          <w:color w:val="000000"/>
          <w:sz w:val="22"/>
          <w:szCs w:val="22"/>
        </w:rPr>
        <w:t>is</w:t>
      </w:r>
      <w:r w:rsidR="00DC7396">
        <w:rPr>
          <w:rFonts w:asciiTheme="minorHAnsi" w:hAnsiTheme="minorHAnsi"/>
          <w:color w:val="000000"/>
          <w:sz w:val="22"/>
          <w:szCs w:val="22"/>
        </w:rPr>
        <w:t>.</w:t>
      </w:r>
    </w:p>
    <w:p w:rsidR="001C1B26" w:rsidRPr="001C1B26" w:rsidRDefault="001C1B26" w:rsidP="008E3A78">
      <w:pPr>
        <w:pStyle w:val="Normaalweb"/>
        <w:spacing w:before="0" w:beforeAutospacing="0" w:after="0" w:afterAutospacing="0" w:line="360" w:lineRule="auto"/>
        <w:rPr>
          <w:rFonts w:asciiTheme="minorHAnsi" w:hAnsiTheme="minorHAnsi"/>
          <w:i/>
          <w:color w:val="000000"/>
          <w:sz w:val="22"/>
          <w:szCs w:val="22"/>
        </w:rPr>
      </w:pPr>
      <w:r w:rsidRPr="001C1B26">
        <w:rPr>
          <w:rFonts w:asciiTheme="minorHAnsi" w:hAnsiTheme="minorHAnsi"/>
          <w:i/>
          <w:color w:val="000000"/>
          <w:sz w:val="22"/>
          <w:szCs w:val="22"/>
        </w:rPr>
        <w:t>Wet- en regelgeving</w:t>
      </w:r>
    </w:p>
    <w:p w:rsidR="00DC7396" w:rsidRPr="00887B8B" w:rsidRDefault="00E81FC4" w:rsidP="008E3A78">
      <w:pPr>
        <w:pStyle w:val="Normaalweb"/>
        <w:spacing w:before="0" w:beforeAutospacing="0" w:after="0" w:afterAutospacing="0" w:line="360" w:lineRule="auto"/>
        <w:rPr>
          <w:rFonts w:asciiTheme="minorHAnsi" w:eastAsia="MS Mincho" w:hAnsiTheme="minorHAnsi"/>
          <w:color w:val="000000"/>
          <w:sz w:val="22"/>
          <w:szCs w:val="22"/>
          <w:lang w:eastAsia="ja-JP"/>
        </w:rPr>
      </w:pPr>
      <w:r>
        <w:rPr>
          <w:rFonts w:asciiTheme="minorHAnsi" w:hAnsiTheme="minorHAnsi"/>
          <w:color w:val="000000"/>
          <w:sz w:val="22"/>
          <w:szCs w:val="22"/>
        </w:rPr>
        <w:t xml:space="preserve">Naast een uitgebreid literatuuronderzoek heb ik ook een uitgebreid onderzoek verricht naar de wetgeving omtrent de </w:t>
      </w:r>
      <w:r w:rsidR="00B3079B">
        <w:rPr>
          <w:rFonts w:asciiTheme="minorHAnsi" w:hAnsiTheme="minorHAnsi"/>
          <w:color w:val="000000"/>
          <w:sz w:val="22"/>
          <w:szCs w:val="22"/>
        </w:rPr>
        <w:t xml:space="preserve">bepalingen van de </w:t>
      </w:r>
      <w:r>
        <w:rPr>
          <w:rFonts w:asciiTheme="minorHAnsi" w:hAnsiTheme="minorHAnsi"/>
          <w:color w:val="000000"/>
          <w:sz w:val="22"/>
          <w:szCs w:val="22"/>
        </w:rPr>
        <w:t xml:space="preserve">billijke vergoeding. </w:t>
      </w:r>
      <w:r w:rsidRPr="00A71576">
        <w:rPr>
          <w:rFonts w:asciiTheme="minorHAnsi" w:hAnsiTheme="minorHAnsi"/>
          <w:color w:val="000000"/>
          <w:sz w:val="22"/>
          <w:szCs w:val="22"/>
        </w:rPr>
        <w:t>De relevante wet</w:t>
      </w:r>
      <w:r>
        <w:rPr>
          <w:rFonts w:asciiTheme="minorHAnsi" w:hAnsiTheme="minorHAnsi"/>
          <w:color w:val="000000"/>
          <w:sz w:val="22"/>
          <w:szCs w:val="22"/>
        </w:rPr>
        <w:t>ten en wet</w:t>
      </w:r>
      <w:r w:rsidRPr="00A71576">
        <w:rPr>
          <w:rFonts w:asciiTheme="minorHAnsi" w:hAnsiTheme="minorHAnsi"/>
          <w:color w:val="000000"/>
          <w:sz w:val="22"/>
          <w:szCs w:val="22"/>
        </w:rPr>
        <w:t>sartikelen</w:t>
      </w:r>
      <w:r>
        <w:rPr>
          <w:rFonts w:asciiTheme="minorHAnsi" w:hAnsiTheme="minorHAnsi"/>
          <w:color w:val="000000"/>
          <w:sz w:val="22"/>
          <w:szCs w:val="22"/>
        </w:rPr>
        <w:t xml:space="preserve"> die ik heb gebruikt om deze deelvraag te beantwoorden</w:t>
      </w:r>
      <w:r w:rsidRPr="00A71576">
        <w:rPr>
          <w:rFonts w:asciiTheme="minorHAnsi" w:hAnsiTheme="minorHAnsi"/>
          <w:color w:val="000000"/>
          <w:sz w:val="22"/>
          <w:szCs w:val="22"/>
        </w:rPr>
        <w:t xml:space="preserve"> </w:t>
      </w:r>
      <w:r>
        <w:rPr>
          <w:rFonts w:asciiTheme="minorHAnsi" w:hAnsiTheme="minorHAnsi"/>
          <w:color w:val="000000"/>
          <w:sz w:val="22"/>
          <w:szCs w:val="22"/>
        </w:rPr>
        <w:t>zijn terug te vinden in de literatuurlijst</w:t>
      </w:r>
      <w:r w:rsidRPr="00A71576">
        <w:rPr>
          <w:rFonts w:asciiTheme="minorHAnsi" w:hAnsiTheme="minorHAnsi"/>
          <w:color w:val="000000"/>
          <w:sz w:val="22"/>
          <w:szCs w:val="22"/>
        </w:rPr>
        <w:t>. Deze</w:t>
      </w:r>
      <w:r>
        <w:rPr>
          <w:rFonts w:asciiTheme="minorHAnsi" w:hAnsiTheme="minorHAnsi"/>
          <w:color w:val="000000"/>
          <w:sz w:val="22"/>
          <w:szCs w:val="22"/>
        </w:rPr>
        <w:t xml:space="preserve"> wetten en</w:t>
      </w:r>
      <w:r w:rsidRPr="00A71576">
        <w:rPr>
          <w:rFonts w:asciiTheme="minorHAnsi" w:hAnsiTheme="minorHAnsi"/>
          <w:color w:val="000000"/>
          <w:sz w:val="22"/>
          <w:szCs w:val="22"/>
        </w:rPr>
        <w:t xml:space="preserve"> wetsartikelen zijn essentieel voor het beantwoorden van </w:t>
      </w:r>
      <w:r>
        <w:rPr>
          <w:rFonts w:asciiTheme="minorHAnsi" w:hAnsiTheme="minorHAnsi"/>
          <w:color w:val="000000"/>
          <w:sz w:val="22"/>
          <w:szCs w:val="22"/>
        </w:rPr>
        <w:t>deze</w:t>
      </w:r>
      <w:r w:rsidRPr="00A71576">
        <w:rPr>
          <w:rFonts w:asciiTheme="minorHAnsi" w:hAnsiTheme="minorHAnsi"/>
          <w:color w:val="000000"/>
          <w:sz w:val="22"/>
          <w:szCs w:val="22"/>
        </w:rPr>
        <w:t xml:space="preserve"> deelvraag. </w:t>
      </w:r>
    </w:p>
    <w:p w:rsidR="00583854" w:rsidRDefault="00583854" w:rsidP="008E3A78">
      <w:pPr>
        <w:pStyle w:val="Normaalweb"/>
        <w:spacing w:before="0" w:beforeAutospacing="0" w:after="0" w:afterAutospacing="0" w:line="360" w:lineRule="auto"/>
        <w:rPr>
          <w:rFonts w:asciiTheme="minorHAnsi" w:hAnsiTheme="minorHAnsi"/>
          <w:color w:val="000000"/>
          <w:sz w:val="22"/>
          <w:szCs w:val="22"/>
        </w:rPr>
      </w:pPr>
    </w:p>
    <w:p w:rsidR="002A6C27" w:rsidRDefault="00DC7396" w:rsidP="008E3A78">
      <w:pPr>
        <w:pStyle w:val="Normaalweb"/>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 xml:space="preserve">Er wordt gebruik gemaakt van de WWZ, </w:t>
      </w:r>
      <w:r w:rsidR="00C07F06">
        <w:rPr>
          <w:rFonts w:asciiTheme="minorHAnsi" w:hAnsiTheme="minorHAnsi"/>
          <w:color w:val="000000"/>
          <w:sz w:val="22"/>
          <w:szCs w:val="22"/>
        </w:rPr>
        <w:t xml:space="preserve">kamerstukken, </w:t>
      </w:r>
      <w:r>
        <w:rPr>
          <w:rFonts w:asciiTheme="minorHAnsi" w:hAnsiTheme="minorHAnsi"/>
          <w:color w:val="000000"/>
          <w:sz w:val="22"/>
          <w:szCs w:val="22"/>
        </w:rPr>
        <w:t xml:space="preserve">Memorie van Toelichting en Boek 7 van het Burgerlijk Wetboek. </w:t>
      </w:r>
      <w:r w:rsidR="00E81FC4" w:rsidRPr="00A71576">
        <w:rPr>
          <w:rFonts w:asciiTheme="minorHAnsi" w:hAnsiTheme="minorHAnsi"/>
          <w:color w:val="000000"/>
          <w:sz w:val="22"/>
          <w:szCs w:val="22"/>
        </w:rPr>
        <w:t xml:space="preserve">Door het analyseren van de wetten behoud ik de betrouwbaarheid en effectiviteit van het onderzoek, omdat ik dan alle </w:t>
      </w:r>
      <w:r w:rsidR="009878C4" w:rsidRPr="00A71576">
        <w:rPr>
          <w:rFonts w:asciiTheme="minorHAnsi" w:hAnsiTheme="minorHAnsi"/>
          <w:color w:val="000000"/>
          <w:sz w:val="22"/>
          <w:szCs w:val="22"/>
        </w:rPr>
        <w:t xml:space="preserve">voor dit onderzoek </w:t>
      </w:r>
      <w:r w:rsidR="00E81FC4" w:rsidRPr="00A71576">
        <w:rPr>
          <w:rFonts w:asciiTheme="minorHAnsi" w:hAnsiTheme="minorHAnsi"/>
          <w:color w:val="000000"/>
          <w:sz w:val="22"/>
          <w:szCs w:val="22"/>
        </w:rPr>
        <w:t>relevante artikelen heb bestudeerd.</w:t>
      </w:r>
      <w:r w:rsidR="004D156C">
        <w:rPr>
          <w:rFonts w:asciiTheme="minorHAnsi" w:hAnsiTheme="minorHAnsi"/>
          <w:color w:val="000000"/>
          <w:sz w:val="22"/>
          <w:szCs w:val="22"/>
        </w:rPr>
        <w:t xml:space="preserve">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p>
    <w:p w:rsidR="00811D87" w:rsidRPr="00811D87" w:rsidRDefault="00811D8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spacing w:val="-3"/>
          <w:lang w:eastAsia="nl-NL"/>
        </w:rPr>
      </w:pPr>
      <w:r w:rsidRPr="00811D87">
        <w:rPr>
          <w:b/>
          <w:bCs/>
          <w:spacing w:val="-3"/>
          <w:lang w:eastAsia="nl-NL"/>
        </w:rPr>
        <w:t xml:space="preserve">Deelvraag 3: Onder welke omstandigheden is er geen sprake van ernstig verwijtbaar handelen en wordt de billijke vergoeding niet toegekend? </w:t>
      </w:r>
    </w:p>
    <w:p w:rsidR="00825227" w:rsidRDefault="00825227" w:rsidP="008E3A78">
      <w:pPr>
        <w:pStyle w:val="Geenafstand"/>
        <w:spacing w:line="360" w:lineRule="auto"/>
        <w:rPr>
          <w:i/>
        </w:rPr>
      </w:pPr>
    </w:p>
    <w:p w:rsidR="0075776E" w:rsidRPr="0075776E" w:rsidRDefault="0075776E" w:rsidP="008E3A78">
      <w:pPr>
        <w:pStyle w:val="Geenafstand"/>
        <w:spacing w:line="360" w:lineRule="auto"/>
        <w:rPr>
          <w:i/>
        </w:rPr>
      </w:pPr>
      <w:r w:rsidRPr="0075776E">
        <w:rPr>
          <w:i/>
        </w:rPr>
        <w:t>Literatuur</w:t>
      </w:r>
      <w:r w:rsidR="001C1B26">
        <w:rPr>
          <w:i/>
        </w:rPr>
        <w:t>- en bronnen</w:t>
      </w:r>
      <w:r w:rsidRPr="0075776E">
        <w:rPr>
          <w:i/>
        </w:rPr>
        <w:t>onderzoek</w:t>
      </w:r>
    </w:p>
    <w:p w:rsidR="00916AFF" w:rsidRDefault="00916AFF"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Deze deelvraag vind ik essentieel voor mijn onderzoek om</w:t>
      </w:r>
      <w:r>
        <w:rPr>
          <w:rFonts w:asciiTheme="minorHAnsi" w:hAnsiTheme="minorHAnsi"/>
          <w:color w:val="000000"/>
          <w:sz w:val="22"/>
          <w:szCs w:val="22"/>
        </w:rPr>
        <w:t xml:space="preserve">dat </w:t>
      </w:r>
      <w:r w:rsidR="009878C4">
        <w:rPr>
          <w:rFonts w:asciiTheme="minorHAnsi" w:hAnsiTheme="minorHAnsi"/>
          <w:color w:val="000000"/>
          <w:sz w:val="22"/>
          <w:szCs w:val="22"/>
        </w:rPr>
        <w:t>deze</w:t>
      </w:r>
      <w:r>
        <w:rPr>
          <w:rFonts w:asciiTheme="minorHAnsi" w:hAnsiTheme="minorHAnsi"/>
          <w:color w:val="000000"/>
          <w:sz w:val="22"/>
          <w:szCs w:val="22"/>
        </w:rPr>
        <w:t xml:space="preserve"> een helder beeld geeft </w:t>
      </w:r>
      <w:r w:rsidR="009878C4">
        <w:rPr>
          <w:rFonts w:asciiTheme="minorHAnsi" w:hAnsiTheme="minorHAnsi"/>
          <w:color w:val="000000"/>
          <w:sz w:val="22"/>
          <w:szCs w:val="22"/>
        </w:rPr>
        <w:t>van situaties waarin</w:t>
      </w:r>
      <w:r>
        <w:rPr>
          <w:rFonts w:asciiTheme="minorHAnsi" w:hAnsiTheme="minorHAnsi"/>
          <w:color w:val="000000"/>
          <w:sz w:val="22"/>
          <w:szCs w:val="22"/>
        </w:rPr>
        <w:t xml:space="preserve"> geen sprake is van ernstig verwijtbaar handelen van de werkgever</w:t>
      </w:r>
      <w:r w:rsidRPr="00A71576">
        <w:rPr>
          <w:rFonts w:asciiTheme="minorHAnsi" w:hAnsiTheme="minorHAnsi"/>
          <w:color w:val="000000"/>
          <w:sz w:val="22"/>
          <w:szCs w:val="22"/>
        </w:rPr>
        <w:t xml:space="preserve">. </w:t>
      </w:r>
      <w:r>
        <w:rPr>
          <w:rFonts w:asciiTheme="minorHAnsi" w:hAnsiTheme="minorHAnsi"/>
          <w:color w:val="000000"/>
          <w:sz w:val="22"/>
          <w:szCs w:val="22"/>
        </w:rPr>
        <w:t>Het doel van deze deelvraag is om zoveel mogelijk informatie in te w</w:t>
      </w:r>
      <w:r w:rsidR="000D68B0">
        <w:rPr>
          <w:rFonts w:asciiTheme="minorHAnsi" w:hAnsiTheme="minorHAnsi"/>
          <w:color w:val="000000"/>
          <w:sz w:val="22"/>
          <w:szCs w:val="22"/>
        </w:rPr>
        <w:t>innen over de situatie waarin</w:t>
      </w:r>
      <w:r>
        <w:rPr>
          <w:rFonts w:asciiTheme="minorHAnsi" w:hAnsiTheme="minorHAnsi"/>
          <w:color w:val="000000"/>
          <w:sz w:val="22"/>
          <w:szCs w:val="22"/>
        </w:rPr>
        <w:t xml:space="preserve"> geen sprake is van ernstig verwijtbaar </w:t>
      </w:r>
      <w:r w:rsidR="00681BFF">
        <w:rPr>
          <w:rFonts w:asciiTheme="minorHAnsi" w:hAnsiTheme="minorHAnsi"/>
          <w:color w:val="000000"/>
          <w:sz w:val="22"/>
          <w:szCs w:val="22"/>
        </w:rPr>
        <w:t>handelen in</w:t>
      </w:r>
      <w:r>
        <w:rPr>
          <w:rFonts w:asciiTheme="minorHAnsi" w:hAnsiTheme="minorHAnsi"/>
          <w:color w:val="000000"/>
          <w:sz w:val="22"/>
          <w:szCs w:val="22"/>
        </w:rPr>
        <w:t xml:space="preserve"> de zin</w:t>
      </w:r>
      <w:r w:rsidR="000D68B0">
        <w:rPr>
          <w:rFonts w:asciiTheme="minorHAnsi" w:hAnsiTheme="minorHAnsi"/>
          <w:color w:val="000000"/>
          <w:sz w:val="22"/>
          <w:szCs w:val="22"/>
        </w:rPr>
        <w:t xml:space="preserve"> van de WWZ. Daarnaast kunnen</w:t>
      </w:r>
      <w:r>
        <w:rPr>
          <w:rFonts w:asciiTheme="minorHAnsi" w:hAnsiTheme="minorHAnsi"/>
          <w:color w:val="000000"/>
          <w:sz w:val="22"/>
          <w:szCs w:val="22"/>
        </w:rPr>
        <w:t xml:space="preserve"> uit de ingewonnen informatie van de gebruikte bronnen goede topics worden geselecteerd </w:t>
      </w:r>
      <w:r w:rsidR="00681BFF">
        <w:rPr>
          <w:rFonts w:asciiTheme="minorHAnsi" w:hAnsiTheme="minorHAnsi"/>
          <w:color w:val="000000"/>
          <w:sz w:val="22"/>
          <w:szCs w:val="22"/>
        </w:rPr>
        <w:t>voor het</w:t>
      </w:r>
      <w:r>
        <w:rPr>
          <w:rFonts w:asciiTheme="minorHAnsi" w:hAnsiTheme="minorHAnsi"/>
          <w:color w:val="000000"/>
          <w:sz w:val="22"/>
          <w:szCs w:val="22"/>
        </w:rPr>
        <w:t xml:space="preserve"> jurisprudentieonderzoek. </w:t>
      </w:r>
    </w:p>
    <w:p w:rsidR="003A1F83" w:rsidRDefault="003A1F83" w:rsidP="008E3A78">
      <w:pPr>
        <w:pStyle w:val="Normaalweb"/>
        <w:spacing w:before="0" w:beforeAutospacing="0" w:after="0" w:afterAutospacing="0" w:line="360" w:lineRule="auto"/>
        <w:rPr>
          <w:rFonts w:asciiTheme="minorHAnsi" w:hAnsiTheme="minorHAnsi"/>
          <w:color w:val="000000"/>
          <w:sz w:val="22"/>
          <w:szCs w:val="22"/>
        </w:rPr>
      </w:pPr>
    </w:p>
    <w:p w:rsidR="00916AFF" w:rsidRDefault="00916AFF"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Om de</w:t>
      </w:r>
      <w:r>
        <w:rPr>
          <w:rFonts w:asciiTheme="minorHAnsi" w:hAnsiTheme="minorHAnsi"/>
          <w:color w:val="000000"/>
          <w:sz w:val="22"/>
          <w:szCs w:val="22"/>
        </w:rPr>
        <w:t>ze deelvraag te beantwoorden ga</w:t>
      </w:r>
      <w:r w:rsidRPr="00A71576">
        <w:rPr>
          <w:rFonts w:asciiTheme="minorHAnsi" w:hAnsiTheme="minorHAnsi"/>
          <w:color w:val="000000"/>
          <w:sz w:val="22"/>
          <w:szCs w:val="22"/>
        </w:rPr>
        <w:t xml:space="preserve"> ik een literatuuronderzoek ve</w:t>
      </w:r>
      <w:r>
        <w:rPr>
          <w:rFonts w:asciiTheme="minorHAnsi" w:hAnsiTheme="minorHAnsi"/>
          <w:color w:val="000000"/>
          <w:sz w:val="22"/>
          <w:szCs w:val="22"/>
        </w:rPr>
        <w:t>r</w:t>
      </w:r>
      <w:r w:rsidRPr="00A71576">
        <w:rPr>
          <w:rFonts w:asciiTheme="minorHAnsi" w:hAnsiTheme="minorHAnsi"/>
          <w:color w:val="000000"/>
          <w:sz w:val="22"/>
          <w:szCs w:val="22"/>
        </w:rPr>
        <w:t xml:space="preserve">richten, waarbij ik onder andere boeken, internetbronnen en vaktijdschriften zal </w:t>
      </w:r>
      <w:r>
        <w:rPr>
          <w:rFonts w:asciiTheme="minorHAnsi" w:hAnsiTheme="minorHAnsi"/>
          <w:color w:val="000000"/>
          <w:sz w:val="22"/>
          <w:szCs w:val="22"/>
        </w:rPr>
        <w:t>bestuderen</w:t>
      </w:r>
      <w:r w:rsidRPr="00A71576">
        <w:rPr>
          <w:rFonts w:asciiTheme="minorHAnsi" w:hAnsiTheme="minorHAnsi"/>
          <w:color w:val="000000"/>
          <w:sz w:val="22"/>
          <w:szCs w:val="22"/>
        </w:rPr>
        <w:t>. In de literatuur is veel informatie te vinden over</w:t>
      </w:r>
      <w:r>
        <w:rPr>
          <w:rFonts w:asciiTheme="minorHAnsi" w:hAnsiTheme="minorHAnsi"/>
          <w:color w:val="000000"/>
          <w:sz w:val="22"/>
          <w:szCs w:val="22"/>
        </w:rPr>
        <w:t xml:space="preserve"> ernstig verwijtbaar handelen van de werkgever.</w:t>
      </w:r>
      <w:r w:rsidRPr="00A71576">
        <w:rPr>
          <w:rFonts w:asciiTheme="minorHAnsi" w:hAnsiTheme="minorHAnsi"/>
          <w:color w:val="000000"/>
          <w:sz w:val="22"/>
          <w:szCs w:val="22"/>
        </w:rPr>
        <w:t xml:space="preserve"> </w:t>
      </w:r>
    </w:p>
    <w:p w:rsidR="003A1F83" w:rsidRDefault="003A1F83" w:rsidP="008E3A78">
      <w:pPr>
        <w:pStyle w:val="Normaalweb"/>
        <w:spacing w:before="0" w:beforeAutospacing="0" w:after="0" w:afterAutospacing="0" w:line="360" w:lineRule="auto"/>
        <w:rPr>
          <w:rFonts w:asciiTheme="minorHAnsi" w:hAnsiTheme="minorHAnsi"/>
          <w:color w:val="000000"/>
          <w:sz w:val="22"/>
          <w:szCs w:val="22"/>
        </w:rPr>
      </w:pPr>
    </w:p>
    <w:p w:rsidR="00916AFF" w:rsidRPr="00A71576" w:rsidRDefault="000D68B0" w:rsidP="008E3A78">
      <w:pPr>
        <w:pStyle w:val="Normaalweb"/>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Ik heb de literatuur</w:t>
      </w:r>
      <w:r w:rsidR="00916AFF" w:rsidRPr="00A71576">
        <w:rPr>
          <w:rFonts w:asciiTheme="minorHAnsi" w:hAnsiTheme="minorHAnsi"/>
          <w:color w:val="000000"/>
          <w:sz w:val="22"/>
          <w:szCs w:val="22"/>
        </w:rPr>
        <w:t xml:space="preserve"> bestudeerd om te kijken welke hoofdstukken van belang zijn </w:t>
      </w:r>
      <w:r w:rsidR="00681BFF" w:rsidRPr="00A71576">
        <w:rPr>
          <w:rFonts w:asciiTheme="minorHAnsi" w:hAnsiTheme="minorHAnsi"/>
          <w:color w:val="000000"/>
          <w:sz w:val="22"/>
          <w:szCs w:val="22"/>
        </w:rPr>
        <w:t>voor mijn</w:t>
      </w:r>
      <w:r w:rsidR="00916AFF" w:rsidRPr="00A71576">
        <w:rPr>
          <w:rFonts w:asciiTheme="minorHAnsi" w:hAnsiTheme="minorHAnsi"/>
          <w:color w:val="000000"/>
          <w:sz w:val="22"/>
          <w:szCs w:val="22"/>
        </w:rPr>
        <w:t xml:space="preserve"> onderzoek. Uit de boeken wil ik voornamelijk algemene informatie verzamelen </w:t>
      </w:r>
      <w:r w:rsidR="00916AFF">
        <w:rPr>
          <w:rFonts w:asciiTheme="minorHAnsi" w:hAnsiTheme="minorHAnsi"/>
          <w:color w:val="000000"/>
          <w:sz w:val="22"/>
          <w:szCs w:val="22"/>
        </w:rPr>
        <w:t>om een helder beeld te krijgen van wanneer er in theorie geen sprake is van ernstig verwijtbaar handelen van de werkgever. In de literatuurlijst van dit onderzoeksv</w:t>
      </w:r>
      <w:r w:rsidR="009878C4">
        <w:rPr>
          <w:rFonts w:asciiTheme="minorHAnsi" w:hAnsiTheme="minorHAnsi"/>
          <w:color w:val="000000"/>
          <w:sz w:val="22"/>
          <w:szCs w:val="22"/>
        </w:rPr>
        <w:t>erslag</w:t>
      </w:r>
      <w:r w:rsidR="00916AFF">
        <w:rPr>
          <w:rFonts w:asciiTheme="minorHAnsi" w:hAnsiTheme="minorHAnsi"/>
          <w:color w:val="000000"/>
          <w:sz w:val="22"/>
          <w:szCs w:val="22"/>
        </w:rPr>
        <w:t xml:space="preserve"> staan de </w:t>
      </w:r>
      <w:r w:rsidR="00916AFF" w:rsidRPr="00A71576">
        <w:rPr>
          <w:rFonts w:asciiTheme="minorHAnsi" w:hAnsiTheme="minorHAnsi"/>
          <w:color w:val="000000"/>
          <w:sz w:val="22"/>
          <w:szCs w:val="22"/>
        </w:rPr>
        <w:t>literatuur</w:t>
      </w:r>
      <w:r w:rsidR="00916AFF">
        <w:rPr>
          <w:rFonts w:asciiTheme="minorHAnsi" w:hAnsiTheme="minorHAnsi"/>
          <w:color w:val="000000"/>
          <w:sz w:val="22"/>
          <w:szCs w:val="22"/>
        </w:rPr>
        <w:t xml:space="preserve"> en vakbladen</w:t>
      </w:r>
      <w:r w:rsidR="00916AFF" w:rsidRPr="00A71576">
        <w:rPr>
          <w:rFonts w:asciiTheme="minorHAnsi" w:hAnsiTheme="minorHAnsi"/>
          <w:color w:val="000000"/>
          <w:sz w:val="22"/>
          <w:szCs w:val="22"/>
        </w:rPr>
        <w:t xml:space="preserve"> </w:t>
      </w:r>
      <w:r w:rsidR="00916AFF">
        <w:rPr>
          <w:rFonts w:asciiTheme="minorHAnsi" w:hAnsiTheme="minorHAnsi"/>
          <w:color w:val="000000"/>
          <w:sz w:val="22"/>
          <w:szCs w:val="22"/>
        </w:rPr>
        <w:t xml:space="preserve">opgesomd die ik heb </w:t>
      </w:r>
      <w:r w:rsidR="00916AFF" w:rsidRPr="00A71576">
        <w:rPr>
          <w:rFonts w:asciiTheme="minorHAnsi" w:hAnsiTheme="minorHAnsi"/>
          <w:color w:val="000000"/>
          <w:sz w:val="22"/>
          <w:szCs w:val="22"/>
        </w:rPr>
        <w:t>geraadpleegd</w:t>
      </w:r>
      <w:r w:rsidR="00916AFF">
        <w:rPr>
          <w:rFonts w:asciiTheme="minorHAnsi" w:hAnsiTheme="minorHAnsi"/>
          <w:color w:val="000000"/>
          <w:sz w:val="22"/>
          <w:szCs w:val="22"/>
        </w:rPr>
        <w:t xml:space="preserve"> om deze deelvraag zo goed mogelijk te beantwoorden.</w:t>
      </w:r>
    </w:p>
    <w:p w:rsidR="003A1F83" w:rsidRDefault="003A1F83" w:rsidP="008E3A78">
      <w:pPr>
        <w:pStyle w:val="Normaalweb"/>
        <w:spacing w:before="0" w:beforeAutospacing="0" w:after="0" w:afterAutospacing="0" w:line="360" w:lineRule="auto"/>
        <w:rPr>
          <w:rFonts w:asciiTheme="minorHAnsi" w:hAnsiTheme="minorHAnsi"/>
          <w:color w:val="000000"/>
          <w:sz w:val="22"/>
          <w:szCs w:val="22"/>
        </w:rPr>
      </w:pPr>
    </w:p>
    <w:p w:rsidR="00916AFF" w:rsidRDefault="00916AFF"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 xml:space="preserve">In elk boek en </w:t>
      </w:r>
      <w:r>
        <w:rPr>
          <w:rFonts w:asciiTheme="minorHAnsi" w:hAnsiTheme="minorHAnsi"/>
          <w:color w:val="000000"/>
          <w:sz w:val="22"/>
          <w:szCs w:val="22"/>
        </w:rPr>
        <w:t>vakblad</w:t>
      </w:r>
      <w:r w:rsidRPr="00A71576">
        <w:rPr>
          <w:rFonts w:asciiTheme="minorHAnsi" w:hAnsiTheme="minorHAnsi"/>
          <w:color w:val="000000"/>
          <w:sz w:val="22"/>
          <w:szCs w:val="22"/>
        </w:rPr>
        <w:t xml:space="preserve"> heb ik algemene infor</w:t>
      </w:r>
      <w:r>
        <w:rPr>
          <w:rFonts w:asciiTheme="minorHAnsi" w:hAnsiTheme="minorHAnsi"/>
          <w:color w:val="000000"/>
          <w:sz w:val="22"/>
          <w:szCs w:val="22"/>
        </w:rPr>
        <w:t>matie gevonden over de bepalingen omtrent het ernstig verwijtbaar handelen van de werkgever</w:t>
      </w:r>
      <w:r w:rsidRPr="00A71576">
        <w:rPr>
          <w:rFonts w:asciiTheme="minorHAnsi" w:hAnsiTheme="minorHAnsi"/>
          <w:color w:val="000000"/>
          <w:sz w:val="22"/>
          <w:szCs w:val="22"/>
        </w:rPr>
        <w:t xml:space="preserve">. </w:t>
      </w:r>
      <w:r>
        <w:rPr>
          <w:rFonts w:asciiTheme="minorHAnsi" w:hAnsiTheme="minorHAnsi"/>
          <w:color w:val="000000"/>
          <w:sz w:val="22"/>
          <w:szCs w:val="22"/>
        </w:rPr>
        <w:t xml:space="preserve">Zoals hiervoor omschreven geeft het </w:t>
      </w:r>
      <w:r w:rsidRPr="00A71576">
        <w:rPr>
          <w:rFonts w:asciiTheme="minorHAnsi" w:hAnsiTheme="minorHAnsi"/>
          <w:color w:val="000000"/>
          <w:sz w:val="22"/>
          <w:szCs w:val="22"/>
        </w:rPr>
        <w:t xml:space="preserve">ene boek een uitgebreidere uitleg </w:t>
      </w:r>
      <w:r>
        <w:rPr>
          <w:rFonts w:asciiTheme="minorHAnsi" w:hAnsiTheme="minorHAnsi"/>
          <w:color w:val="000000"/>
          <w:sz w:val="22"/>
          <w:szCs w:val="22"/>
        </w:rPr>
        <w:t>dan</w:t>
      </w:r>
      <w:r w:rsidR="000D68B0">
        <w:rPr>
          <w:rFonts w:asciiTheme="minorHAnsi" w:hAnsiTheme="minorHAnsi"/>
          <w:color w:val="000000"/>
          <w:sz w:val="22"/>
          <w:szCs w:val="22"/>
        </w:rPr>
        <w:t xml:space="preserve"> het andere</w:t>
      </w:r>
      <w:r w:rsidRPr="00A71576">
        <w:rPr>
          <w:rFonts w:asciiTheme="minorHAnsi" w:hAnsiTheme="minorHAnsi"/>
          <w:color w:val="000000"/>
          <w:sz w:val="22"/>
          <w:szCs w:val="22"/>
        </w:rPr>
        <w:t xml:space="preserve">. </w:t>
      </w:r>
    </w:p>
    <w:p w:rsidR="003A1F83" w:rsidRDefault="003A1F83" w:rsidP="008E3A78">
      <w:pPr>
        <w:pStyle w:val="Normaalweb"/>
        <w:spacing w:before="0" w:beforeAutospacing="0" w:after="0" w:afterAutospacing="0" w:line="360" w:lineRule="auto"/>
        <w:rPr>
          <w:rFonts w:asciiTheme="minorHAnsi" w:hAnsiTheme="minorHAnsi"/>
          <w:color w:val="000000"/>
          <w:sz w:val="22"/>
          <w:szCs w:val="22"/>
        </w:rPr>
      </w:pPr>
    </w:p>
    <w:p w:rsidR="00916AFF" w:rsidRDefault="00916AFF" w:rsidP="008E3A78">
      <w:pPr>
        <w:pStyle w:val="Normaalweb"/>
        <w:spacing w:before="0" w:beforeAutospacing="0" w:after="0" w:afterAutospacing="0" w:line="360" w:lineRule="auto"/>
        <w:rPr>
          <w:rFonts w:asciiTheme="minorHAnsi" w:hAnsiTheme="minorHAnsi"/>
          <w:color w:val="000000"/>
          <w:sz w:val="22"/>
          <w:szCs w:val="22"/>
        </w:rPr>
      </w:pPr>
      <w:r w:rsidRPr="00A71576">
        <w:rPr>
          <w:rFonts w:asciiTheme="minorHAnsi" w:hAnsiTheme="minorHAnsi"/>
          <w:color w:val="000000"/>
          <w:sz w:val="22"/>
          <w:szCs w:val="22"/>
        </w:rPr>
        <w:t xml:space="preserve">Uit elk boek kan ik essentiële informatie halen om mijn deelvraag te beantwoorden. Door het bestuderen van </w:t>
      </w:r>
      <w:r>
        <w:rPr>
          <w:rFonts w:asciiTheme="minorHAnsi" w:hAnsiTheme="minorHAnsi"/>
          <w:color w:val="000000"/>
          <w:sz w:val="22"/>
          <w:szCs w:val="22"/>
        </w:rPr>
        <w:t xml:space="preserve">zoveel mogelijk </w:t>
      </w:r>
      <w:r w:rsidRPr="00A71576">
        <w:rPr>
          <w:rFonts w:asciiTheme="minorHAnsi" w:hAnsiTheme="minorHAnsi"/>
          <w:color w:val="000000"/>
          <w:sz w:val="22"/>
          <w:szCs w:val="22"/>
        </w:rPr>
        <w:t>relevante literatuur</w:t>
      </w:r>
      <w:r>
        <w:rPr>
          <w:rFonts w:asciiTheme="minorHAnsi" w:hAnsiTheme="minorHAnsi"/>
          <w:color w:val="000000"/>
          <w:sz w:val="22"/>
          <w:szCs w:val="22"/>
        </w:rPr>
        <w:t>, wordt</w:t>
      </w:r>
      <w:r w:rsidRPr="00A71576">
        <w:rPr>
          <w:rFonts w:asciiTheme="minorHAnsi" w:hAnsiTheme="minorHAnsi"/>
          <w:color w:val="000000"/>
          <w:sz w:val="22"/>
          <w:szCs w:val="22"/>
        </w:rPr>
        <w:t xml:space="preserve"> de betrouwbaarheid en </w:t>
      </w:r>
      <w:r>
        <w:rPr>
          <w:rFonts w:asciiTheme="minorHAnsi" w:hAnsiTheme="minorHAnsi"/>
          <w:color w:val="000000"/>
          <w:sz w:val="22"/>
          <w:szCs w:val="22"/>
        </w:rPr>
        <w:t xml:space="preserve">de </w:t>
      </w:r>
      <w:r w:rsidRPr="00A71576">
        <w:rPr>
          <w:rFonts w:asciiTheme="minorHAnsi" w:hAnsiTheme="minorHAnsi"/>
          <w:color w:val="000000"/>
          <w:sz w:val="22"/>
          <w:szCs w:val="22"/>
        </w:rPr>
        <w:t xml:space="preserve">effectiviteit </w:t>
      </w:r>
      <w:r w:rsidRPr="00A71576">
        <w:rPr>
          <w:rFonts w:asciiTheme="minorHAnsi" w:hAnsiTheme="minorHAnsi"/>
          <w:color w:val="000000"/>
          <w:sz w:val="22"/>
          <w:szCs w:val="22"/>
        </w:rPr>
        <w:lastRenderedPageBreak/>
        <w:t>van het onderzoek</w:t>
      </w:r>
      <w:r>
        <w:rPr>
          <w:rFonts w:asciiTheme="minorHAnsi" w:hAnsiTheme="minorHAnsi"/>
          <w:color w:val="000000"/>
          <w:sz w:val="22"/>
          <w:szCs w:val="22"/>
        </w:rPr>
        <w:t xml:space="preserve"> behouden. O</w:t>
      </w:r>
      <w:r w:rsidRPr="00A71576">
        <w:rPr>
          <w:rFonts w:asciiTheme="minorHAnsi" w:hAnsiTheme="minorHAnsi"/>
          <w:color w:val="000000"/>
          <w:sz w:val="22"/>
          <w:szCs w:val="22"/>
        </w:rPr>
        <w:t xml:space="preserve">m de kwaliteit van </w:t>
      </w:r>
      <w:r>
        <w:rPr>
          <w:rFonts w:asciiTheme="minorHAnsi" w:hAnsiTheme="minorHAnsi"/>
          <w:color w:val="000000"/>
          <w:sz w:val="22"/>
          <w:szCs w:val="22"/>
        </w:rPr>
        <w:t>de</w:t>
      </w:r>
      <w:r w:rsidRPr="00A71576">
        <w:rPr>
          <w:rFonts w:asciiTheme="minorHAnsi" w:hAnsiTheme="minorHAnsi"/>
          <w:color w:val="000000"/>
          <w:sz w:val="22"/>
          <w:szCs w:val="22"/>
        </w:rPr>
        <w:t xml:space="preserve"> bronnen te waarborgen, ben ik</w:t>
      </w:r>
      <w:r w:rsidR="000D68B0">
        <w:rPr>
          <w:rFonts w:asciiTheme="minorHAnsi" w:hAnsiTheme="minorHAnsi"/>
          <w:color w:val="000000"/>
          <w:sz w:val="22"/>
          <w:szCs w:val="22"/>
        </w:rPr>
        <w:t>,</w:t>
      </w:r>
      <w:r w:rsidRPr="00A71576">
        <w:rPr>
          <w:rFonts w:asciiTheme="minorHAnsi" w:hAnsiTheme="minorHAnsi"/>
          <w:color w:val="000000"/>
          <w:sz w:val="22"/>
          <w:szCs w:val="22"/>
        </w:rPr>
        <w:t xml:space="preserve"> </w:t>
      </w:r>
      <w:r w:rsidR="009878C4" w:rsidRPr="00A71576">
        <w:rPr>
          <w:rFonts w:asciiTheme="minorHAnsi" w:hAnsiTheme="minorHAnsi"/>
          <w:color w:val="000000"/>
          <w:sz w:val="22"/>
          <w:szCs w:val="22"/>
        </w:rPr>
        <w:t>door de relevante wetten erbij te pakken</w:t>
      </w:r>
      <w:r w:rsidR="009878C4">
        <w:rPr>
          <w:rFonts w:asciiTheme="minorHAnsi" w:hAnsiTheme="minorHAnsi"/>
          <w:color w:val="000000"/>
          <w:sz w:val="22"/>
          <w:szCs w:val="22"/>
        </w:rPr>
        <w:t>,</w:t>
      </w:r>
      <w:r w:rsidR="009878C4" w:rsidRPr="00A71576">
        <w:rPr>
          <w:rFonts w:asciiTheme="minorHAnsi" w:hAnsiTheme="minorHAnsi"/>
          <w:color w:val="000000"/>
          <w:sz w:val="22"/>
          <w:szCs w:val="22"/>
        </w:rPr>
        <w:t xml:space="preserve"> </w:t>
      </w:r>
      <w:r w:rsidRPr="00A71576">
        <w:rPr>
          <w:rFonts w:asciiTheme="minorHAnsi" w:hAnsiTheme="minorHAnsi"/>
          <w:color w:val="000000"/>
          <w:sz w:val="22"/>
          <w:szCs w:val="22"/>
        </w:rPr>
        <w:t xml:space="preserve">nagegaan of de inhoud van de boeken juist </w:t>
      </w:r>
      <w:r w:rsidR="009878C4">
        <w:rPr>
          <w:rFonts w:asciiTheme="minorHAnsi" w:hAnsiTheme="minorHAnsi"/>
          <w:color w:val="000000"/>
          <w:sz w:val="22"/>
          <w:szCs w:val="22"/>
        </w:rPr>
        <w:t>is</w:t>
      </w:r>
      <w:r w:rsidRPr="00A71576">
        <w:rPr>
          <w:rFonts w:asciiTheme="minorHAnsi" w:hAnsiTheme="minorHAnsi"/>
          <w:color w:val="000000"/>
          <w:sz w:val="22"/>
          <w:szCs w:val="22"/>
        </w:rPr>
        <w:t>.</w:t>
      </w:r>
    </w:p>
    <w:p w:rsidR="00825227" w:rsidRDefault="00825227" w:rsidP="008E3A78">
      <w:pPr>
        <w:pStyle w:val="Normaalweb"/>
        <w:spacing w:before="0" w:beforeAutospacing="0" w:after="0" w:afterAutospacing="0" w:line="360" w:lineRule="auto"/>
        <w:rPr>
          <w:rFonts w:asciiTheme="minorHAnsi" w:hAnsiTheme="minorHAnsi"/>
          <w:i/>
          <w:color w:val="000000"/>
          <w:sz w:val="22"/>
          <w:szCs w:val="22"/>
        </w:rPr>
      </w:pPr>
    </w:p>
    <w:p w:rsidR="0075776E" w:rsidRPr="0075776E" w:rsidRDefault="0075776E" w:rsidP="008E3A78">
      <w:pPr>
        <w:pStyle w:val="Normaalweb"/>
        <w:spacing w:before="0" w:beforeAutospacing="0" w:after="0" w:afterAutospacing="0" w:line="360" w:lineRule="auto"/>
        <w:rPr>
          <w:rFonts w:asciiTheme="minorHAnsi" w:hAnsiTheme="minorHAnsi"/>
          <w:i/>
          <w:color w:val="000000"/>
          <w:sz w:val="22"/>
          <w:szCs w:val="22"/>
        </w:rPr>
      </w:pPr>
      <w:r w:rsidRPr="0075776E">
        <w:rPr>
          <w:rFonts w:asciiTheme="minorHAnsi" w:hAnsiTheme="minorHAnsi"/>
          <w:i/>
          <w:color w:val="000000"/>
          <w:sz w:val="22"/>
          <w:szCs w:val="22"/>
        </w:rPr>
        <w:t>Wet- en regelgeving</w:t>
      </w:r>
    </w:p>
    <w:p w:rsidR="00E72354" w:rsidRPr="005A3BDA" w:rsidRDefault="00230420" w:rsidP="008E3A78">
      <w:pPr>
        <w:pStyle w:val="Normaalweb"/>
        <w:spacing w:before="0" w:beforeAutospacing="0" w:after="0" w:afterAutospacing="0" w:line="360" w:lineRule="auto"/>
        <w:rPr>
          <w:rFonts w:asciiTheme="minorHAnsi" w:eastAsia="MS Mincho" w:hAnsiTheme="minorHAnsi"/>
          <w:color w:val="000000"/>
          <w:sz w:val="22"/>
          <w:szCs w:val="22"/>
          <w:lang w:eastAsia="ja-JP"/>
        </w:rPr>
      </w:pPr>
      <w:r>
        <w:rPr>
          <w:rFonts w:asciiTheme="minorHAnsi" w:hAnsiTheme="minorHAnsi"/>
          <w:color w:val="000000"/>
          <w:sz w:val="22"/>
          <w:szCs w:val="22"/>
        </w:rPr>
        <w:t xml:space="preserve">Naast een uitgebreid literatuuronderzoek heb ik ook een uitgebreid onderzoek verricht naar de wetgeving. </w:t>
      </w:r>
      <w:r w:rsidRPr="00A71576">
        <w:rPr>
          <w:rFonts w:asciiTheme="minorHAnsi" w:hAnsiTheme="minorHAnsi"/>
          <w:color w:val="000000"/>
          <w:sz w:val="22"/>
          <w:szCs w:val="22"/>
        </w:rPr>
        <w:t>De relevante wet</w:t>
      </w:r>
      <w:r>
        <w:rPr>
          <w:rFonts w:asciiTheme="minorHAnsi" w:hAnsiTheme="minorHAnsi"/>
          <w:color w:val="000000"/>
          <w:sz w:val="22"/>
          <w:szCs w:val="22"/>
        </w:rPr>
        <w:t>ten en wet</w:t>
      </w:r>
      <w:r w:rsidRPr="00A71576">
        <w:rPr>
          <w:rFonts w:asciiTheme="minorHAnsi" w:hAnsiTheme="minorHAnsi"/>
          <w:color w:val="000000"/>
          <w:sz w:val="22"/>
          <w:szCs w:val="22"/>
        </w:rPr>
        <w:t>sartikelen</w:t>
      </w:r>
      <w:r>
        <w:rPr>
          <w:rFonts w:asciiTheme="minorHAnsi" w:hAnsiTheme="minorHAnsi"/>
          <w:color w:val="000000"/>
          <w:sz w:val="22"/>
          <w:szCs w:val="22"/>
        </w:rPr>
        <w:t xml:space="preserve"> die ik heb gebruikt om deze deelvraag te beantwoorden</w:t>
      </w:r>
      <w:r w:rsidRPr="00A71576">
        <w:rPr>
          <w:rFonts w:asciiTheme="minorHAnsi" w:hAnsiTheme="minorHAnsi"/>
          <w:color w:val="000000"/>
          <w:sz w:val="22"/>
          <w:szCs w:val="22"/>
        </w:rPr>
        <w:t xml:space="preserve"> </w:t>
      </w:r>
      <w:r>
        <w:rPr>
          <w:rFonts w:asciiTheme="minorHAnsi" w:hAnsiTheme="minorHAnsi"/>
          <w:color w:val="000000"/>
          <w:sz w:val="22"/>
          <w:szCs w:val="22"/>
        </w:rPr>
        <w:t>zijn terug te vinden in de literatuurlijst</w:t>
      </w:r>
      <w:r w:rsidRPr="00A71576">
        <w:rPr>
          <w:rFonts w:asciiTheme="minorHAnsi" w:hAnsiTheme="minorHAnsi"/>
          <w:color w:val="000000"/>
          <w:sz w:val="22"/>
          <w:szCs w:val="22"/>
        </w:rPr>
        <w:t xml:space="preserve">. Deze </w:t>
      </w:r>
      <w:r>
        <w:rPr>
          <w:rFonts w:asciiTheme="minorHAnsi" w:hAnsiTheme="minorHAnsi"/>
          <w:color w:val="000000"/>
          <w:sz w:val="22"/>
          <w:szCs w:val="22"/>
        </w:rPr>
        <w:t>wetten en</w:t>
      </w:r>
      <w:r w:rsidRPr="00A71576">
        <w:rPr>
          <w:rFonts w:asciiTheme="minorHAnsi" w:hAnsiTheme="minorHAnsi"/>
          <w:color w:val="000000"/>
          <w:sz w:val="22"/>
          <w:szCs w:val="22"/>
        </w:rPr>
        <w:t xml:space="preserve"> wetsartikelen zijn essentieel voor het beantwoorden van </w:t>
      </w:r>
      <w:r>
        <w:rPr>
          <w:rFonts w:asciiTheme="minorHAnsi" w:hAnsiTheme="minorHAnsi"/>
          <w:color w:val="000000"/>
          <w:sz w:val="22"/>
          <w:szCs w:val="22"/>
        </w:rPr>
        <w:t>deze</w:t>
      </w:r>
      <w:r w:rsidRPr="00A71576">
        <w:rPr>
          <w:rFonts w:asciiTheme="minorHAnsi" w:hAnsiTheme="minorHAnsi"/>
          <w:color w:val="000000"/>
          <w:sz w:val="22"/>
          <w:szCs w:val="22"/>
        </w:rPr>
        <w:t xml:space="preserve"> deelvraag. </w:t>
      </w:r>
      <w:r w:rsidR="00DC7396">
        <w:rPr>
          <w:rFonts w:asciiTheme="minorHAnsi" w:hAnsiTheme="minorHAnsi"/>
          <w:color w:val="000000"/>
          <w:sz w:val="22"/>
          <w:szCs w:val="22"/>
        </w:rPr>
        <w:t xml:space="preserve">Er wordt gebruik gemaakt van </w:t>
      </w:r>
      <w:r w:rsidR="00C07F06">
        <w:rPr>
          <w:rFonts w:asciiTheme="minorHAnsi" w:hAnsiTheme="minorHAnsi"/>
          <w:color w:val="000000"/>
          <w:sz w:val="22"/>
          <w:szCs w:val="22"/>
        </w:rPr>
        <w:t xml:space="preserve">de WWZ, Memorie van Toelichting, kamerstukken </w:t>
      </w:r>
      <w:r w:rsidR="00DC7396">
        <w:rPr>
          <w:rFonts w:asciiTheme="minorHAnsi" w:hAnsiTheme="minorHAnsi"/>
          <w:color w:val="000000"/>
          <w:sz w:val="22"/>
          <w:szCs w:val="22"/>
        </w:rPr>
        <w:t xml:space="preserve">en Boek 7 van het Burgerlijk Wetboek. </w:t>
      </w:r>
      <w:r w:rsidRPr="00A71576">
        <w:rPr>
          <w:rFonts w:asciiTheme="minorHAnsi" w:hAnsiTheme="minorHAnsi"/>
          <w:color w:val="000000"/>
          <w:sz w:val="22"/>
          <w:szCs w:val="22"/>
        </w:rPr>
        <w:t>Door het analyseren van de wetten behoud ik de betrouwbaarheid en effectiviteit van het onderzoek, omdat ik dan alle relevante artikelen voor dit onderzoek heb bestudeerd.</w:t>
      </w:r>
      <w:r w:rsidR="00DC7396" w:rsidRPr="00DC7396">
        <w:rPr>
          <w:rFonts w:asciiTheme="minorHAnsi" w:hAnsiTheme="minorHAnsi"/>
          <w:color w:val="000000"/>
          <w:sz w:val="22"/>
          <w:szCs w:val="22"/>
        </w:rPr>
        <w:t xml:space="preserve">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04162" w:rsidRDefault="00804162"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r w:rsidRPr="00804162">
        <w:rPr>
          <w:b/>
          <w:spacing w:val="-3"/>
          <w:lang w:eastAsia="nl-NL"/>
        </w:rPr>
        <w:t xml:space="preserve">Deelvraag 4: </w:t>
      </w:r>
      <w:r w:rsidR="00FF2BE0">
        <w:rPr>
          <w:b/>
          <w:spacing w:val="-3"/>
          <w:lang w:eastAsia="nl-NL"/>
        </w:rPr>
        <w:t>Onder welke omstandigheden is er volgens</w:t>
      </w:r>
      <w:r w:rsidRPr="00804162">
        <w:rPr>
          <w:b/>
          <w:spacing w:val="-3"/>
          <w:lang w:eastAsia="nl-NL"/>
        </w:rPr>
        <w:t xml:space="preserve"> de jurisprudentie </w:t>
      </w:r>
      <w:r w:rsidR="00FF2BE0">
        <w:rPr>
          <w:b/>
          <w:spacing w:val="-3"/>
          <w:lang w:eastAsia="nl-NL"/>
        </w:rPr>
        <w:t xml:space="preserve">sprake </w:t>
      </w:r>
      <w:r w:rsidR="00681BFF">
        <w:rPr>
          <w:b/>
          <w:spacing w:val="-3"/>
          <w:lang w:eastAsia="nl-NL"/>
        </w:rPr>
        <w:t>van ernstig</w:t>
      </w:r>
      <w:r w:rsidRPr="00804162">
        <w:rPr>
          <w:b/>
          <w:spacing w:val="-3"/>
          <w:lang w:eastAsia="nl-NL"/>
        </w:rPr>
        <w:t xml:space="preserve"> verwij</w:t>
      </w:r>
      <w:r w:rsidR="00FF2BE0">
        <w:rPr>
          <w:b/>
          <w:spacing w:val="-3"/>
          <w:lang w:eastAsia="nl-NL"/>
        </w:rPr>
        <w:t>tbaar handelen van de werkgever</w:t>
      </w:r>
      <w:r w:rsidR="006D5DC2">
        <w:rPr>
          <w:b/>
          <w:spacing w:val="-3"/>
          <w:lang w:eastAsia="nl-NL"/>
        </w:rPr>
        <w:t xml:space="preserve"> bij het bepalen of de billijke vergoeding moet worden toegewezen</w:t>
      </w:r>
      <w:r w:rsidRPr="00804162">
        <w:rPr>
          <w:b/>
          <w:spacing w:val="-3"/>
          <w:lang w:eastAsia="nl-NL"/>
        </w:rPr>
        <w:t xml:space="preserve">?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spacing w:val="-3"/>
          <w:lang w:eastAsia="nl-NL"/>
        </w:rPr>
      </w:pPr>
    </w:p>
    <w:p w:rsidR="0075776E" w:rsidRPr="0075776E" w:rsidRDefault="0075776E"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spacing w:val="-3"/>
          <w:lang w:eastAsia="nl-NL"/>
        </w:rPr>
      </w:pPr>
      <w:r w:rsidRPr="0075776E">
        <w:rPr>
          <w:i/>
          <w:spacing w:val="-3"/>
          <w:lang w:eastAsia="nl-NL"/>
        </w:rPr>
        <w:t>Jurisprudentie</w:t>
      </w:r>
    </w:p>
    <w:p w:rsidR="00916AFF" w:rsidRDefault="00916AFF"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 xml:space="preserve">Deze deelvraag is essentieel voor dit onderzoek omdat </w:t>
      </w:r>
      <w:r w:rsidR="000C2943">
        <w:rPr>
          <w:spacing w:val="-3"/>
          <w:lang w:eastAsia="nl-NL"/>
        </w:rPr>
        <w:t>deze</w:t>
      </w:r>
      <w:r>
        <w:rPr>
          <w:spacing w:val="-3"/>
          <w:lang w:eastAsia="nl-NL"/>
        </w:rPr>
        <w:t xml:space="preserve"> een bijdrage levert aan het beantwoorden van mijn centrale vraag. Het doel van deze deelvraag is om een helder beeld te krijgen van de praktijk. Worden alle voorbeelden</w:t>
      </w:r>
      <w:r w:rsidRPr="007A600A">
        <w:rPr>
          <w:spacing w:val="-3"/>
          <w:lang w:eastAsia="nl-NL"/>
        </w:rPr>
        <w:t xml:space="preserve"> </w:t>
      </w:r>
      <w:r>
        <w:rPr>
          <w:spacing w:val="-3"/>
          <w:lang w:eastAsia="nl-NL"/>
        </w:rPr>
        <w:t xml:space="preserve">van ernstig verwijtbaar handelen van de werkgever, </w:t>
      </w:r>
      <w:r w:rsidR="000C2943">
        <w:rPr>
          <w:spacing w:val="-3"/>
          <w:lang w:eastAsia="nl-NL"/>
        </w:rPr>
        <w:t>zo</w:t>
      </w:r>
      <w:r>
        <w:rPr>
          <w:spacing w:val="-3"/>
          <w:lang w:eastAsia="nl-NL"/>
        </w:rPr>
        <w:t xml:space="preserve">als genoemd in de wetgeving en literatuur, </w:t>
      </w:r>
      <w:r w:rsidR="000C2943">
        <w:rPr>
          <w:spacing w:val="-3"/>
          <w:lang w:eastAsia="nl-NL"/>
        </w:rPr>
        <w:t xml:space="preserve">door de kantonrechters </w:t>
      </w:r>
      <w:r>
        <w:rPr>
          <w:spacing w:val="-3"/>
          <w:lang w:eastAsia="nl-NL"/>
        </w:rPr>
        <w:t xml:space="preserve">ook daadwerkelijk gezien als ‘ernstig verwijtbaar’? Het is erg nuttig om hier kennis van te nemen. Van Diepen en Van der Kroef Advocaten zal een duidelijker beeld krijgen </w:t>
      </w:r>
      <w:r w:rsidR="000C2943">
        <w:rPr>
          <w:spacing w:val="-3"/>
          <w:lang w:eastAsia="nl-NL"/>
        </w:rPr>
        <w:t>van</w:t>
      </w:r>
      <w:r w:rsidR="004C512B">
        <w:rPr>
          <w:spacing w:val="-3"/>
          <w:lang w:eastAsia="nl-NL"/>
        </w:rPr>
        <w:t xml:space="preserve"> </w:t>
      </w:r>
      <w:r>
        <w:rPr>
          <w:spacing w:val="-3"/>
          <w:lang w:eastAsia="nl-NL"/>
        </w:rPr>
        <w:t xml:space="preserve">welke omstandigheden wel en welke niet worden gekwalificeerd als ernstig verwijtbaar handelen van de werkgever. En onder welke omstandigheden wordt de billijke vergoeding dan toegewezen? </w:t>
      </w:r>
      <w:r w:rsidR="000C2943">
        <w:rPr>
          <w:spacing w:val="-3"/>
          <w:lang w:eastAsia="nl-NL"/>
        </w:rPr>
        <w:t>Door</w:t>
      </w:r>
      <w:r>
        <w:rPr>
          <w:spacing w:val="-3"/>
          <w:lang w:eastAsia="nl-NL"/>
        </w:rPr>
        <w:t xml:space="preserve"> het beantwoorden van deze deelvraag zal mijn opdrachtgever zijn cliënten beter kunnen adviseren over de vraag of zij zich al dan niet kunnen beroepen op de billijke vergoeding.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1C1B26" w:rsidRDefault="00540A49"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Pr>
          <w:spacing w:val="-3"/>
          <w:lang w:eastAsia="nl-NL"/>
        </w:rPr>
        <w:t xml:space="preserve">Om deze deelvraag zo betrouwbaar mogelijk te beantwoorden wordt er een uitgebreid jurisprudentieonderzoek verricht. </w:t>
      </w:r>
      <w:r w:rsidR="00AB2AB7" w:rsidRPr="00942424">
        <w:t>Voor de validiteit en betrouwbaarheid van m</w:t>
      </w:r>
      <w:r w:rsidR="00FF2BE0">
        <w:t>i</w:t>
      </w:r>
      <w:r w:rsidR="000D68B0">
        <w:t>jn antwoord op deze vraag wordt</w:t>
      </w:r>
      <w:r w:rsidR="00AB2AB7" w:rsidRPr="00942424">
        <w:t xml:space="preserve"> een jurisprudentieonderzoek </w:t>
      </w:r>
      <w:r w:rsidR="000D68B0">
        <w:t>uitgevoerd</w:t>
      </w:r>
      <w:r w:rsidR="000C2943">
        <w:t xml:space="preserve">, </w:t>
      </w:r>
      <w:r w:rsidR="00AB2AB7">
        <w:t xml:space="preserve">waarbij gebruik </w:t>
      </w:r>
      <w:r w:rsidR="00FF2BE0">
        <w:t>wordt gemaakt</w:t>
      </w:r>
      <w:r w:rsidR="00AB2AB7">
        <w:t xml:space="preserve"> van </w:t>
      </w:r>
      <w:r w:rsidR="00995DAB">
        <w:t xml:space="preserve">ongeveer </w:t>
      </w:r>
      <w:r w:rsidR="000C2943">
        <w:t>30</w:t>
      </w:r>
      <w:r w:rsidR="00AB2AB7" w:rsidRPr="00942424">
        <w:t xml:space="preserve"> uitspraken.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p>
    <w:p w:rsidR="0075776E" w:rsidRDefault="00AB2AB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sidRPr="00942424">
        <w:t xml:space="preserve">Deze </w:t>
      </w:r>
      <w:r w:rsidR="00995DAB">
        <w:t>30</w:t>
      </w:r>
      <w:r w:rsidRPr="00942424">
        <w:t xml:space="preserve"> uitspraken zullen </w:t>
      </w:r>
      <w:r w:rsidR="001C1B26">
        <w:t xml:space="preserve">een </w:t>
      </w:r>
      <w:r w:rsidRPr="00942424">
        <w:t>helder</w:t>
      </w:r>
      <w:r w:rsidR="001C1B26">
        <w:t xml:space="preserve"> beel</w:t>
      </w:r>
      <w:r w:rsidRPr="00942424">
        <w:t xml:space="preserve">d geven van </w:t>
      </w:r>
      <w:r w:rsidR="000C2943">
        <w:t>de</w:t>
      </w:r>
      <w:r w:rsidR="001C1B26">
        <w:t xml:space="preserve"> omstandigheden </w:t>
      </w:r>
      <w:r w:rsidR="000C2943">
        <w:t xml:space="preserve">die </w:t>
      </w:r>
      <w:r w:rsidR="001C1B26">
        <w:t>er spelen als het gaat om het</w:t>
      </w:r>
      <w:r>
        <w:t xml:space="preserve"> ernstig </w:t>
      </w:r>
      <w:r w:rsidRPr="00942424">
        <w:t xml:space="preserve">verwijtbaar handelen </w:t>
      </w:r>
      <w:r w:rsidR="001C1B26">
        <w:t>van de werkgever</w:t>
      </w:r>
      <w:r w:rsidRPr="00942424">
        <w:t>.</w:t>
      </w:r>
      <w:r>
        <w:t xml:space="preserve"> </w:t>
      </w:r>
      <w:r w:rsidR="004974A7">
        <w:t xml:space="preserve">Zo wordt ook de validiteit van het onderzoek </w:t>
      </w:r>
      <w:r w:rsidR="004974A7">
        <w:lastRenderedPageBreak/>
        <w:t xml:space="preserve">gewaarborgd. </w:t>
      </w:r>
      <w:r w:rsidR="00FF2BE0">
        <w:t>In</w:t>
      </w:r>
      <w:r>
        <w:t xml:space="preserve"> elke uitspraak</w:t>
      </w:r>
      <w:r w:rsidR="00FF2BE0">
        <w:t xml:space="preserve"> </w:t>
      </w:r>
      <w:r w:rsidR="00681BFF">
        <w:t>wordt gekeken</w:t>
      </w:r>
      <w:r w:rsidR="00FF2BE0">
        <w:t xml:space="preserve"> naar de essentialia van de uitspraak van de kantonrechter</w:t>
      </w:r>
      <w:r>
        <w:t xml:space="preserve">. Dit doe ik door de </w:t>
      </w:r>
      <w:r w:rsidR="001C1B26">
        <w:t>beoordelingen van de kantonrechters goed te lezen.</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rPr>
      </w:pPr>
    </w:p>
    <w:p w:rsidR="0075776E" w:rsidRPr="0075776E" w:rsidRDefault="0075776E"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rPr>
      </w:pPr>
      <w:r w:rsidRPr="0075776E">
        <w:rPr>
          <w:i/>
        </w:rPr>
        <w:t>Analyseren</w:t>
      </w:r>
    </w:p>
    <w:p w:rsidR="00821268" w:rsidRDefault="007A600A"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r w:rsidRPr="007A600A">
        <w:rPr>
          <w:rFonts w:eastAsia="Times New Roman" w:cs="Times New Roman"/>
          <w:color w:val="000000"/>
          <w:lang w:eastAsia="nl-NL"/>
        </w:rPr>
        <w:t xml:space="preserve">Om mijn deelvraag zo helder en betrouwbaar </w:t>
      </w:r>
      <w:r w:rsidR="00E246D6">
        <w:rPr>
          <w:rFonts w:eastAsia="Times New Roman" w:cs="Times New Roman"/>
          <w:color w:val="000000"/>
          <w:lang w:eastAsia="nl-NL"/>
        </w:rPr>
        <w:t xml:space="preserve">mogelijk </w:t>
      </w:r>
      <w:r w:rsidRPr="007A600A">
        <w:rPr>
          <w:rFonts w:eastAsia="Times New Roman" w:cs="Times New Roman"/>
          <w:color w:val="000000"/>
          <w:lang w:eastAsia="nl-NL"/>
        </w:rPr>
        <w:t xml:space="preserve">te beantwoorden </w:t>
      </w:r>
      <w:r w:rsidR="0075776E">
        <w:rPr>
          <w:rFonts w:eastAsia="Times New Roman" w:cs="Times New Roman"/>
          <w:color w:val="000000"/>
          <w:lang w:eastAsia="nl-NL"/>
        </w:rPr>
        <w:t>maak</w:t>
      </w:r>
      <w:r w:rsidRPr="007A600A">
        <w:rPr>
          <w:rFonts w:eastAsia="Times New Roman" w:cs="Times New Roman"/>
          <w:color w:val="000000"/>
          <w:lang w:eastAsia="nl-NL"/>
        </w:rPr>
        <w:t xml:space="preserve"> ik </w:t>
      </w:r>
      <w:r w:rsidR="0075776E">
        <w:rPr>
          <w:rFonts w:eastAsia="Times New Roman" w:cs="Times New Roman"/>
          <w:color w:val="000000"/>
          <w:lang w:eastAsia="nl-NL"/>
        </w:rPr>
        <w:t xml:space="preserve">een analyse van </w:t>
      </w:r>
      <w:r w:rsidR="00995DAB">
        <w:rPr>
          <w:rFonts w:eastAsia="Times New Roman" w:cs="Times New Roman"/>
          <w:color w:val="000000"/>
          <w:lang w:eastAsia="nl-NL"/>
        </w:rPr>
        <w:t xml:space="preserve">30 </w:t>
      </w:r>
      <w:r w:rsidRPr="007A600A">
        <w:rPr>
          <w:rFonts w:eastAsia="Times New Roman" w:cs="Times New Roman"/>
          <w:color w:val="000000"/>
          <w:lang w:eastAsia="nl-NL"/>
        </w:rPr>
        <w:t>uitspraken waarin</w:t>
      </w:r>
      <w:r w:rsidR="0075776E">
        <w:rPr>
          <w:rFonts w:eastAsia="Times New Roman" w:cs="Times New Roman"/>
          <w:color w:val="000000"/>
          <w:lang w:eastAsia="nl-NL"/>
        </w:rPr>
        <w:t xml:space="preserve"> duidelijk naar voren komt wat</w:t>
      </w:r>
      <w:r w:rsidRPr="007A600A">
        <w:rPr>
          <w:rFonts w:eastAsia="Times New Roman" w:cs="Times New Roman"/>
          <w:color w:val="000000"/>
          <w:lang w:eastAsia="nl-NL"/>
        </w:rPr>
        <w:t xml:space="preserve"> kantonrechters in pr</w:t>
      </w:r>
      <w:r w:rsidR="0075776E">
        <w:rPr>
          <w:rFonts w:eastAsia="Times New Roman" w:cs="Times New Roman"/>
          <w:color w:val="000000"/>
          <w:lang w:eastAsia="nl-NL"/>
        </w:rPr>
        <w:t>aktijk kwalificeren als ernstig verwijtbaar handelen van de werkgever</w:t>
      </w:r>
      <w:r w:rsidRPr="007A600A">
        <w:rPr>
          <w:rFonts w:eastAsia="Times New Roman" w:cs="Times New Roman"/>
          <w:color w:val="000000"/>
          <w:lang w:eastAsia="nl-NL"/>
        </w:rPr>
        <w:t>. Ik heb ge</w:t>
      </w:r>
      <w:r w:rsidR="0075776E">
        <w:rPr>
          <w:rFonts w:eastAsia="Times New Roman" w:cs="Times New Roman"/>
          <w:color w:val="000000"/>
          <w:lang w:eastAsia="nl-NL"/>
        </w:rPr>
        <w:t>keken naar uitspraken waarbij</w:t>
      </w:r>
      <w:r w:rsidRPr="007A600A">
        <w:rPr>
          <w:rFonts w:eastAsia="Times New Roman" w:cs="Times New Roman"/>
          <w:color w:val="000000"/>
          <w:lang w:eastAsia="nl-NL"/>
        </w:rPr>
        <w:t xml:space="preserve"> kantonrechter</w:t>
      </w:r>
      <w:r w:rsidR="0075776E">
        <w:rPr>
          <w:rFonts w:eastAsia="Times New Roman" w:cs="Times New Roman"/>
          <w:color w:val="000000"/>
          <w:lang w:eastAsia="nl-NL"/>
        </w:rPr>
        <w:t>s bepalen</w:t>
      </w:r>
      <w:r w:rsidRPr="007A600A">
        <w:rPr>
          <w:rFonts w:eastAsia="Times New Roman" w:cs="Times New Roman"/>
          <w:color w:val="000000"/>
          <w:lang w:eastAsia="nl-NL"/>
        </w:rPr>
        <w:t xml:space="preserve"> dat de werk</w:t>
      </w:r>
      <w:r w:rsidR="0075776E">
        <w:rPr>
          <w:rFonts w:eastAsia="Times New Roman" w:cs="Times New Roman"/>
          <w:color w:val="000000"/>
          <w:lang w:eastAsia="nl-NL"/>
        </w:rPr>
        <w:t>geve</w:t>
      </w:r>
      <w:r w:rsidRPr="007A600A">
        <w:rPr>
          <w:rFonts w:eastAsia="Times New Roman" w:cs="Times New Roman"/>
          <w:color w:val="000000"/>
          <w:lang w:eastAsia="nl-NL"/>
        </w:rPr>
        <w:t xml:space="preserve">r ernstig verwijtbaar heeft gehandeld </w:t>
      </w:r>
      <w:r w:rsidR="00351DFA">
        <w:rPr>
          <w:rFonts w:eastAsia="Times New Roman" w:cs="Times New Roman"/>
          <w:color w:val="000000"/>
          <w:lang w:eastAsia="nl-NL"/>
        </w:rPr>
        <w:t xml:space="preserve">en </w:t>
      </w:r>
      <w:r w:rsidR="0033492D">
        <w:rPr>
          <w:rFonts w:eastAsia="Times New Roman" w:cs="Times New Roman"/>
          <w:color w:val="000000"/>
          <w:lang w:eastAsia="nl-NL"/>
        </w:rPr>
        <w:t xml:space="preserve">hij </w:t>
      </w:r>
      <w:r w:rsidR="00351DFA">
        <w:rPr>
          <w:rFonts w:eastAsia="Times New Roman" w:cs="Times New Roman"/>
          <w:color w:val="000000"/>
          <w:lang w:eastAsia="nl-NL"/>
        </w:rPr>
        <w:t>de billijke vergoeding moet betalen aan de werknemer</w:t>
      </w:r>
      <w:r w:rsidRPr="007A600A">
        <w:rPr>
          <w:rFonts w:eastAsia="Times New Roman" w:cs="Times New Roman"/>
          <w:color w:val="000000"/>
          <w:lang w:eastAsia="nl-NL"/>
        </w:rPr>
        <w:t xml:space="preserve">. In dit onderzoek gaat het om </w:t>
      </w:r>
      <w:r w:rsidR="0075776E">
        <w:rPr>
          <w:rFonts w:eastAsia="Times New Roman" w:cs="Times New Roman"/>
          <w:color w:val="000000"/>
          <w:lang w:eastAsia="nl-NL"/>
        </w:rPr>
        <w:t xml:space="preserve">de meest recente </w:t>
      </w:r>
      <w:r w:rsidRPr="007A600A">
        <w:rPr>
          <w:rFonts w:eastAsia="Times New Roman" w:cs="Times New Roman"/>
          <w:color w:val="000000"/>
          <w:lang w:eastAsia="nl-NL"/>
        </w:rPr>
        <w:t xml:space="preserve">uitspraken. Ik heb alle uitspraken globaal doorgenomen om te kijken of ze geschikt zijn voor mijn onderzoek. </w:t>
      </w:r>
      <w:r w:rsidR="00681BFF" w:rsidRPr="007A600A">
        <w:rPr>
          <w:rFonts w:eastAsia="Times New Roman" w:cs="Times New Roman"/>
          <w:color w:val="000000"/>
          <w:lang w:eastAsia="nl-NL"/>
        </w:rPr>
        <w:t>I</w:t>
      </w:r>
      <w:r w:rsidR="00681BFF">
        <w:rPr>
          <w:rFonts w:eastAsia="Times New Roman" w:cs="Times New Roman"/>
          <w:color w:val="000000"/>
          <w:lang w:eastAsia="nl-NL"/>
        </w:rPr>
        <w:t xml:space="preserve">n </w:t>
      </w:r>
      <w:r w:rsidR="00681BFF" w:rsidRPr="007A600A">
        <w:rPr>
          <w:rFonts w:eastAsia="Times New Roman" w:cs="Times New Roman"/>
          <w:color w:val="000000"/>
          <w:lang w:eastAsia="nl-NL"/>
        </w:rPr>
        <w:t>mijn</w:t>
      </w:r>
      <w:r w:rsidRPr="007A600A">
        <w:rPr>
          <w:rFonts w:eastAsia="Times New Roman" w:cs="Times New Roman"/>
          <w:color w:val="000000"/>
          <w:lang w:eastAsia="nl-NL"/>
        </w:rPr>
        <w:t xml:space="preserve"> analyse </w:t>
      </w:r>
      <w:r w:rsidR="00FF22A2">
        <w:rPr>
          <w:rFonts w:eastAsia="Times New Roman" w:cs="Times New Roman"/>
          <w:color w:val="000000"/>
          <w:lang w:eastAsia="nl-NL"/>
        </w:rPr>
        <w:t>maak ik gebruik van één hoofdtopic, namelijk</w:t>
      </w:r>
      <w:r w:rsidR="006A1000">
        <w:rPr>
          <w:rFonts w:eastAsia="Times New Roman" w:cs="Times New Roman"/>
          <w:color w:val="000000"/>
          <w:lang w:eastAsia="nl-NL"/>
        </w:rPr>
        <w:t xml:space="preserve"> </w:t>
      </w:r>
      <w:r w:rsidR="000C2943">
        <w:rPr>
          <w:rFonts w:eastAsia="Times New Roman" w:cs="Times New Roman"/>
          <w:color w:val="000000"/>
          <w:lang w:eastAsia="nl-NL"/>
        </w:rPr>
        <w:t>‘</w:t>
      </w:r>
      <w:r w:rsidR="006A1000">
        <w:rPr>
          <w:rFonts w:eastAsia="Times New Roman" w:cs="Times New Roman"/>
          <w:color w:val="000000"/>
          <w:lang w:eastAsia="nl-NL"/>
        </w:rPr>
        <w:t>ernstig verwijtbaar handelen van de werkgever</w:t>
      </w:r>
      <w:r w:rsidR="000C2943">
        <w:rPr>
          <w:rFonts w:eastAsia="Times New Roman" w:cs="Times New Roman"/>
          <w:color w:val="000000"/>
          <w:lang w:eastAsia="nl-NL"/>
        </w:rPr>
        <w:t>’</w:t>
      </w:r>
      <w:r w:rsidRPr="007A600A">
        <w:rPr>
          <w:rFonts w:eastAsia="Times New Roman" w:cs="Times New Roman"/>
          <w:color w:val="000000"/>
          <w:lang w:eastAsia="nl-NL"/>
        </w:rPr>
        <w:t xml:space="preserve">. </w:t>
      </w:r>
      <w:r w:rsidR="00FF22A2">
        <w:rPr>
          <w:rFonts w:eastAsia="Times New Roman" w:cs="Times New Roman"/>
          <w:color w:val="000000"/>
          <w:lang w:eastAsia="nl-NL"/>
        </w:rPr>
        <w:t>D</w:t>
      </w:r>
      <w:r w:rsidR="000C2943">
        <w:rPr>
          <w:rFonts w:eastAsia="Times New Roman" w:cs="Times New Roman"/>
          <w:color w:val="000000"/>
          <w:lang w:eastAsia="nl-NL"/>
        </w:rPr>
        <w:t>it</w:t>
      </w:r>
      <w:r w:rsidR="00FF22A2">
        <w:rPr>
          <w:rFonts w:eastAsia="Times New Roman" w:cs="Times New Roman"/>
          <w:color w:val="000000"/>
          <w:lang w:eastAsia="nl-NL"/>
        </w:rPr>
        <w:t xml:space="preserve"> hoofdtopic is onderverdeel</w:t>
      </w:r>
      <w:r w:rsidR="001F4C48">
        <w:rPr>
          <w:rFonts w:eastAsia="Times New Roman" w:cs="Times New Roman"/>
          <w:color w:val="000000"/>
          <w:lang w:eastAsia="nl-NL"/>
        </w:rPr>
        <w:t>d</w:t>
      </w:r>
      <w:r w:rsidR="00FF22A2">
        <w:rPr>
          <w:rFonts w:eastAsia="Times New Roman" w:cs="Times New Roman"/>
          <w:color w:val="000000"/>
          <w:lang w:eastAsia="nl-NL"/>
        </w:rPr>
        <w:t xml:space="preserve"> in subtopics</w:t>
      </w:r>
      <w:r w:rsidRPr="007A600A">
        <w:rPr>
          <w:rFonts w:eastAsia="Times New Roman" w:cs="Times New Roman"/>
          <w:color w:val="000000"/>
          <w:lang w:eastAsia="nl-NL"/>
        </w:rPr>
        <w:t xml:space="preserve">. Deze </w:t>
      </w:r>
      <w:r w:rsidR="0075776E" w:rsidRPr="007A600A">
        <w:rPr>
          <w:rFonts w:eastAsia="Times New Roman" w:cs="Times New Roman"/>
          <w:color w:val="000000"/>
          <w:lang w:eastAsia="nl-NL"/>
        </w:rPr>
        <w:t>subtopics</w:t>
      </w:r>
      <w:r w:rsidRPr="007A600A">
        <w:rPr>
          <w:rFonts w:eastAsia="Times New Roman" w:cs="Times New Roman"/>
          <w:color w:val="000000"/>
          <w:lang w:eastAsia="nl-NL"/>
        </w:rPr>
        <w:t xml:space="preserve"> maken duidelijk </w:t>
      </w:r>
      <w:r w:rsidR="001F4C48">
        <w:rPr>
          <w:rFonts w:eastAsia="Times New Roman" w:cs="Times New Roman"/>
          <w:color w:val="000000"/>
          <w:lang w:eastAsia="nl-NL"/>
        </w:rPr>
        <w:t>welke belangrijke punten ik</w:t>
      </w:r>
      <w:r w:rsidR="00FF22A2">
        <w:rPr>
          <w:rFonts w:eastAsia="Times New Roman" w:cs="Times New Roman"/>
          <w:color w:val="000000"/>
          <w:lang w:eastAsia="nl-NL"/>
        </w:rPr>
        <w:t xml:space="preserve"> </w:t>
      </w:r>
      <w:r w:rsidR="000C2943">
        <w:rPr>
          <w:rFonts w:eastAsia="Times New Roman" w:cs="Times New Roman"/>
          <w:color w:val="000000"/>
          <w:lang w:eastAsia="nl-NL"/>
        </w:rPr>
        <w:t>bij</w:t>
      </w:r>
      <w:r w:rsidR="000C2943" w:rsidRPr="007A600A">
        <w:rPr>
          <w:rFonts w:eastAsia="Times New Roman" w:cs="Times New Roman"/>
          <w:color w:val="000000"/>
          <w:lang w:eastAsia="nl-NL"/>
        </w:rPr>
        <w:t xml:space="preserve"> het lezen van de uitspraken</w:t>
      </w:r>
      <w:r w:rsidR="000C2943">
        <w:rPr>
          <w:rFonts w:eastAsia="Times New Roman" w:cs="Times New Roman"/>
          <w:color w:val="000000"/>
          <w:lang w:eastAsia="nl-NL"/>
        </w:rPr>
        <w:t xml:space="preserve"> </w:t>
      </w:r>
      <w:r w:rsidR="00FF22A2">
        <w:rPr>
          <w:rFonts w:eastAsia="Times New Roman" w:cs="Times New Roman"/>
          <w:color w:val="000000"/>
          <w:lang w:eastAsia="nl-NL"/>
        </w:rPr>
        <w:t>ben tegengekomen</w:t>
      </w:r>
      <w:r w:rsidRPr="007A600A">
        <w:rPr>
          <w:rFonts w:eastAsia="Times New Roman" w:cs="Times New Roman"/>
          <w:color w:val="000000"/>
          <w:lang w:eastAsia="nl-NL"/>
        </w:rPr>
        <w:t xml:space="preserve">.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p>
    <w:p w:rsidR="00821268" w:rsidRDefault="00821268"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r>
        <w:rPr>
          <w:rFonts w:eastAsia="Times New Roman" w:cs="Times New Roman"/>
          <w:color w:val="000000"/>
          <w:lang w:eastAsia="nl-NL"/>
        </w:rPr>
        <w:t xml:space="preserve">De </w:t>
      </w:r>
      <w:r w:rsidR="0060496A">
        <w:rPr>
          <w:rFonts w:eastAsia="Times New Roman" w:cs="Times New Roman"/>
          <w:color w:val="000000"/>
          <w:lang w:eastAsia="nl-NL"/>
        </w:rPr>
        <w:t>subtopics</w:t>
      </w:r>
      <w:r>
        <w:rPr>
          <w:rFonts w:eastAsia="Times New Roman" w:cs="Times New Roman"/>
          <w:color w:val="000000"/>
          <w:lang w:eastAsia="nl-NL"/>
        </w:rPr>
        <w:t xml:space="preserve"> zijn geselecteerd aan de hand van uitspraken waarin de kantonrechters de billijke vergoeding toewij</w:t>
      </w:r>
      <w:r w:rsidR="000C2943">
        <w:rPr>
          <w:rFonts w:eastAsia="Times New Roman" w:cs="Times New Roman"/>
          <w:color w:val="000000"/>
          <w:lang w:eastAsia="nl-NL"/>
        </w:rPr>
        <w:t>zen</w:t>
      </w:r>
      <w:r>
        <w:rPr>
          <w:rFonts w:eastAsia="Times New Roman" w:cs="Times New Roman"/>
          <w:color w:val="000000"/>
          <w:lang w:eastAsia="nl-NL"/>
        </w:rPr>
        <w:t xml:space="preserve"> op grond van ernstig verwijtbaar handelen van de werkgever.</w:t>
      </w:r>
      <w:r w:rsidR="00FF22A2">
        <w:rPr>
          <w:rFonts w:eastAsia="Times New Roman" w:cs="Times New Roman"/>
          <w:color w:val="000000"/>
          <w:lang w:eastAsia="nl-NL"/>
        </w:rPr>
        <w:t xml:space="preserve"> </w:t>
      </w:r>
      <w:r>
        <w:rPr>
          <w:rFonts w:eastAsia="Times New Roman" w:cs="Times New Roman"/>
          <w:color w:val="000000"/>
          <w:lang w:eastAsia="nl-NL"/>
        </w:rPr>
        <w:t xml:space="preserve">Door mijn analyse op te splitsen in </w:t>
      </w:r>
      <w:r w:rsidR="0060496A">
        <w:rPr>
          <w:rFonts w:eastAsia="Times New Roman" w:cs="Times New Roman"/>
          <w:color w:val="000000"/>
          <w:lang w:eastAsia="nl-NL"/>
        </w:rPr>
        <w:t>subtopics</w:t>
      </w:r>
      <w:r>
        <w:rPr>
          <w:rFonts w:eastAsia="Times New Roman" w:cs="Times New Roman"/>
          <w:color w:val="000000"/>
          <w:lang w:eastAsia="nl-NL"/>
        </w:rPr>
        <w:t xml:space="preserve"> zal het onderzoek makkelijker leesbaar zijn. De conclusies </w:t>
      </w:r>
      <w:r w:rsidR="00DF587B">
        <w:rPr>
          <w:rFonts w:eastAsia="Times New Roman" w:cs="Times New Roman"/>
          <w:color w:val="000000"/>
          <w:lang w:eastAsia="nl-NL"/>
        </w:rPr>
        <w:t xml:space="preserve">worden uitgetypt per </w:t>
      </w:r>
      <w:r w:rsidR="0060496A">
        <w:rPr>
          <w:rFonts w:eastAsia="Times New Roman" w:cs="Times New Roman"/>
          <w:color w:val="000000"/>
          <w:lang w:eastAsia="nl-NL"/>
        </w:rPr>
        <w:t>subtopic</w:t>
      </w:r>
      <w:r w:rsidR="00BD7795">
        <w:rPr>
          <w:rFonts w:eastAsia="Times New Roman" w:cs="Times New Roman"/>
          <w:color w:val="000000"/>
          <w:lang w:eastAsia="nl-NL"/>
        </w:rPr>
        <w:t xml:space="preserve"> en</w:t>
      </w:r>
      <w:r w:rsidR="00DF587B">
        <w:rPr>
          <w:rFonts w:eastAsia="Times New Roman" w:cs="Times New Roman"/>
          <w:color w:val="000000"/>
          <w:lang w:eastAsia="nl-NL"/>
        </w:rPr>
        <w:t xml:space="preserve"> er zal ook verwezen worden naar de tabellen die hieronder te vinden zijn.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p>
    <w:p w:rsidR="00825227" w:rsidRDefault="001D3CF0"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r>
        <w:rPr>
          <w:rFonts w:eastAsia="Times New Roman" w:cs="Times New Roman"/>
          <w:color w:val="000000"/>
          <w:lang w:eastAsia="nl-NL"/>
        </w:rPr>
        <w:t xml:space="preserve">Op deze manier kan ik een overzichtelijke analyse maken van wanneer </w:t>
      </w:r>
      <w:r w:rsidR="00BD7795">
        <w:rPr>
          <w:rFonts w:eastAsia="Times New Roman" w:cs="Times New Roman"/>
          <w:color w:val="000000"/>
          <w:lang w:eastAsia="nl-NL"/>
        </w:rPr>
        <w:t>de</w:t>
      </w:r>
      <w:r>
        <w:rPr>
          <w:rFonts w:eastAsia="Times New Roman" w:cs="Times New Roman"/>
          <w:color w:val="000000"/>
          <w:lang w:eastAsia="nl-NL"/>
        </w:rPr>
        <w:t xml:space="preserve"> rechtspraak het gedrag van de werkgever als ernstig verwijtbaar kwalificeert om vervolgens een billijke vergoeding toe te kennen. </w:t>
      </w:r>
      <w:r w:rsidR="001F4C48">
        <w:rPr>
          <w:rFonts w:eastAsia="Times New Roman" w:cs="Times New Roman"/>
          <w:color w:val="000000"/>
          <w:lang w:eastAsia="nl-NL"/>
        </w:rPr>
        <w:t xml:space="preserve">Hoe meer uitspraken er </w:t>
      </w:r>
      <w:r w:rsidR="00BD7795">
        <w:rPr>
          <w:rFonts w:eastAsia="Times New Roman" w:cs="Times New Roman"/>
          <w:color w:val="000000"/>
          <w:lang w:eastAsia="nl-NL"/>
        </w:rPr>
        <w:t xml:space="preserve">bij het beantwoorden van deze deelvraag </w:t>
      </w:r>
      <w:r w:rsidR="001F4C48">
        <w:rPr>
          <w:rFonts w:eastAsia="Times New Roman" w:cs="Times New Roman"/>
          <w:color w:val="000000"/>
          <w:lang w:eastAsia="nl-NL"/>
        </w:rPr>
        <w:t>worden betrokken, des te beter en waardevoller de kwaliteit van het onderzoek zal zijn.</w:t>
      </w:r>
      <w:r w:rsidR="00EE67B9">
        <w:rPr>
          <w:rFonts w:eastAsia="Times New Roman" w:cs="Times New Roman"/>
          <w:color w:val="000000"/>
          <w:lang w:eastAsia="nl-NL"/>
        </w:rPr>
        <w:t xml:space="preserve"> In het eindproduct wil ik voor het beantwoorden van deze deelvraag tenminste </w:t>
      </w:r>
      <w:r w:rsidR="00995DAB">
        <w:rPr>
          <w:rFonts w:eastAsia="Times New Roman" w:cs="Times New Roman"/>
          <w:color w:val="000000"/>
          <w:lang w:eastAsia="nl-NL"/>
        </w:rPr>
        <w:t>25</w:t>
      </w:r>
      <w:r w:rsidR="00EE67B9">
        <w:rPr>
          <w:rFonts w:eastAsia="Times New Roman" w:cs="Times New Roman"/>
          <w:color w:val="000000"/>
          <w:lang w:eastAsia="nl-NL"/>
        </w:rPr>
        <w:t xml:space="preserve"> uitspraken betrekken in dit onderzoek. </w:t>
      </w:r>
      <w:r w:rsidRPr="00AB2AB7">
        <w:rPr>
          <w:color w:val="000000"/>
        </w:rPr>
        <w:t xml:space="preserve">Door het analyseren van de relevante wetsartikelen behoud ik de betrouwbaarheid, omdat ik dan voor de validiteit genoeg uitspraken heb </w:t>
      </w:r>
      <w:r w:rsidR="00BD7795">
        <w:rPr>
          <w:color w:val="000000"/>
        </w:rPr>
        <w:t>bestudeerd</w:t>
      </w:r>
      <w:r w:rsidRPr="00AB2AB7">
        <w:rPr>
          <w:color w:val="000000"/>
        </w:rPr>
        <w:t xml:space="preserve"> om een conclusie te trekken. De kwaliteit</w:t>
      </w:r>
      <w:r w:rsidR="004974A7">
        <w:rPr>
          <w:color w:val="000000"/>
        </w:rPr>
        <w:t xml:space="preserve"> </w:t>
      </w:r>
      <w:r w:rsidRPr="00AB2AB7">
        <w:rPr>
          <w:color w:val="000000"/>
        </w:rPr>
        <w:t xml:space="preserve">wordt gewaarborgd </w:t>
      </w:r>
      <w:r w:rsidR="008D505E">
        <w:rPr>
          <w:color w:val="000000"/>
        </w:rPr>
        <w:t>door</w:t>
      </w:r>
      <w:r w:rsidRPr="00AB2AB7">
        <w:rPr>
          <w:color w:val="000000"/>
        </w:rPr>
        <w:t xml:space="preserve">dat de jurisprudentie een </w:t>
      </w:r>
      <w:r w:rsidR="00681BFF" w:rsidRPr="00AB2AB7">
        <w:rPr>
          <w:color w:val="000000"/>
        </w:rPr>
        <w:t>eerlijk</w:t>
      </w:r>
      <w:r w:rsidRPr="00AB2AB7">
        <w:rPr>
          <w:color w:val="000000"/>
        </w:rPr>
        <w:t xml:space="preserve"> beeld laat zien van de praktijk.</w:t>
      </w:r>
    </w:p>
    <w:p w:rsidR="003A1F83" w:rsidRDefault="003A1F83">
      <w:pPr>
        <w:rPr>
          <w:color w:val="000000"/>
        </w:rPr>
      </w:pPr>
      <w:r>
        <w:rPr>
          <w:color w:val="000000"/>
        </w:rPr>
        <w:br w:type="page"/>
      </w:r>
    </w:p>
    <w:p w:rsidR="001D3CF0" w:rsidRDefault="001D3CF0"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tbl>
      <w:tblPr>
        <w:tblStyle w:val="Tabelraster"/>
        <w:tblW w:w="4786" w:type="dxa"/>
        <w:jc w:val="center"/>
        <w:tblLook w:val="04A0" w:firstRow="1" w:lastRow="0" w:firstColumn="1" w:lastColumn="0" w:noHBand="0" w:noVBand="1"/>
      </w:tblPr>
      <w:tblGrid>
        <w:gridCol w:w="4786"/>
      </w:tblGrid>
      <w:tr w:rsidR="006A1000" w:rsidTr="004559D3">
        <w:trPr>
          <w:jc w:val="center"/>
        </w:trPr>
        <w:tc>
          <w:tcPr>
            <w:tcW w:w="4786" w:type="dxa"/>
          </w:tcPr>
          <w:p w:rsidR="006A1000" w:rsidRPr="006A1000" w:rsidRDefault="006A1000" w:rsidP="00825227">
            <w:pPr>
              <w:pStyle w:val="Geenafstand"/>
              <w:spacing w:line="360" w:lineRule="auto"/>
              <w:jc w:val="center"/>
              <w:rPr>
                <w:b/>
                <w:lang w:eastAsia="nl-NL"/>
              </w:rPr>
            </w:pPr>
            <w:r w:rsidRPr="006A1000">
              <w:rPr>
                <w:b/>
                <w:lang w:eastAsia="nl-NL"/>
              </w:rPr>
              <w:t>Hoofdtopics</w:t>
            </w:r>
          </w:p>
        </w:tc>
      </w:tr>
      <w:tr w:rsidR="001D3CF0" w:rsidTr="004559D3">
        <w:trPr>
          <w:jc w:val="center"/>
        </w:trPr>
        <w:tc>
          <w:tcPr>
            <w:tcW w:w="4786" w:type="dxa"/>
          </w:tcPr>
          <w:p w:rsidR="001D3CF0" w:rsidRPr="004559D3" w:rsidRDefault="001D3CF0" w:rsidP="00887B8B">
            <w:pPr>
              <w:pStyle w:val="Geenafstand"/>
              <w:spacing w:line="360" w:lineRule="auto"/>
              <w:rPr>
                <w:lang w:eastAsia="nl-NL"/>
              </w:rPr>
            </w:pPr>
            <w:r w:rsidRPr="004559D3">
              <w:rPr>
                <w:lang w:eastAsia="nl-NL"/>
              </w:rPr>
              <w:t>Ernstig verwijtbaar handelen werkgever</w:t>
            </w:r>
          </w:p>
        </w:tc>
      </w:tr>
      <w:tr w:rsidR="006A1000" w:rsidTr="004559D3">
        <w:trPr>
          <w:jc w:val="center"/>
        </w:trPr>
        <w:tc>
          <w:tcPr>
            <w:tcW w:w="4786" w:type="dxa"/>
          </w:tcPr>
          <w:p w:rsidR="006A1000" w:rsidRPr="006A1000" w:rsidRDefault="00AB3FED" w:rsidP="00825227">
            <w:pPr>
              <w:pStyle w:val="Geenafstand"/>
              <w:spacing w:line="360" w:lineRule="auto"/>
              <w:jc w:val="center"/>
              <w:rPr>
                <w:b/>
                <w:lang w:eastAsia="nl-NL"/>
              </w:rPr>
            </w:pPr>
            <w:r w:rsidRPr="006A1000">
              <w:rPr>
                <w:b/>
                <w:lang w:eastAsia="nl-NL"/>
              </w:rPr>
              <w:t>Subtopics</w:t>
            </w:r>
          </w:p>
        </w:tc>
      </w:tr>
      <w:tr w:rsidR="004559D3" w:rsidTr="004559D3">
        <w:trPr>
          <w:trHeight w:val="160"/>
          <w:jc w:val="center"/>
        </w:trPr>
        <w:tc>
          <w:tcPr>
            <w:tcW w:w="4786" w:type="dxa"/>
          </w:tcPr>
          <w:p w:rsidR="004559D3" w:rsidRDefault="004559D3" w:rsidP="00887B8B">
            <w:pPr>
              <w:pStyle w:val="Geenafstand"/>
              <w:spacing w:line="360" w:lineRule="auto"/>
              <w:rPr>
                <w:lang w:eastAsia="nl-NL"/>
              </w:rPr>
            </w:pPr>
            <w:r>
              <w:t>Geen reëel verbeteringstraject</w:t>
            </w:r>
            <w:r>
              <w:rPr>
                <w:rStyle w:val="Voetnootmarkering"/>
              </w:rPr>
              <w:footnoteReference w:id="12"/>
            </w:r>
          </w:p>
        </w:tc>
      </w:tr>
      <w:tr w:rsidR="004559D3" w:rsidTr="004559D3">
        <w:trPr>
          <w:jc w:val="center"/>
        </w:trPr>
        <w:tc>
          <w:tcPr>
            <w:tcW w:w="4786" w:type="dxa"/>
          </w:tcPr>
          <w:p w:rsidR="004559D3" w:rsidRDefault="004559D3" w:rsidP="00887B8B">
            <w:pPr>
              <w:pStyle w:val="Geenafstand"/>
              <w:spacing w:line="360" w:lineRule="auto"/>
              <w:rPr>
                <w:lang w:eastAsia="nl-NL"/>
              </w:rPr>
            </w:pPr>
            <w:r>
              <w:t>Onmiddellijk op non-actief zetten zonder duidelijke grond (zonder behoud van loon)</w:t>
            </w:r>
            <w:r>
              <w:rPr>
                <w:rStyle w:val="Voetnootmarkering"/>
              </w:rPr>
              <w:footnoteReference w:id="13"/>
            </w:r>
          </w:p>
        </w:tc>
      </w:tr>
      <w:tr w:rsidR="004559D3" w:rsidTr="004559D3">
        <w:trPr>
          <w:jc w:val="center"/>
        </w:trPr>
        <w:tc>
          <w:tcPr>
            <w:tcW w:w="4786" w:type="dxa"/>
          </w:tcPr>
          <w:p w:rsidR="004559D3" w:rsidRDefault="004559D3" w:rsidP="00887B8B">
            <w:pPr>
              <w:pStyle w:val="Geenafstand"/>
              <w:spacing w:line="360" w:lineRule="auto"/>
              <w:rPr>
                <w:lang w:eastAsia="nl-NL"/>
              </w:rPr>
            </w:pPr>
            <w:r>
              <w:rPr>
                <w:lang w:eastAsia="nl-NL"/>
              </w:rPr>
              <w:t xml:space="preserve">Nalatigheid </w:t>
            </w:r>
            <w:r w:rsidR="008E199D">
              <w:rPr>
                <w:lang w:eastAsia="nl-NL"/>
              </w:rPr>
              <w:t>verbetering arbeids</w:t>
            </w:r>
            <w:r>
              <w:rPr>
                <w:lang w:eastAsia="nl-NL"/>
              </w:rPr>
              <w:t>relatie</w:t>
            </w:r>
            <w:r>
              <w:rPr>
                <w:rStyle w:val="Voetnootmarkering"/>
                <w:lang w:eastAsia="nl-NL"/>
              </w:rPr>
              <w:footnoteReference w:id="14"/>
            </w:r>
          </w:p>
        </w:tc>
      </w:tr>
      <w:tr w:rsidR="004559D3" w:rsidTr="004559D3">
        <w:trPr>
          <w:jc w:val="center"/>
        </w:trPr>
        <w:tc>
          <w:tcPr>
            <w:tcW w:w="4786" w:type="dxa"/>
          </w:tcPr>
          <w:p w:rsidR="004559D3" w:rsidRDefault="004559D3" w:rsidP="00887B8B">
            <w:pPr>
              <w:pStyle w:val="Geenafstand"/>
              <w:spacing w:line="360" w:lineRule="auto"/>
              <w:rPr>
                <w:lang w:eastAsia="nl-NL"/>
              </w:rPr>
            </w:pPr>
            <w:r>
              <w:rPr>
                <w:lang w:eastAsia="nl-NL"/>
              </w:rPr>
              <w:t>Valse/</w:t>
            </w:r>
            <w:r w:rsidR="00097FAF">
              <w:rPr>
                <w:lang w:eastAsia="nl-NL"/>
              </w:rPr>
              <w:t xml:space="preserve">niet rechtsgeldige </w:t>
            </w:r>
            <w:r>
              <w:rPr>
                <w:lang w:eastAsia="nl-NL"/>
              </w:rPr>
              <w:t xml:space="preserve">grond van ontslag </w:t>
            </w:r>
            <w:r w:rsidR="00887B8B">
              <w:rPr>
                <w:lang w:eastAsia="nl-NL"/>
              </w:rPr>
              <w:t>aan</w:t>
            </w:r>
            <w:r>
              <w:rPr>
                <w:lang w:eastAsia="nl-NL"/>
              </w:rPr>
              <w:t>voeren</w:t>
            </w:r>
            <w:r>
              <w:rPr>
                <w:rStyle w:val="Voetnootmarkering"/>
                <w:lang w:eastAsia="nl-NL"/>
              </w:rPr>
              <w:footnoteReference w:id="15"/>
            </w:r>
          </w:p>
        </w:tc>
      </w:tr>
    </w:tbl>
    <w:p w:rsidR="00B928D6" w:rsidRDefault="00B928D6"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ja-JP"/>
        </w:rPr>
      </w:pPr>
    </w:p>
    <w:p w:rsidR="000B2C61" w:rsidRPr="00AC0F51" w:rsidRDefault="00AC0F51"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sidRPr="00AC0F51">
        <w:rPr>
          <w:spacing w:val="-3"/>
          <w:lang w:eastAsia="ja-JP"/>
        </w:rPr>
        <w:t xml:space="preserve">Tijdens het </w:t>
      </w:r>
      <w:r>
        <w:rPr>
          <w:spacing w:val="-3"/>
          <w:lang w:eastAsia="ja-JP"/>
        </w:rPr>
        <w:t xml:space="preserve">onderzoek naar het antwoord op deze deelvraag, zijn er een aantal </w:t>
      </w:r>
      <w:r w:rsidR="00EB0553">
        <w:rPr>
          <w:spacing w:val="-3"/>
          <w:lang w:eastAsia="ja-JP"/>
        </w:rPr>
        <w:t xml:space="preserve">oorspronkelijke </w:t>
      </w:r>
      <w:r>
        <w:rPr>
          <w:spacing w:val="-3"/>
          <w:lang w:eastAsia="ja-JP"/>
        </w:rPr>
        <w:t>subtopics verwijder</w:t>
      </w:r>
      <w:r w:rsidR="00EB0553">
        <w:rPr>
          <w:spacing w:val="-3"/>
          <w:lang w:eastAsia="ja-JP"/>
        </w:rPr>
        <w:t>d</w:t>
      </w:r>
      <w:r>
        <w:rPr>
          <w:spacing w:val="-3"/>
          <w:lang w:eastAsia="ja-JP"/>
        </w:rPr>
        <w:t xml:space="preserve"> omdat de arresten beter passen onder de subtopics die hierboven staan</w:t>
      </w:r>
      <w:r w:rsidR="00EB0553">
        <w:rPr>
          <w:spacing w:val="-3"/>
          <w:lang w:eastAsia="ja-JP"/>
        </w:rPr>
        <w:t xml:space="preserve"> vermeld</w:t>
      </w:r>
      <w:r>
        <w:rPr>
          <w:spacing w:val="-3"/>
          <w:lang w:eastAsia="ja-JP"/>
        </w:rPr>
        <w:t xml:space="preserve">. Dit maakt het rapport nog overzichtelijker en duidelijker.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540A49" w:rsidRPr="00540A49" w:rsidRDefault="00540A49"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r w:rsidRPr="00540A49">
        <w:rPr>
          <w:b/>
          <w:spacing w:val="-3"/>
          <w:lang w:eastAsia="nl-NL"/>
        </w:rPr>
        <w:t xml:space="preserve">Deelvraag 5: </w:t>
      </w:r>
      <w:r w:rsidR="006D5DC2">
        <w:rPr>
          <w:b/>
          <w:spacing w:val="-3"/>
          <w:lang w:eastAsia="nl-NL"/>
        </w:rPr>
        <w:t>Onder welke omstandigheden is er volgens</w:t>
      </w:r>
      <w:r w:rsidR="006D5DC2" w:rsidRPr="00804162">
        <w:rPr>
          <w:b/>
          <w:spacing w:val="-3"/>
          <w:lang w:eastAsia="nl-NL"/>
        </w:rPr>
        <w:t xml:space="preserve"> de jurisprudentie</w:t>
      </w:r>
      <w:r w:rsidR="006D5DC2">
        <w:rPr>
          <w:b/>
          <w:spacing w:val="-3"/>
          <w:lang w:eastAsia="nl-NL"/>
        </w:rPr>
        <w:t xml:space="preserve"> geen</w:t>
      </w:r>
      <w:r w:rsidR="006D5DC2" w:rsidRPr="00804162">
        <w:rPr>
          <w:b/>
          <w:spacing w:val="-3"/>
          <w:lang w:eastAsia="nl-NL"/>
        </w:rPr>
        <w:t xml:space="preserve"> </w:t>
      </w:r>
      <w:r w:rsidR="006D5DC2">
        <w:rPr>
          <w:b/>
          <w:spacing w:val="-3"/>
          <w:lang w:eastAsia="nl-NL"/>
        </w:rPr>
        <w:t>sprake van</w:t>
      </w:r>
      <w:r w:rsidR="003E0C33">
        <w:rPr>
          <w:b/>
          <w:spacing w:val="-3"/>
          <w:lang w:eastAsia="nl-NL"/>
        </w:rPr>
        <w:t xml:space="preserve"> </w:t>
      </w:r>
      <w:r w:rsidR="006D5DC2" w:rsidRPr="00804162">
        <w:rPr>
          <w:b/>
          <w:spacing w:val="-3"/>
          <w:lang w:eastAsia="nl-NL"/>
        </w:rPr>
        <w:t>ernstig verwij</w:t>
      </w:r>
      <w:r w:rsidR="006D5DC2">
        <w:rPr>
          <w:b/>
          <w:spacing w:val="-3"/>
          <w:lang w:eastAsia="nl-NL"/>
        </w:rPr>
        <w:t xml:space="preserve">tbaar handelen van de werkgever en wordt de vordering van de billijke vergoeding afgewezen?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F071BE" w:rsidRDefault="00EB055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Door</w:t>
      </w:r>
      <w:r w:rsidR="00F071BE">
        <w:rPr>
          <w:spacing w:val="-3"/>
          <w:lang w:eastAsia="nl-NL"/>
        </w:rPr>
        <w:t xml:space="preserve"> het beantwoorden van deze deelvraag wordt een groot deel v</w:t>
      </w:r>
      <w:r w:rsidR="00E87052">
        <w:rPr>
          <w:spacing w:val="-3"/>
          <w:lang w:eastAsia="nl-NL"/>
        </w:rPr>
        <w:t>an de centrale vraag beantwoord</w:t>
      </w:r>
      <w:r w:rsidR="00F071BE">
        <w:rPr>
          <w:spacing w:val="-3"/>
          <w:lang w:eastAsia="nl-NL"/>
        </w:rPr>
        <w:t xml:space="preserve">. Het doel van deze deelvraag is om uit te zoeken onder welke omstandigheden er volgens de rechtspraak geen sprake is van ernstig verwijtbaar handelen van de werkgever. Dit </w:t>
      </w:r>
      <w:r w:rsidR="00681BFF">
        <w:rPr>
          <w:spacing w:val="-3"/>
          <w:lang w:eastAsia="nl-NL"/>
        </w:rPr>
        <w:t>is van</w:t>
      </w:r>
      <w:r w:rsidR="00F071BE">
        <w:rPr>
          <w:spacing w:val="-3"/>
          <w:lang w:eastAsia="nl-NL"/>
        </w:rPr>
        <w:t xml:space="preserve"> wezenlijk belang voor het onderzoek. Ook sluit deze deelvraag mooi aan bij deelvraag 6. </w:t>
      </w:r>
    </w:p>
    <w:p w:rsidR="00F071BE" w:rsidRDefault="00F071BE"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Pr>
          <w:spacing w:val="-3"/>
          <w:lang w:eastAsia="nl-NL"/>
        </w:rPr>
        <w:lastRenderedPageBreak/>
        <w:t xml:space="preserve">Om deze deelvraag zo effectief en betrouwbaar </w:t>
      </w:r>
      <w:r w:rsidR="00E87052">
        <w:rPr>
          <w:spacing w:val="-3"/>
          <w:lang w:eastAsia="nl-NL"/>
        </w:rPr>
        <w:t xml:space="preserve">mogelijk </w:t>
      </w:r>
      <w:r>
        <w:rPr>
          <w:spacing w:val="-3"/>
          <w:lang w:eastAsia="nl-NL"/>
        </w:rPr>
        <w:t xml:space="preserve">te beantwoorden zal er een uitgebreid jurisprudentieonderzoek verricht worden. </w:t>
      </w:r>
      <w:r w:rsidRPr="00942424">
        <w:t>Voor de validiteit en betrouwbaarheid van mijn antwoord op deze vraag zal ik een jurisprudentieonderzoek doe</w:t>
      </w:r>
      <w:r>
        <w:t>n waarbij ik gebruik maak van minimaal 30</w:t>
      </w:r>
      <w:r w:rsidRPr="00942424">
        <w:t xml:space="preserve"> uitspraken. Deze </w:t>
      </w:r>
      <w:r>
        <w:t>30</w:t>
      </w:r>
      <w:r w:rsidRPr="00942424">
        <w:t xml:space="preserve"> uitspraken zullen </w:t>
      </w:r>
      <w:r>
        <w:t xml:space="preserve">een </w:t>
      </w:r>
      <w:r w:rsidRPr="00942424">
        <w:t>helder</w:t>
      </w:r>
      <w:r>
        <w:t xml:space="preserve"> beeld</w:t>
      </w:r>
      <w:r w:rsidRPr="00942424">
        <w:t xml:space="preserve"> geven van de </w:t>
      </w:r>
      <w:r>
        <w:t xml:space="preserve">overwegingen die kantonrechters </w:t>
      </w:r>
      <w:r w:rsidR="00EB0553">
        <w:t xml:space="preserve">hebben </w:t>
      </w:r>
      <w:r>
        <w:t xml:space="preserve">bij het bepalen dat de billijke vergoeding niet </w:t>
      </w:r>
      <w:r w:rsidR="00EB0553">
        <w:t xml:space="preserve">aan de werknemer </w:t>
      </w:r>
      <w:r>
        <w:t>wordt toegekend. Ik ga uit elke uitspraak de essentiële informatie verwerken in mijn onderzoek. Dit doe ik door de casussen goed te lezen, met nadruk</w:t>
      </w:r>
      <w:r w:rsidR="00E87052">
        <w:t xml:space="preserve"> op de beoordeling door</w:t>
      </w:r>
      <w:r>
        <w:t xml:space="preserve"> de rechter.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F071BE" w:rsidRDefault="00F071BE"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r w:rsidRPr="00AB2AB7">
        <w:rPr>
          <w:color w:val="000000"/>
        </w:rPr>
        <w:t>Door het analyseren van de relevante wetsartikelen behoud ik de betrouwbaarheid</w:t>
      </w:r>
      <w:r>
        <w:rPr>
          <w:color w:val="000000"/>
        </w:rPr>
        <w:t xml:space="preserve"> van het onderzoek. V</w:t>
      </w:r>
      <w:r w:rsidRPr="00AB2AB7">
        <w:rPr>
          <w:color w:val="000000"/>
        </w:rPr>
        <w:t xml:space="preserve">oor de validiteit </w:t>
      </w:r>
      <w:r>
        <w:rPr>
          <w:color w:val="000000"/>
        </w:rPr>
        <w:t xml:space="preserve">worden er 30 </w:t>
      </w:r>
      <w:r w:rsidRPr="00AB2AB7">
        <w:rPr>
          <w:color w:val="000000"/>
        </w:rPr>
        <w:t xml:space="preserve">uitspraken </w:t>
      </w:r>
      <w:r w:rsidR="008D505E">
        <w:rPr>
          <w:color w:val="000000"/>
        </w:rPr>
        <w:t>bij deze deelvraag</w:t>
      </w:r>
      <w:r w:rsidR="008D505E" w:rsidRPr="00AB2AB7">
        <w:rPr>
          <w:color w:val="000000"/>
        </w:rPr>
        <w:t xml:space="preserve"> </w:t>
      </w:r>
      <w:r w:rsidRPr="00AB2AB7">
        <w:rPr>
          <w:color w:val="000000"/>
        </w:rPr>
        <w:t xml:space="preserve">betrokken. De kwaliteit wordt gewaarborgd </w:t>
      </w:r>
      <w:r w:rsidR="008D505E">
        <w:rPr>
          <w:color w:val="000000"/>
        </w:rPr>
        <w:t>door</w:t>
      </w:r>
      <w:r w:rsidRPr="00AB2AB7">
        <w:rPr>
          <w:color w:val="000000"/>
        </w:rPr>
        <w:t>dat de jurisprudentie een eerlijk beeld laat zien van de praktijk.</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rPr>
      </w:pPr>
    </w:p>
    <w:p w:rsidR="0033492D" w:rsidRPr="0075776E" w:rsidRDefault="0033492D"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rPr>
      </w:pPr>
      <w:r w:rsidRPr="0075776E">
        <w:rPr>
          <w:i/>
        </w:rPr>
        <w:t>Analyseren</w:t>
      </w:r>
    </w:p>
    <w:p w:rsidR="007243BC" w:rsidRDefault="0033492D"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r w:rsidRPr="007A600A">
        <w:rPr>
          <w:rFonts w:eastAsia="Times New Roman" w:cs="Times New Roman"/>
          <w:color w:val="000000"/>
          <w:lang w:eastAsia="nl-NL"/>
        </w:rPr>
        <w:t xml:space="preserve">Om mijn deelvraag zo helder en betrouwbaar </w:t>
      </w:r>
      <w:r w:rsidR="00786466">
        <w:rPr>
          <w:rFonts w:eastAsia="Times New Roman" w:cs="Times New Roman"/>
          <w:color w:val="000000"/>
          <w:lang w:eastAsia="nl-NL"/>
        </w:rPr>
        <w:t xml:space="preserve">mogelijk </w:t>
      </w:r>
      <w:r w:rsidRPr="007A600A">
        <w:rPr>
          <w:rFonts w:eastAsia="Times New Roman" w:cs="Times New Roman"/>
          <w:color w:val="000000"/>
          <w:lang w:eastAsia="nl-NL"/>
        </w:rPr>
        <w:t>te beantwoorden</w:t>
      </w:r>
      <w:r w:rsidR="00786466">
        <w:rPr>
          <w:rFonts w:eastAsia="Times New Roman" w:cs="Times New Roman"/>
          <w:color w:val="000000"/>
          <w:lang w:eastAsia="nl-NL"/>
        </w:rPr>
        <w:t>,</w:t>
      </w:r>
      <w:r w:rsidRPr="007A600A">
        <w:rPr>
          <w:rFonts w:eastAsia="Times New Roman" w:cs="Times New Roman"/>
          <w:color w:val="000000"/>
          <w:lang w:eastAsia="nl-NL"/>
        </w:rPr>
        <w:t xml:space="preserve"> </w:t>
      </w:r>
      <w:r>
        <w:rPr>
          <w:rFonts w:eastAsia="Times New Roman" w:cs="Times New Roman"/>
          <w:color w:val="000000"/>
          <w:lang w:eastAsia="nl-NL"/>
        </w:rPr>
        <w:t>maak</w:t>
      </w:r>
      <w:r w:rsidRPr="007A600A">
        <w:rPr>
          <w:rFonts w:eastAsia="Times New Roman" w:cs="Times New Roman"/>
          <w:color w:val="000000"/>
          <w:lang w:eastAsia="nl-NL"/>
        </w:rPr>
        <w:t xml:space="preserve"> ik </w:t>
      </w:r>
      <w:r>
        <w:rPr>
          <w:rFonts w:eastAsia="Times New Roman" w:cs="Times New Roman"/>
          <w:color w:val="000000"/>
          <w:lang w:eastAsia="nl-NL"/>
        </w:rPr>
        <w:t xml:space="preserve">een analyse van minimaal </w:t>
      </w:r>
      <w:r w:rsidR="00915A95">
        <w:rPr>
          <w:rFonts w:eastAsia="Times New Roman" w:cs="Times New Roman"/>
          <w:color w:val="000000"/>
          <w:lang w:eastAsia="nl-NL"/>
        </w:rPr>
        <w:t>3</w:t>
      </w:r>
      <w:r>
        <w:rPr>
          <w:rFonts w:eastAsia="Times New Roman" w:cs="Times New Roman"/>
          <w:color w:val="000000"/>
          <w:lang w:eastAsia="nl-NL"/>
        </w:rPr>
        <w:t>0</w:t>
      </w:r>
      <w:r w:rsidRPr="007A600A">
        <w:rPr>
          <w:rFonts w:eastAsia="Times New Roman" w:cs="Times New Roman"/>
          <w:color w:val="000000"/>
          <w:lang w:eastAsia="nl-NL"/>
        </w:rPr>
        <w:t xml:space="preserve"> uitspraken waarin</w:t>
      </w:r>
      <w:r>
        <w:rPr>
          <w:rFonts w:eastAsia="Times New Roman" w:cs="Times New Roman"/>
          <w:color w:val="000000"/>
          <w:lang w:eastAsia="nl-NL"/>
        </w:rPr>
        <w:t xml:space="preserve"> duidelijk naar voren komt wat</w:t>
      </w:r>
      <w:r w:rsidRPr="007A600A">
        <w:rPr>
          <w:rFonts w:eastAsia="Times New Roman" w:cs="Times New Roman"/>
          <w:color w:val="000000"/>
          <w:lang w:eastAsia="nl-NL"/>
        </w:rPr>
        <w:t xml:space="preserve"> kantonrechters in </w:t>
      </w:r>
      <w:r w:rsidR="00786466">
        <w:rPr>
          <w:rFonts w:eastAsia="Times New Roman" w:cs="Times New Roman"/>
          <w:color w:val="000000"/>
          <w:lang w:eastAsia="nl-NL"/>
        </w:rPr>
        <w:t xml:space="preserve">de </w:t>
      </w:r>
      <w:r w:rsidRPr="007A600A">
        <w:rPr>
          <w:rFonts w:eastAsia="Times New Roman" w:cs="Times New Roman"/>
          <w:color w:val="000000"/>
          <w:lang w:eastAsia="nl-NL"/>
        </w:rPr>
        <w:t>pr</w:t>
      </w:r>
      <w:r>
        <w:rPr>
          <w:rFonts w:eastAsia="Times New Roman" w:cs="Times New Roman"/>
          <w:color w:val="000000"/>
          <w:lang w:eastAsia="nl-NL"/>
        </w:rPr>
        <w:t>aktijk niet kwalificeren als ernstig verwijtbaar handelen van de werkgever</w:t>
      </w:r>
      <w:r w:rsidRPr="007A600A">
        <w:rPr>
          <w:rFonts w:eastAsia="Times New Roman" w:cs="Times New Roman"/>
          <w:color w:val="000000"/>
          <w:lang w:eastAsia="nl-NL"/>
        </w:rPr>
        <w:t>. Ik heb ge</w:t>
      </w:r>
      <w:r>
        <w:rPr>
          <w:rFonts w:eastAsia="Times New Roman" w:cs="Times New Roman"/>
          <w:color w:val="000000"/>
          <w:lang w:eastAsia="nl-NL"/>
        </w:rPr>
        <w:t>keken naar uitspraken waarbij</w:t>
      </w:r>
      <w:r w:rsidRPr="007A600A">
        <w:rPr>
          <w:rFonts w:eastAsia="Times New Roman" w:cs="Times New Roman"/>
          <w:color w:val="000000"/>
          <w:lang w:eastAsia="nl-NL"/>
        </w:rPr>
        <w:t xml:space="preserve"> kantonrechter</w:t>
      </w:r>
      <w:r>
        <w:rPr>
          <w:rFonts w:eastAsia="Times New Roman" w:cs="Times New Roman"/>
          <w:color w:val="000000"/>
          <w:lang w:eastAsia="nl-NL"/>
        </w:rPr>
        <w:t>s bepalen</w:t>
      </w:r>
      <w:r w:rsidRPr="007A600A">
        <w:rPr>
          <w:rFonts w:eastAsia="Times New Roman" w:cs="Times New Roman"/>
          <w:color w:val="000000"/>
          <w:lang w:eastAsia="nl-NL"/>
        </w:rPr>
        <w:t xml:space="preserve"> dat de werk</w:t>
      </w:r>
      <w:r>
        <w:rPr>
          <w:rFonts w:eastAsia="Times New Roman" w:cs="Times New Roman"/>
          <w:color w:val="000000"/>
          <w:lang w:eastAsia="nl-NL"/>
        </w:rPr>
        <w:t>geve</w:t>
      </w:r>
      <w:r w:rsidRPr="007A600A">
        <w:rPr>
          <w:rFonts w:eastAsia="Times New Roman" w:cs="Times New Roman"/>
          <w:color w:val="000000"/>
          <w:lang w:eastAsia="nl-NL"/>
        </w:rPr>
        <w:t xml:space="preserve">r </w:t>
      </w:r>
      <w:r>
        <w:rPr>
          <w:rFonts w:eastAsia="Times New Roman" w:cs="Times New Roman"/>
          <w:color w:val="000000"/>
          <w:lang w:eastAsia="nl-NL"/>
        </w:rPr>
        <w:t xml:space="preserve">niet </w:t>
      </w:r>
      <w:r w:rsidRPr="007A600A">
        <w:rPr>
          <w:rFonts w:eastAsia="Times New Roman" w:cs="Times New Roman"/>
          <w:color w:val="000000"/>
          <w:lang w:eastAsia="nl-NL"/>
        </w:rPr>
        <w:t xml:space="preserve">ernstig verwijtbaar heeft gehandeld </w:t>
      </w:r>
      <w:r>
        <w:rPr>
          <w:rFonts w:eastAsia="Times New Roman" w:cs="Times New Roman"/>
          <w:color w:val="000000"/>
          <w:lang w:eastAsia="nl-NL"/>
        </w:rPr>
        <w:t xml:space="preserve">en daarom de billijke vergoeding niet </w:t>
      </w:r>
      <w:r w:rsidR="00185C60">
        <w:rPr>
          <w:rFonts w:eastAsia="Times New Roman" w:cs="Times New Roman"/>
          <w:color w:val="000000"/>
          <w:lang w:eastAsia="nl-NL"/>
        </w:rPr>
        <w:t xml:space="preserve">aan de werknemer </w:t>
      </w:r>
      <w:r>
        <w:rPr>
          <w:rFonts w:eastAsia="Times New Roman" w:cs="Times New Roman"/>
          <w:color w:val="000000"/>
          <w:lang w:eastAsia="nl-NL"/>
        </w:rPr>
        <w:t>hoeft uit te keren</w:t>
      </w:r>
      <w:r w:rsidRPr="007A600A">
        <w:rPr>
          <w:rFonts w:eastAsia="Times New Roman" w:cs="Times New Roman"/>
          <w:color w:val="000000"/>
          <w:lang w:eastAsia="nl-NL"/>
        </w:rPr>
        <w:t xml:space="preserve">. In dit onderzoek gaat het om </w:t>
      </w:r>
      <w:r>
        <w:rPr>
          <w:rFonts w:eastAsia="Times New Roman" w:cs="Times New Roman"/>
          <w:color w:val="000000"/>
          <w:lang w:eastAsia="nl-NL"/>
        </w:rPr>
        <w:t xml:space="preserve">de meest recente </w:t>
      </w:r>
      <w:r w:rsidRPr="007A600A">
        <w:rPr>
          <w:rFonts w:eastAsia="Times New Roman" w:cs="Times New Roman"/>
          <w:color w:val="000000"/>
          <w:lang w:eastAsia="nl-NL"/>
        </w:rPr>
        <w:t>uitspraken. Ik heb alle uitspraken globaal doorgenomen om te kijken of ze geschikt zijn voor mijn onderzoek. I</w:t>
      </w:r>
      <w:r w:rsidR="00185C60">
        <w:rPr>
          <w:rFonts w:eastAsia="Times New Roman" w:cs="Times New Roman"/>
          <w:color w:val="000000"/>
          <w:lang w:eastAsia="nl-NL"/>
        </w:rPr>
        <w:t>n</w:t>
      </w:r>
      <w:r w:rsidRPr="007A600A">
        <w:rPr>
          <w:rFonts w:eastAsia="Times New Roman" w:cs="Times New Roman"/>
          <w:color w:val="000000"/>
          <w:lang w:eastAsia="nl-NL"/>
        </w:rPr>
        <w:t xml:space="preserve"> mijn analyse </w:t>
      </w:r>
      <w:r>
        <w:rPr>
          <w:rFonts w:eastAsia="Times New Roman" w:cs="Times New Roman"/>
          <w:color w:val="000000"/>
          <w:lang w:eastAsia="nl-NL"/>
        </w:rPr>
        <w:t xml:space="preserve">maak ik gebruik van één hoofdtopic, </w:t>
      </w:r>
      <w:r w:rsidRPr="00761935">
        <w:rPr>
          <w:rFonts w:eastAsia="Times New Roman" w:cs="Times New Roman"/>
          <w:color w:val="000000" w:themeColor="text1"/>
          <w:lang w:eastAsia="nl-NL"/>
        </w:rPr>
        <w:t xml:space="preserve">namelijk </w:t>
      </w:r>
      <w:r w:rsidR="00185C60">
        <w:rPr>
          <w:rFonts w:eastAsia="Times New Roman" w:cs="Times New Roman"/>
          <w:color w:val="000000" w:themeColor="text1"/>
          <w:lang w:eastAsia="nl-NL"/>
        </w:rPr>
        <w:t>‘</w:t>
      </w:r>
      <w:r w:rsidR="00761935" w:rsidRPr="00761935">
        <w:rPr>
          <w:rFonts w:eastAsia="Times New Roman" w:cs="Times New Roman"/>
          <w:color w:val="000000" w:themeColor="text1"/>
          <w:lang w:eastAsia="nl-NL"/>
        </w:rPr>
        <w:t xml:space="preserve">niet gekwalificeerd als </w:t>
      </w:r>
      <w:r w:rsidRPr="00761935">
        <w:rPr>
          <w:rFonts w:eastAsia="Times New Roman" w:cs="Times New Roman"/>
          <w:color w:val="000000" w:themeColor="text1"/>
          <w:lang w:eastAsia="nl-NL"/>
        </w:rPr>
        <w:t>ernstig verwijtbaar handelen van de werkgever</w:t>
      </w:r>
      <w:r w:rsidR="00185C60">
        <w:rPr>
          <w:rFonts w:eastAsia="Times New Roman" w:cs="Times New Roman"/>
          <w:color w:val="000000" w:themeColor="text1"/>
          <w:lang w:eastAsia="nl-NL"/>
        </w:rPr>
        <w:t>’</w:t>
      </w:r>
      <w:r w:rsidRPr="007A600A">
        <w:rPr>
          <w:rFonts w:eastAsia="Times New Roman" w:cs="Times New Roman"/>
          <w:color w:val="000000"/>
          <w:lang w:eastAsia="nl-NL"/>
        </w:rPr>
        <w:t xml:space="preserve">. </w:t>
      </w:r>
      <w:r w:rsidR="00185C60">
        <w:rPr>
          <w:rFonts w:eastAsia="Times New Roman" w:cs="Times New Roman"/>
          <w:color w:val="000000"/>
          <w:lang w:eastAsia="nl-NL"/>
        </w:rPr>
        <w:t>Het</w:t>
      </w:r>
      <w:r>
        <w:rPr>
          <w:rFonts w:eastAsia="Times New Roman" w:cs="Times New Roman"/>
          <w:color w:val="000000"/>
          <w:lang w:eastAsia="nl-NL"/>
        </w:rPr>
        <w:t xml:space="preserve"> hoofdtopic is onderverdeel</w:t>
      </w:r>
      <w:r w:rsidR="001F4C48">
        <w:rPr>
          <w:rFonts w:eastAsia="Times New Roman" w:cs="Times New Roman"/>
          <w:color w:val="000000"/>
          <w:lang w:eastAsia="nl-NL"/>
        </w:rPr>
        <w:t>d</w:t>
      </w:r>
      <w:r>
        <w:rPr>
          <w:rFonts w:eastAsia="Times New Roman" w:cs="Times New Roman"/>
          <w:color w:val="000000"/>
          <w:lang w:eastAsia="nl-NL"/>
        </w:rPr>
        <w:t xml:space="preserve"> in subtopics</w:t>
      </w:r>
      <w:r w:rsidRPr="007A600A">
        <w:rPr>
          <w:rFonts w:eastAsia="Times New Roman" w:cs="Times New Roman"/>
          <w:color w:val="000000"/>
          <w:lang w:eastAsia="nl-NL"/>
        </w:rPr>
        <w:t xml:space="preserve">. </w:t>
      </w:r>
      <w:r w:rsidR="001F4C48" w:rsidRPr="007A600A">
        <w:rPr>
          <w:rFonts w:eastAsia="Times New Roman" w:cs="Times New Roman"/>
          <w:color w:val="000000"/>
          <w:lang w:eastAsia="nl-NL"/>
        </w:rPr>
        <w:t xml:space="preserve">Deze subtopics maken duidelijk </w:t>
      </w:r>
      <w:r w:rsidR="001F4C48">
        <w:rPr>
          <w:rFonts w:eastAsia="Times New Roman" w:cs="Times New Roman"/>
          <w:color w:val="000000"/>
          <w:lang w:eastAsia="nl-NL"/>
        </w:rPr>
        <w:t>welke belangrijke punten ik ben tegengekomen tijdens</w:t>
      </w:r>
      <w:r w:rsidR="001F4C48" w:rsidRPr="007A600A">
        <w:rPr>
          <w:rFonts w:eastAsia="Times New Roman" w:cs="Times New Roman"/>
          <w:color w:val="000000"/>
          <w:lang w:eastAsia="nl-NL"/>
        </w:rPr>
        <w:t xml:space="preserve"> het lezen van de uitspraken</w:t>
      </w:r>
      <w:r w:rsidRPr="007A600A">
        <w:rPr>
          <w:rFonts w:eastAsia="Times New Roman" w:cs="Times New Roman"/>
          <w:color w:val="000000"/>
          <w:lang w:eastAsia="nl-NL"/>
        </w:rPr>
        <w:t xml:space="preserve">.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p>
    <w:p w:rsidR="004F1E96" w:rsidRDefault="007243BC"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r>
        <w:rPr>
          <w:rFonts w:eastAsia="Times New Roman" w:cs="Times New Roman"/>
          <w:color w:val="000000"/>
          <w:lang w:eastAsia="nl-NL"/>
        </w:rPr>
        <w:t xml:space="preserve">De </w:t>
      </w:r>
      <w:r w:rsidR="000B2C61">
        <w:rPr>
          <w:rFonts w:eastAsia="Times New Roman" w:cs="Times New Roman"/>
          <w:color w:val="000000"/>
          <w:lang w:eastAsia="nl-NL"/>
        </w:rPr>
        <w:t>subtopics</w:t>
      </w:r>
      <w:r>
        <w:rPr>
          <w:rFonts w:eastAsia="Times New Roman" w:cs="Times New Roman"/>
          <w:color w:val="000000"/>
          <w:lang w:eastAsia="nl-NL"/>
        </w:rPr>
        <w:t xml:space="preserve"> zijn geselecteerd aan de hand van uitspraken waarin de kantonrechters de billijke vergoeding afwij</w:t>
      </w:r>
      <w:r w:rsidR="00185C60">
        <w:rPr>
          <w:rFonts w:eastAsia="Times New Roman" w:cs="Times New Roman"/>
          <w:color w:val="000000"/>
          <w:lang w:eastAsia="nl-NL"/>
        </w:rPr>
        <w:t>zen</w:t>
      </w:r>
      <w:r>
        <w:rPr>
          <w:rFonts w:eastAsia="Times New Roman" w:cs="Times New Roman"/>
          <w:color w:val="000000"/>
          <w:lang w:eastAsia="nl-NL"/>
        </w:rPr>
        <w:t xml:space="preserve"> omdat er geen sprake is van ernstig verwijtbaar handelen van de werkgever. Door mijn analyse op te splitsen in </w:t>
      </w:r>
      <w:r w:rsidR="000B2C61">
        <w:rPr>
          <w:rFonts w:eastAsia="Times New Roman" w:cs="Times New Roman"/>
          <w:color w:val="000000"/>
          <w:lang w:eastAsia="nl-NL"/>
        </w:rPr>
        <w:t>subtopics</w:t>
      </w:r>
      <w:r>
        <w:rPr>
          <w:rFonts w:eastAsia="Times New Roman" w:cs="Times New Roman"/>
          <w:color w:val="000000"/>
          <w:lang w:eastAsia="nl-NL"/>
        </w:rPr>
        <w:t xml:space="preserve"> zal het onderzoek makkelijker leesbaar zijn. </w:t>
      </w:r>
    </w:p>
    <w:p w:rsidR="007243BC" w:rsidRDefault="007243BC"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r>
        <w:rPr>
          <w:rFonts w:eastAsia="Times New Roman" w:cs="Times New Roman"/>
          <w:color w:val="000000"/>
          <w:lang w:eastAsia="nl-NL"/>
        </w:rPr>
        <w:t xml:space="preserve">De conclusies worden uitgetypt per </w:t>
      </w:r>
      <w:r w:rsidR="000B2C61">
        <w:rPr>
          <w:rFonts w:eastAsia="Times New Roman" w:cs="Times New Roman"/>
          <w:color w:val="000000"/>
          <w:lang w:eastAsia="nl-NL"/>
        </w:rPr>
        <w:t>subtopic</w:t>
      </w:r>
      <w:r>
        <w:rPr>
          <w:rFonts w:eastAsia="Times New Roman" w:cs="Times New Roman"/>
          <w:color w:val="000000"/>
          <w:lang w:eastAsia="nl-NL"/>
        </w:rPr>
        <w:t xml:space="preserve">, </w:t>
      </w:r>
      <w:r w:rsidR="00185C60">
        <w:rPr>
          <w:rFonts w:eastAsia="Times New Roman" w:cs="Times New Roman"/>
          <w:color w:val="000000"/>
          <w:lang w:eastAsia="nl-NL"/>
        </w:rPr>
        <w:t>en er</w:t>
      </w:r>
      <w:r>
        <w:rPr>
          <w:rFonts w:eastAsia="Times New Roman" w:cs="Times New Roman"/>
          <w:color w:val="000000"/>
          <w:lang w:eastAsia="nl-NL"/>
        </w:rPr>
        <w:t xml:space="preserve"> zal ook verwezen worden naar de tabellen die hieronder te vinden zijn. </w:t>
      </w: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Fonts w:eastAsia="Times New Roman" w:cs="Times New Roman"/>
          <w:color w:val="000000"/>
          <w:lang w:eastAsia="nl-NL"/>
        </w:rPr>
      </w:pPr>
    </w:p>
    <w:p w:rsidR="00825227" w:rsidRDefault="0033492D"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r>
        <w:rPr>
          <w:rFonts w:eastAsia="Times New Roman" w:cs="Times New Roman"/>
          <w:color w:val="000000"/>
          <w:lang w:eastAsia="nl-NL"/>
        </w:rPr>
        <w:t xml:space="preserve">Op deze manier kan ik een overzichtelijke analyse maken van wanneer </w:t>
      </w:r>
      <w:r w:rsidR="00915A95">
        <w:rPr>
          <w:rFonts w:eastAsia="Times New Roman" w:cs="Times New Roman"/>
          <w:color w:val="000000"/>
          <w:lang w:eastAsia="nl-NL"/>
        </w:rPr>
        <w:t>de</w:t>
      </w:r>
      <w:r>
        <w:rPr>
          <w:rFonts w:eastAsia="Times New Roman" w:cs="Times New Roman"/>
          <w:color w:val="000000"/>
          <w:lang w:eastAsia="nl-NL"/>
        </w:rPr>
        <w:t xml:space="preserve"> rechtspraak het gedrag van de werkgever </w:t>
      </w:r>
      <w:r w:rsidR="001F4C48">
        <w:rPr>
          <w:rFonts w:eastAsia="Times New Roman" w:cs="Times New Roman"/>
          <w:color w:val="000000"/>
          <w:lang w:eastAsia="nl-NL"/>
        </w:rPr>
        <w:t xml:space="preserve">niet </w:t>
      </w:r>
      <w:r>
        <w:rPr>
          <w:rFonts w:eastAsia="Times New Roman" w:cs="Times New Roman"/>
          <w:color w:val="000000"/>
          <w:lang w:eastAsia="nl-NL"/>
        </w:rPr>
        <w:t xml:space="preserve">als ernstig verwijtbaar kwalificeert </w:t>
      </w:r>
      <w:r w:rsidR="001F4C48">
        <w:rPr>
          <w:rFonts w:eastAsia="Times New Roman" w:cs="Times New Roman"/>
          <w:color w:val="000000"/>
          <w:lang w:eastAsia="nl-NL"/>
        </w:rPr>
        <w:t>en de billijke vergoeding aan de werknemer afwijst</w:t>
      </w:r>
      <w:r>
        <w:rPr>
          <w:rFonts w:eastAsia="Times New Roman" w:cs="Times New Roman"/>
          <w:color w:val="000000"/>
          <w:lang w:eastAsia="nl-NL"/>
        </w:rPr>
        <w:t xml:space="preserve">. Ik probeer zoveel mogelijk uitspraken </w:t>
      </w:r>
      <w:r w:rsidR="00915A95">
        <w:rPr>
          <w:rFonts w:eastAsia="Times New Roman" w:cs="Times New Roman"/>
          <w:color w:val="000000"/>
          <w:lang w:eastAsia="nl-NL"/>
        </w:rPr>
        <w:t xml:space="preserve">bij het beantwoorden van deze deelvraag </w:t>
      </w:r>
      <w:r>
        <w:rPr>
          <w:rFonts w:eastAsia="Times New Roman" w:cs="Times New Roman"/>
          <w:color w:val="000000"/>
          <w:lang w:eastAsia="nl-NL"/>
        </w:rPr>
        <w:t xml:space="preserve">te betrekken. </w:t>
      </w:r>
      <w:r w:rsidR="00E87052">
        <w:rPr>
          <w:rFonts w:eastAsia="Times New Roman" w:cs="Times New Roman"/>
          <w:color w:val="000000"/>
          <w:lang w:eastAsia="nl-NL"/>
        </w:rPr>
        <w:t>Hoe meer uitspraken</w:t>
      </w:r>
      <w:r w:rsidR="001F4C48">
        <w:rPr>
          <w:rFonts w:eastAsia="Times New Roman" w:cs="Times New Roman"/>
          <w:color w:val="000000"/>
          <w:lang w:eastAsia="nl-NL"/>
        </w:rPr>
        <w:t xml:space="preserve"> bij het beantwoorden van deze deelvraag</w:t>
      </w:r>
      <w:r w:rsidR="00E87052" w:rsidRPr="00E87052">
        <w:rPr>
          <w:rFonts w:eastAsia="Times New Roman" w:cs="Times New Roman"/>
          <w:color w:val="000000"/>
          <w:lang w:eastAsia="nl-NL"/>
        </w:rPr>
        <w:t xml:space="preserve"> </w:t>
      </w:r>
      <w:r w:rsidR="00E87052">
        <w:rPr>
          <w:rFonts w:eastAsia="Times New Roman" w:cs="Times New Roman"/>
          <w:color w:val="000000"/>
          <w:lang w:eastAsia="nl-NL"/>
        </w:rPr>
        <w:t>worden betrokken</w:t>
      </w:r>
      <w:r w:rsidR="001F4C48">
        <w:rPr>
          <w:rFonts w:eastAsia="Times New Roman" w:cs="Times New Roman"/>
          <w:color w:val="000000"/>
          <w:lang w:eastAsia="nl-NL"/>
        </w:rPr>
        <w:t>, des te beter</w:t>
      </w:r>
      <w:r>
        <w:rPr>
          <w:rFonts w:eastAsia="Times New Roman" w:cs="Times New Roman"/>
          <w:color w:val="000000"/>
          <w:lang w:eastAsia="nl-NL"/>
        </w:rPr>
        <w:t xml:space="preserve"> </w:t>
      </w:r>
      <w:r w:rsidR="001F4C48">
        <w:rPr>
          <w:rFonts w:eastAsia="Times New Roman" w:cs="Times New Roman"/>
          <w:color w:val="000000"/>
          <w:lang w:eastAsia="nl-NL"/>
        </w:rPr>
        <w:t xml:space="preserve">en waardevoller </w:t>
      </w:r>
      <w:r w:rsidR="00915A95">
        <w:rPr>
          <w:rFonts w:eastAsia="Times New Roman" w:cs="Times New Roman"/>
          <w:color w:val="000000"/>
          <w:lang w:eastAsia="nl-NL"/>
        </w:rPr>
        <w:t xml:space="preserve">is </w:t>
      </w:r>
      <w:r>
        <w:rPr>
          <w:rFonts w:eastAsia="Times New Roman" w:cs="Times New Roman"/>
          <w:color w:val="000000"/>
          <w:lang w:eastAsia="nl-NL"/>
        </w:rPr>
        <w:t xml:space="preserve">de kwaliteit van het onderzoek. </w:t>
      </w:r>
      <w:r w:rsidR="00950B0E">
        <w:rPr>
          <w:rFonts w:eastAsia="Times New Roman" w:cs="Times New Roman"/>
          <w:color w:val="000000"/>
          <w:lang w:eastAsia="nl-NL"/>
        </w:rPr>
        <w:t>In het eindproduct wil ik voor het beantwoorde</w:t>
      </w:r>
      <w:r w:rsidR="007243BC">
        <w:rPr>
          <w:rFonts w:eastAsia="Times New Roman" w:cs="Times New Roman"/>
          <w:color w:val="000000"/>
          <w:lang w:eastAsia="nl-NL"/>
        </w:rPr>
        <w:t xml:space="preserve">n van </w:t>
      </w:r>
      <w:r w:rsidR="007243BC">
        <w:rPr>
          <w:rFonts w:eastAsia="Times New Roman" w:cs="Times New Roman"/>
          <w:color w:val="000000"/>
          <w:lang w:eastAsia="nl-NL"/>
        </w:rPr>
        <w:lastRenderedPageBreak/>
        <w:t>deze deelvraag tenminste 3</w:t>
      </w:r>
      <w:r w:rsidR="00950B0E">
        <w:rPr>
          <w:rFonts w:eastAsia="Times New Roman" w:cs="Times New Roman"/>
          <w:color w:val="000000"/>
          <w:lang w:eastAsia="nl-NL"/>
        </w:rPr>
        <w:t>0 uitspraken in dit onderzoek</w:t>
      </w:r>
      <w:r w:rsidR="00E87052" w:rsidRPr="00E87052">
        <w:rPr>
          <w:rFonts w:eastAsia="Times New Roman" w:cs="Times New Roman"/>
          <w:color w:val="000000"/>
          <w:lang w:eastAsia="nl-NL"/>
        </w:rPr>
        <w:t xml:space="preserve"> </w:t>
      </w:r>
      <w:r w:rsidR="00E87052">
        <w:rPr>
          <w:rFonts w:eastAsia="Times New Roman" w:cs="Times New Roman"/>
          <w:color w:val="000000"/>
          <w:lang w:eastAsia="nl-NL"/>
        </w:rPr>
        <w:t>betrekken</w:t>
      </w:r>
      <w:r w:rsidR="00950B0E">
        <w:rPr>
          <w:rFonts w:eastAsia="Times New Roman" w:cs="Times New Roman"/>
          <w:color w:val="000000"/>
          <w:lang w:eastAsia="nl-NL"/>
        </w:rPr>
        <w:t xml:space="preserve">. </w:t>
      </w:r>
      <w:r w:rsidRPr="00AB2AB7">
        <w:rPr>
          <w:color w:val="000000"/>
        </w:rPr>
        <w:t xml:space="preserve">Door het analyseren van de relevante wetsartikelen behoud ik de betrouwbaarheid, omdat ik dan voor de validiteit genoeg uitspraken heb </w:t>
      </w:r>
      <w:r w:rsidR="00915A95">
        <w:rPr>
          <w:color w:val="000000"/>
        </w:rPr>
        <w:t>gebruikt</w:t>
      </w:r>
      <w:r w:rsidRPr="00AB2AB7">
        <w:rPr>
          <w:color w:val="000000"/>
        </w:rPr>
        <w:t xml:space="preserve"> om een conclusie te trekken. </w:t>
      </w:r>
      <w:r w:rsidR="00F071BE" w:rsidRPr="00AB2AB7">
        <w:rPr>
          <w:color w:val="000000"/>
        </w:rPr>
        <w:t xml:space="preserve">De kwaliteit wordt gewaarborgd </w:t>
      </w:r>
      <w:r w:rsidR="00915A95">
        <w:rPr>
          <w:color w:val="000000"/>
        </w:rPr>
        <w:t>door</w:t>
      </w:r>
      <w:r w:rsidR="00F071BE" w:rsidRPr="00AB2AB7">
        <w:rPr>
          <w:color w:val="000000"/>
        </w:rPr>
        <w:t>dat de jurisprudentie een eerlijk beeld laat zien van de praktijk.</w:t>
      </w: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tbl>
      <w:tblPr>
        <w:tblStyle w:val="Tabelraster"/>
        <w:tblW w:w="0" w:type="auto"/>
        <w:jc w:val="center"/>
        <w:tblLook w:val="04A0" w:firstRow="1" w:lastRow="0" w:firstColumn="1" w:lastColumn="0" w:noHBand="0" w:noVBand="1"/>
      </w:tblPr>
      <w:tblGrid>
        <w:gridCol w:w="5867"/>
      </w:tblGrid>
      <w:tr w:rsidR="00A269DD" w:rsidTr="00DC2755">
        <w:trPr>
          <w:trHeight w:val="540"/>
          <w:jc w:val="center"/>
        </w:trPr>
        <w:tc>
          <w:tcPr>
            <w:tcW w:w="5867" w:type="dxa"/>
          </w:tcPr>
          <w:p w:rsidR="00A269DD" w:rsidRPr="00681BFF" w:rsidRDefault="00A269DD"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center"/>
              <w:rPr>
                <w:b/>
                <w:spacing w:val="-3"/>
                <w:lang w:eastAsia="nl-NL"/>
              </w:rPr>
            </w:pPr>
            <w:r w:rsidRPr="00681BFF">
              <w:rPr>
                <w:b/>
                <w:spacing w:val="-3"/>
                <w:lang w:eastAsia="nl-NL"/>
              </w:rPr>
              <w:t>Hoofdtopic</w:t>
            </w:r>
          </w:p>
        </w:tc>
      </w:tr>
      <w:tr w:rsidR="00C7656C" w:rsidTr="00DC2755">
        <w:trPr>
          <w:trHeight w:val="540"/>
          <w:jc w:val="center"/>
        </w:trPr>
        <w:tc>
          <w:tcPr>
            <w:tcW w:w="5867" w:type="dxa"/>
          </w:tcPr>
          <w:p w:rsidR="00C7656C" w:rsidRPr="00761935" w:rsidRDefault="00681BFF"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eastAsia="Times New Roman" w:cs="Times New Roman"/>
                <w:color w:val="000000" w:themeColor="text1"/>
                <w:lang w:eastAsia="nl-NL"/>
              </w:rPr>
            </w:pPr>
            <w:r>
              <w:rPr>
                <w:rFonts w:eastAsia="Times New Roman" w:cs="Times New Roman"/>
                <w:color w:val="000000" w:themeColor="text1"/>
                <w:lang w:eastAsia="nl-NL"/>
              </w:rPr>
              <w:t>N</w:t>
            </w:r>
            <w:r w:rsidR="00C7656C" w:rsidRPr="00761935">
              <w:rPr>
                <w:rFonts w:eastAsia="Times New Roman" w:cs="Times New Roman"/>
                <w:color w:val="000000" w:themeColor="text1"/>
                <w:lang w:eastAsia="nl-NL"/>
              </w:rPr>
              <w:t>iet gekwalificeerd als ernstig verwijtbaar handelen van de werkgever</w:t>
            </w:r>
          </w:p>
        </w:tc>
      </w:tr>
      <w:tr w:rsidR="00980B62" w:rsidTr="00DC2755">
        <w:trPr>
          <w:trHeight w:val="520"/>
          <w:jc w:val="center"/>
        </w:trPr>
        <w:tc>
          <w:tcPr>
            <w:tcW w:w="5867" w:type="dxa"/>
          </w:tcPr>
          <w:p w:rsidR="00980B62" w:rsidRPr="00681BFF" w:rsidRDefault="00681BFF"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center"/>
              <w:rPr>
                <w:b/>
                <w:spacing w:val="-3"/>
                <w:lang w:eastAsia="nl-NL"/>
              </w:rPr>
            </w:pPr>
            <w:r>
              <w:rPr>
                <w:b/>
                <w:spacing w:val="-3"/>
                <w:lang w:eastAsia="nl-NL"/>
              </w:rPr>
              <w:t>Sub</w:t>
            </w:r>
            <w:r w:rsidR="00980B62" w:rsidRPr="00681BFF">
              <w:rPr>
                <w:b/>
                <w:spacing w:val="-3"/>
                <w:lang w:eastAsia="nl-NL"/>
              </w:rPr>
              <w:t>topics</w:t>
            </w:r>
          </w:p>
        </w:tc>
      </w:tr>
      <w:tr w:rsidR="00C7656C" w:rsidTr="00DC2755">
        <w:trPr>
          <w:trHeight w:val="520"/>
          <w:jc w:val="center"/>
        </w:trPr>
        <w:tc>
          <w:tcPr>
            <w:tcW w:w="5867" w:type="dxa"/>
          </w:tcPr>
          <w:p w:rsidR="00C7656C" w:rsidRDefault="00044D54"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lang w:eastAsia="nl-NL"/>
              </w:rPr>
            </w:pPr>
            <w:r>
              <w:rPr>
                <w:spacing w:val="-3"/>
                <w:lang w:eastAsia="nl-NL"/>
              </w:rPr>
              <w:t>Gedrag/omstandigheden werkgever</w:t>
            </w:r>
            <w:r w:rsidR="00C7656C">
              <w:rPr>
                <w:spacing w:val="-3"/>
                <w:lang w:eastAsia="nl-NL"/>
              </w:rPr>
              <w:t xml:space="preserve"> </w:t>
            </w:r>
            <w:r w:rsidR="00C7656C">
              <w:rPr>
                <w:rStyle w:val="Voetnootmarkering"/>
                <w:spacing w:val="-3"/>
                <w:lang w:eastAsia="nl-NL"/>
              </w:rPr>
              <w:footnoteReference w:id="16"/>
            </w:r>
          </w:p>
        </w:tc>
      </w:tr>
      <w:tr w:rsidR="00C7656C" w:rsidTr="00DC2755">
        <w:trPr>
          <w:trHeight w:val="540"/>
          <w:jc w:val="center"/>
        </w:trPr>
        <w:tc>
          <w:tcPr>
            <w:tcW w:w="5867" w:type="dxa"/>
          </w:tcPr>
          <w:p w:rsidR="00C7656C" w:rsidRDefault="00783C3B"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lang w:eastAsia="nl-NL"/>
              </w:rPr>
            </w:pPr>
            <w:r>
              <w:rPr>
                <w:spacing w:val="-3"/>
                <w:lang w:eastAsia="nl-NL"/>
              </w:rPr>
              <w:t>Verwijtbaar maar niet ernstig verwijtbaar</w:t>
            </w:r>
            <w:r w:rsidR="00C7656C">
              <w:rPr>
                <w:spacing w:val="-3"/>
                <w:lang w:eastAsia="nl-NL"/>
              </w:rPr>
              <w:t xml:space="preserve"> </w:t>
            </w:r>
            <w:r w:rsidR="00C7656C">
              <w:rPr>
                <w:rStyle w:val="Voetnootmarkering"/>
                <w:spacing w:val="-3"/>
                <w:lang w:eastAsia="nl-NL"/>
              </w:rPr>
              <w:footnoteReference w:id="17"/>
            </w:r>
          </w:p>
        </w:tc>
      </w:tr>
      <w:tr w:rsidR="00DC2755" w:rsidTr="00DC2755">
        <w:trPr>
          <w:trHeight w:val="673"/>
          <w:jc w:val="center"/>
        </w:trPr>
        <w:tc>
          <w:tcPr>
            <w:tcW w:w="5867" w:type="dxa"/>
          </w:tcPr>
          <w:p w:rsidR="00DC2755" w:rsidRDefault="00DC2755"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lang w:eastAsia="nl-NL"/>
              </w:rPr>
            </w:pPr>
            <w:r>
              <w:rPr>
                <w:rStyle w:val="apple-converted-space"/>
                <w:color w:val="000000"/>
                <w:shd w:val="clear" w:color="auto" w:fill="FFFFFF"/>
              </w:rPr>
              <w:t xml:space="preserve">Gedrag/omstandigheden werknemer </w:t>
            </w:r>
            <w:r>
              <w:rPr>
                <w:rStyle w:val="Voetnootmarkering"/>
                <w:color w:val="000000"/>
                <w:shd w:val="clear" w:color="auto" w:fill="FFFFFF"/>
              </w:rPr>
              <w:footnoteReference w:id="18"/>
            </w:r>
          </w:p>
        </w:tc>
      </w:tr>
      <w:tr w:rsidR="00DC2755" w:rsidTr="00DC2755">
        <w:trPr>
          <w:trHeight w:val="649"/>
          <w:jc w:val="center"/>
        </w:trPr>
        <w:tc>
          <w:tcPr>
            <w:tcW w:w="5867" w:type="dxa"/>
          </w:tcPr>
          <w:p w:rsidR="00DC2755" w:rsidRDefault="007A43BD"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lang w:eastAsia="nl-NL"/>
              </w:rPr>
            </w:pPr>
            <w:r>
              <w:rPr>
                <w:spacing w:val="-3"/>
                <w:lang w:eastAsia="nl-NL"/>
              </w:rPr>
              <w:t>Ernstig verwijtba</w:t>
            </w:r>
            <w:r w:rsidR="00DC2755">
              <w:rPr>
                <w:spacing w:val="-3"/>
                <w:lang w:eastAsia="nl-NL"/>
              </w:rPr>
              <w:t>r</w:t>
            </w:r>
            <w:r>
              <w:rPr>
                <w:spacing w:val="-3"/>
                <w:lang w:eastAsia="nl-NL"/>
              </w:rPr>
              <w:t>e</w:t>
            </w:r>
            <w:r w:rsidR="00DC2755">
              <w:rPr>
                <w:spacing w:val="-3"/>
                <w:lang w:eastAsia="nl-NL"/>
              </w:rPr>
              <w:t xml:space="preserve"> handeling is niet vast komen te staan </w:t>
            </w:r>
            <w:r w:rsidR="00DC2755">
              <w:rPr>
                <w:rStyle w:val="Voetnootmarkering"/>
                <w:spacing w:val="-3"/>
                <w:lang w:eastAsia="nl-NL"/>
              </w:rPr>
              <w:footnoteReference w:id="19"/>
            </w:r>
          </w:p>
        </w:tc>
      </w:tr>
    </w:tbl>
    <w:p w:rsidR="00DC2755" w:rsidRDefault="00DC2755"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AC0F51" w:rsidRPr="00AC0F51" w:rsidRDefault="003E0C3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ja-JP"/>
        </w:rPr>
      </w:pPr>
      <w:r w:rsidRPr="00AC0F51">
        <w:rPr>
          <w:spacing w:val="-3"/>
          <w:lang w:eastAsia="ja-JP"/>
        </w:rPr>
        <w:t xml:space="preserve">Tijdens het </w:t>
      </w:r>
      <w:r>
        <w:rPr>
          <w:spacing w:val="-3"/>
          <w:lang w:eastAsia="ja-JP"/>
        </w:rPr>
        <w:t xml:space="preserve">onderzoek naar het antwoord op deze deelvraag, zijn er een aantal </w:t>
      </w:r>
      <w:r w:rsidR="00E87052">
        <w:rPr>
          <w:spacing w:val="-3"/>
          <w:lang w:eastAsia="ja-JP"/>
        </w:rPr>
        <w:t xml:space="preserve">oorspronkelijke </w:t>
      </w:r>
      <w:r>
        <w:rPr>
          <w:spacing w:val="-3"/>
          <w:lang w:eastAsia="ja-JP"/>
        </w:rPr>
        <w:t xml:space="preserve">subtopics verwijderd omdat de arresten beter passen onder de subtopics die hierboven staan. </w:t>
      </w:r>
      <w:r w:rsidR="00AC0F51">
        <w:rPr>
          <w:spacing w:val="-3"/>
          <w:lang w:eastAsia="ja-JP"/>
        </w:rPr>
        <w:t xml:space="preserve">Dit maakt het rapport nog overzichtelijker en duidelijker. </w:t>
      </w:r>
    </w:p>
    <w:p w:rsidR="00607C92" w:rsidRDefault="00607C92" w:rsidP="008E3A78">
      <w:pPr>
        <w:tabs>
          <w:tab w:val="left" w:pos="-300"/>
        </w:tabs>
        <w:spacing w:after="0" w:line="360" w:lineRule="auto"/>
        <w:ind w:right="-23"/>
        <w:rPr>
          <w:b/>
          <w:spacing w:val="-3"/>
          <w:lang w:eastAsia="nl-NL"/>
        </w:rPr>
      </w:pPr>
    </w:p>
    <w:p w:rsidR="003A1F83" w:rsidRDefault="003A1F83" w:rsidP="008E3A78">
      <w:pPr>
        <w:tabs>
          <w:tab w:val="left" w:pos="-300"/>
        </w:tabs>
        <w:spacing w:after="0" w:line="360" w:lineRule="auto"/>
        <w:ind w:right="-23"/>
        <w:rPr>
          <w:b/>
          <w:spacing w:val="-3"/>
          <w:lang w:eastAsia="nl-NL"/>
        </w:rPr>
      </w:pPr>
    </w:p>
    <w:p w:rsidR="003A1F83" w:rsidRDefault="003A1F83" w:rsidP="008E3A78">
      <w:pPr>
        <w:tabs>
          <w:tab w:val="left" w:pos="-300"/>
        </w:tabs>
        <w:spacing w:after="0" w:line="360" w:lineRule="auto"/>
        <w:ind w:right="-23"/>
        <w:rPr>
          <w:b/>
          <w:spacing w:val="-3"/>
          <w:lang w:eastAsia="nl-NL"/>
        </w:rPr>
      </w:pPr>
    </w:p>
    <w:p w:rsidR="00887B8B" w:rsidRDefault="00887B8B" w:rsidP="008E3A78">
      <w:pPr>
        <w:tabs>
          <w:tab w:val="left" w:pos="-300"/>
        </w:tabs>
        <w:spacing w:after="0" w:line="360" w:lineRule="auto"/>
        <w:ind w:right="-23"/>
        <w:rPr>
          <w:b/>
          <w:spacing w:val="-3"/>
          <w:lang w:eastAsia="nl-NL"/>
        </w:rPr>
      </w:pPr>
    </w:p>
    <w:p w:rsidR="00887B8B" w:rsidRDefault="00887B8B" w:rsidP="008E3A78">
      <w:pPr>
        <w:tabs>
          <w:tab w:val="left" w:pos="-300"/>
        </w:tabs>
        <w:spacing w:after="0" w:line="360" w:lineRule="auto"/>
        <w:ind w:right="-23"/>
        <w:rPr>
          <w:b/>
          <w:spacing w:val="-3"/>
          <w:lang w:eastAsia="nl-NL"/>
        </w:rPr>
      </w:pPr>
    </w:p>
    <w:p w:rsidR="00887B8B" w:rsidRDefault="00887B8B" w:rsidP="008E3A78">
      <w:pPr>
        <w:tabs>
          <w:tab w:val="left" w:pos="-300"/>
        </w:tabs>
        <w:spacing w:after="0" w:line="360" w:lineRule="auto"/>
        <w:ind w:right="-23"/>
        <w:rPr>
          <w:b/>
          <w:spacing w:val="-3"/>
          <w:lang w:eastAsia="nl-NL"/>
        </w:rPr>
      </w:pPr>
    </w:p>
    <w:p w:rsidR="00887B8B" w:rsidRDefault="00887B8B" w:rsidP="008E3A78">
      <w:pPr>
        <w:tabs>
          <w:tab w:val="left" w:pos="-300"/>
        </w:tabs>
        <w:spacing w:after="0" w:line="360" w:lineRule="auto"/>
        <w:ind w:right="-23"/>
        <w:rPr>
          <w:b/>
          <w:spacing w:val="-3"/>
          <w:lang w:eastAsia="nl-NL"/>
        </w:rPr>
      </w:pPr>
    </w:p>
    <w:p w:rsidR="00887B8B" w:rsidRDefault="00887B8B"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p>
    <w:p w:rsidR="002A6C27" w:rsidRPr="002A6C27" w:rsidRDefault="002A6C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nl-NL"/>
        </w:rPr>
      </w:pPr>
      <w:r w:rsidRPr="002A6C27">
        <w:rPr>
          <w:b/>
          <w:spacing w:val="-3"/>
          <w:lang w:eastAsia="nl-NL"/>
        </w:rPr>
        <w:t xml:space="preserve">Deelvraag 6: </w:t>
      </w:r>
      <w:r w:rsidR="008041FB" w:rsidRPr="004C512B">
        <w:rPr>
          <w:b/>
          <w:spacing w:val="-3"/>
          <w:lang w:eastAsia="nl-NL"/>
        </w:rPr>
        <w:t xml:space="preserve">Welke belangrijkste overwegingen hebben de </w:t>
      </w:r>
      <w:r w:rsidR="00681BFF" w:rsidRPr="004C512B">
        <w:rPr>
          <w:b/>
          <w:spacing w:val="-3"/>
          <w:lang w:eastAsia="nl-NL"/>
        </w:rPr>
        <w:t>kantonrechters bij</w:t>
      </w:r>
      <w:r w:rsidR="008041FB" w:rsidRPr="004C512B">
        <w:rPr>
          <w:b/>
          <w:spacing w:val="-3"/>
          <w:lang w:eastAsia="nl-NL"/>
        </w:rPr>
        <w:t xml:space="preserve"> het bepalen van de hoogte van de billijke vergoeding?</w:t>
      </w:r>
      <w:r w:rsidR="008041FB" w:rsidRPr="0021185D">
        <w:rPr>
          <w:spacing w:val="-3"/>
          <w:lang w:eastAsia="nl-NL"/>
        </w:rPr>
        <w:t xml:space="preserve">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520FCE" w:rsidRDefault="00665F2A"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 xml:space="preserve">Deze deelvraag is van groot belang bij het beantwoorden van de centrale vraag. </w:t>
      </w:r>
      <w:r w:rsidR="00520FCE">
        <w:rPr>
          <w:spacing w:val="-3"/>
          <w:lang w:eastAsia="nl-NL"/>
        </w:rPr>
        <w:t xml:space="preserve">Het doel van deze deelvraag is om een helder beeld te krijgen van </w:t>
      </w:r>
      <w:r w:rsidR="00746AEA">
        <w:rPr>
          <w:spacing w:val="-3"/>
          <w:lang w:eastAsia="nl-NL"/>
        </w:rPr>
        <w:t>de wijze waarop</w:t>
      </w:r>
      <w:r w:rsidR="00520FCE">
        <w:rPr>
          <w:spacing w:val="-3"/>
          <w:lang w:eastAsia="nl-NL"/>
        </w:rPr>
        <w:t xml:space="preserve"> kantonrechters de hoogte van de billijke vergoeding bepalen. Als deze deelvraag effectief en betrouwbaar beantwoord wordt, dan zal </w:t>
      </w:r>
      <w:r w:rsidR="00746AEA">
        <w:rPr>
          <w:spacing w:val="-3"/>
          <w:lang w:eastAsia="nl-NL"/>
        </w:rPr>
        <w:t>daarmee</w:t>
      </w:r>
      <w:r w:rsidR="00520FCE">
        <w:rPr>
          <w:spacing w:val="-3"/>
          <w:lang w:eastAsia="nl-NL"/>
        </w:rPr>
        <w:t xml:space="preserve"> een groot deel v</w:t>
      </w:r>
      <w:r w:rsidR="00E72354">
        <w:rPr>
          <w:spacing w:val="-3"/>
          <w:lang w:eastAsia="nl-NL"/>
        </w:rPr>
        <w:t xml:space="preserve">an de centrale vraag </w:t>
      </w:r>
      <w:r w:rsidR="00746AEA">
        <w:rPr>
          <w:spacing w:val="-3"/>
          <w:lang w:eastAsia="nl-NL"/>
        </w:rPr>
        <w:t xml:space="preserve">worden </w:t>
      </w:r>
      <w:r w:rsidR="00E72354">
        <w:rPr>
          <w:spacing w:val="-3"/>
          <w:lang w:eastAsia="nl-NL"/>
        </w:rPr>
        <w:t>beantwoord</w:t>
      </w:r>
      <w:r w:rsidR="00520FCE">
        <w:rPr>
          <w:spacing w:val="-3"/>
          <w:lang w:eastAsia="nl-NL"/>
        </w:rPr>
        <w:t xml:space="preserve">.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DB610C" w:rsidRDefault="00520FCE"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Pr>
          <w:spacing w:val="-3"/>
          <w:lang w:eastAsia="nl-NL"/>
        </w:rPr>
        <w:t xml:space="preserve">Om deze deelvraag zo effectief en betrouwbaar </w:t>
      </w:r>
      <w:r w:rsidR="00746AEA">
        <w:rPr>
          <w:spacing w:val="-3"/>
          <w:lang w:eastAsia="nl-NL"/>
        </w:rPr>
        <w:t xml:space="preserve">mogelijk </w:t>
      </w:r>
      <w:r>
        <w:rPr>
          <w:spacing w:val="-3"/>
          <w:lang w:eastAsia="nl-NL"/>
        </w:rPr>
        <w:t xml:space="preserve">te beantwoorden zal er een uitgebreid jurisprudentieonderzoek </w:t>
      </w:r>
      <w:r w:rsidR="00E87052">
        <w:rPr>
          <w:spacing w:val="-3"/>
          <w:lang w:eastAsia="nl-NL"/>
        </w:rPr>
        <w:t xml:space="preserve">worden </w:t>
      </w:r>
      <w:r>
        <w:rPr>
          <w:spacing w:val="-3"/>
          <w:lang w:eastAsia="nl-NL"/>
        </w:rPr>
        <w:t xml:space="preserve">verricht. </w:t>
      </w:r>
      <w:r w:rsidR="00DB610C" w:rsidRPr="00942424">
        <w:t xml:space="preserve">Voor de validiteit en betrouwbaarheid van mijn antwoord op deze vraag zal ik een jurisprudentieonderzoek </w:t>
      </w:r>
      <w:r w:rsidR="00746AEA">
        <w:t>uitvoeren</w:t>
      </w:r>
      <w:r w:rsidR="00DB610C">
        <w:t xml:space="preserve"> waarbi</w:t>
      </w:r>
      <w:r w:rsidR="00995DAB">
        <w:t>j ik gebruik maak van minimaal 3</w:t>
      </w:r>
      <w:r w:rsidR="00DB610C">
        <w:t>0</w:t>
      </w:r>
      <w:r w:rsidR="00DB610C" w:rsidRPr="00942424">
        <w:t xml:space="preserve"> uitspraken. Deze </w:t>
      </w:r>
      <w:r w:rsidR="00995DAB">
        <w:t xml:space="preserve">30 </w:t>
      </w:r>
      <w:r w:rsidR="00DB610C" w:rsidRPr="00942424">
        <w:t xml:space="preserve">uitspraken zullen </w:t>
      </w:r>
      <w:r w:rsidR="00746AEA">
        <w:t>duidelijkheid</w:t>
      </w:r>
      <w:r w:rsidR="00DB610C" w:rsidRPr="00942424">
        <w:t xml:space="preserve"> geven van de </w:t>
      </w:r>
      <w:r w:rsidR="00DB610C">
        <w:t xml:space="preserve">overwegingen van kantonrechters bij het bepalen van de hoogte van de billijke vergoeding. Ik ga </w:t>
      </w:r>
      <w:r w:rsidR="00746AEA">
        <w:t>van</w:t>
      </w:r>
      <w:r w:rsidR="00DB610C">
        <w:t xml:space="preserve"> elke uitspraak de essentiële informatie in mijn onderzoek</w:t>
      </w:r>
      <w:r w:rsidR="00746AEA" w:rsidRPr="00746AEA">
        <w:t xml:space="preserve"> </w:t>
      </w:r>
      <w:r w:rsidR="00746AEA">
        <w:t>verwerken</w:t>
      </w:r>
      <w:r w:rsidR="00DB610C">
        <w:t xml:space="preserve">. Dit doe ik door de casussen goed te lezen en het vonnis kort en bondig samen te vatten. </w:t>
      </w:r>
    </w:p>
    <w:p w:rsidR="00825227" w:rsidRDefault="0082522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color w:val="000000"/>
        </w:rPr>
      </w:pPr>
    </w:p>
    <w:p w:rsidR="00E72354" w:rsidRPr="00E72354" w:rsidRDefault="00E72354"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color w:val="000000"/>
        </w:rPr>
      </w:pPr>
      <w:r>
        <w:rPr>
          <w:i/>
          <w:color w:val="000000"/>
        </w:rPr>
        <w:t xml:space="preserve">Analyseren </w:t>
      </w:r>
    </w:p>
    <w:p w:rsidR="00E72354" w:rsidRDefault="00E72354"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r>
        <w:rPr>
          <w:color w:val="000000"/>
        </w:rPr>
        <w:t xml:space="preserve">Om deze deelvraag zo betrouwbaar </w:t>
      </w:r>
      <w:r w:rsidR="00746AEA">
        <w:rPr>
          <w:color w:val="000000"/>
        </w:rPr>
        <w:t xml:space="preserve">mogelijk </w:t>
      </w:r>
      <w:r>
        <w:rPr>
          <w:color w:val="000000"/>
        </w:rPr>
        <w:t xml:space="preserve">te beantwoorden </w:t>
      </w:r>
      <w:r w:rsidR="00746AEA">
        <w:rPr>
          <w:color w:val="000000"/>
        </w:rPr>
        <w:t>doe</w:t>
      </w:r>
      <w:r>
        <w:rPr>
          <w:color w:val="000000"/>
        </w:rPr>
        <w:t xml:space="preserve"> ik een jurisprudentieonderzoek waarbij ik</w:t>
      </w:r>
      <w:r w:rsidR="00995DAB">
        <w:rPr>
          <w:color w:val="000000"/>
        </w:rPr>
        <w:t xml:space="preserve"> gebruik </w:t>
      </w:r>
      <w:r w:rsidR="00746AEA">
        <w:rPr>
          <w:color w:val="000000"/>
        </w:rPr>
        <w:t>maak</w:t>
      </w:r>
      <w:r w:rsidR="00995DAB">
        <w:rPr>
          <w:color w:val="000000"/>
        </w:rPr>
        <w:t xml:space="preserve"> van minimaal 3</w:t>
      </w:r>
      <w:r>
        <w:rPr>
          <w:color w:val="000000"/>
        </w:rPr>
        <w:t xml:space="preserve">0 uitspraken. In de uitspraken </w:t>
      </w:r>
      <w:r w:rsidR="00746AEA">
        <w:rPr>
          <w:color w:val="000000"/>
        </w:rPr>
        <w:t>ga</w:t>
      </w:r>
      <w:r>
        <w:rPr>
          <w:color w:val="000000"/>
        </w:rPr>
        <w:t xml:space="preserve"> ik met name op zoek naar de overwegingen die kantonrechters </w:t>
      </w:r>
      <w:r w:rsidR="00746AEA">
        <w:rPr>
          <w:color w:val="000000"/>
        </w:rPr>
        <w:t>hebben</w:t>
      </w:r>
      <w:r>
        <w:rPr>
          <w:color w:val="000000"/>
        </w:rPr>
        <w:t xml:space="preserve"> bij het bepalen van de hoogte van de billijke vergoeding. Volgens de literatuur en de wetgeving zal de kantonrechter </w:t>
      </w:r>
      <w:r w:rsidR="006734C3">
        <w:rPr>
          <w:color w:val="000000"/>
        </w:rPr>
        <w:t xml:space="preserve">bij het bepalen van </w:t>
      </w:r>
      <w:r>
        <w:rPr>
          <w:color w:val="000000"/>
        </w:rPr>
        <w:t xml:space="preserve">de hoogte van de billijke vergoeding </w:t>
      </w:r>
      <w:r w:rsidR="006734C3">
        <w:rPr>
          <w:color w:val="000000"/>
        </w:rPr>
        <w:t>rekening moeten houden met de uitzonderlijke omstandigheden van het geval</w:t>
      </w:r>
      <w:r w:rsidR="00E87052">
        <w:rPr>
          <w:color w:val="000000"/>
        </w:rPr>
        <w:t>.</w:t>
      </w:r>
      <w:r>
        <w:rPr>
          <w:color w:val="000000"/>
        </w:rPr>
        <w:t xml:space="preserve"> </w:t>
      </w:r>
      <w:r w:rsidR="006734C3">
        <w:rPr>
          <w:rStyle w:val="Voetnootmarkering"/>
          <w:color w:val="000000"/>
        </w:rPr>
        <w:footnoteReference w:id="20"/>
      </w:r>
      <w:r w:rsidR="006734C3">
        <w:rPr>
          <w:color w:val="000000"/>
        </w:rPr>
        <w:t xml:space="preserve"> Het is erg aantrekkelijk om te onderzoeken of kantonrechters wellicht stiekem toch de oude kantonrechtersformule gebruiken bij het bepalen van de hoogte</w:t>
      </w:r>
      <w:r w:rsidR="00746AEA">
        <w:rPr>
          <w:color w:val="000000"/>
        </w:rPr>
        <w:t xml:space="preserve"> van de vergoeding</w:t>
      </w:r>
      <w:r w:rsidR="006734C3">
        <w:rPr>
          <w:color w:val="000000"/>
        </w:rPr>
        <w:t xml:space="preserve">. Per uitspraak </w:t>
      </w:r>
      <w:r w:rsidR="00746AEA">
        <w:rPr>
          <w:color w:val="000000"/>
        </w:rPr>
        <w:t>wordt</w:t>
      </w:r>
      <w:r w:rsidR="006734C3">
        <w:rPr>
          <w:color w:val="000000"/>
        </w:rPr>
        <w:t xml:space="preserve"> gekeken worden naar alle omstandigheden met betrekk</w:t>
      </w:r>
      <w:r w:rsidR="00746AEA">
        <w:rPr>
          <w:color w:val="000000"/>
        </w:rPr>
        <w:t>ing</w:t>
      </w:r>
      <w:r w:rsidR="006734C3">
        <w:rPr>
          <w:color w:val="000000"/>
        </w:rPr>
        <w:t xml:space="preserve"> tot die specifieke zaak en er zal gekeken worden hoe hoog de billijke vergoeding is in relatie </w:t>
      </w:r>
      <w:r w:rsidR="00746AEA">
        <w:rPr>
          <w:color w:val="000000"/>
        </w:rPr>
        <w:t>tot</w:t>
      </w:r>
      <w:r w:rsidR="006734C3">
        <w:rPr>
          <w:color w:val="000000"/>
        </w:rPr>
        <w:t xml:space="preserve"> de omstandigheden. Wat niet onbelangrijk is, is </w:t>
      </w:r>
      <w:r w:rsidR="00746AEA">
        <w:rPr>
          <w:color w:val="000000"/>
        </w:rPr>
        <w:t>te</w:t>
      </w:r>
      <w:r w:rsidR="006734C3">
        <w:rPr>
          <w:color w:val="000000"/>
        </w:rPr>
        <w:t xml:space="preserve"> kijken naar de overwegingen die de kantonrechter </w:t>
      </w:r>
      <w:r w:rsidR="00746AEA">
        <w:rPr>
          <w:color w:val="000000"/>
        </w:rPr>
        <w:t>heeft</w:t>
      </w:r>
      <w:r w:rsidR="006734C3">
        <w:rPr>
          <w:color w:val="000000"/>
        </w:rPr>
        <w:t xml:space="preserve"> bij het bepalen van de hoogte van de billijke vergoeding. </w:t>
      </w:r>
    </w:p>
    <w:p w:rsidR="003A1F83" w:rsidRDefault="003A1F8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p w:rsidR="008F0818" w:rsidRDefault="006734C3"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r>
        <w:rPr>
          <w:color w:val="000000"/>
        </w:rPr>
        <w:t xml:space="preserve">Om mijn analyse </w:t>
      </w:r>
      <w:r w:rsidR="00746AEA">
        <w:rPr>
          <w:color w:val="000000"/>
        </w:rPr>
        <w:t xml:space="preserve">voor de lezer </w:t>
      </w:r>
      <w:r>
        <w:rPr>
          <w:color w:val="000000"/>
        </w:rPr>
        <w:t xml:space="preserve">zo </w:t>
      </w:r>
      <w:r w:rsidR="00746AEA">
        <w:rPr>
          <w:color w:val="000000"/>
        </w:rPr>
        <w:t>duidelijk</w:t>
      </w:r>
      <w:r>
        <w:rPr>
          <w:color w:val="000000"/>
        </w:rPr>
        <w:t xml:space="preserve"> </w:t>
      </w:r>
      <w:r w:rsidR="008F0818">
        <w:rPr>
          <w:color w:val="000000"/>
        </w:rPr>
        <w:t xml:space="preserve">mogelijk te maken, volgt er hieronder </w:t>
      </w:r>
      <w:r>
        <w:rPr>
          <w:color w:val="000000"/>
        </w:rPr>
        <w:t>een t</w:t>
      </w:r>
      <w:r w:rsidR="008F0818">
        <w:rPr>
          <w:color w:val="000000"/>
        </w:rPr>
        <w:t xml:space="preserve">opiclijst. De topics hebben als doel het onderzoek zo leesbaar mogelijk te maken. Om de topics </w:t>
      </w:r>
      <w:r w:rsidR="00746AEA">
        <w:rPr>
          <w:color w:val="000000"/>
        </w:rPr>
        <w:t xml:space="preserve">voor het beantwoorden van deze deelvraag </w:t>
      </w:r>
      <w:r w:rsidR="008F0818">
        <w:rPr>
          <w:color w:val="000000"/>
        </w:rPr>
        <w:t xml:space="preserve">te selecteren, heb ik veel jurisprudentie gelezen. In de voetnoten kunt u de uitspraken terugvinden die </w:t>
      </w:r>
      <w:r w:rsidR="00746AEA">
        <w:rPr>
          <w:color w:val="000000"/>
        </w:rPr>
        <w:t xml:space="preserve">bij het selecteren van topics </w:t>
      </w:r>
      <w:r w:rsidR="008F0818">
        <w:rPr>
          <w:color w:val="000000"/>
        </w:rPr>
        <w:t xml:space="preserve">zijn gebruikt. </w:t>
      </w:r>
    </w:p>
    <w:p w:rsidR="00825227" w:rsidRDefault="004974A7"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r w:rsidRPr="00AB2AB7">
        <w:rPr>
          <w:color w:val="000000"/>
        </w:rPr>
        <w:lastRenderedPageBreak/>
        <w:t>Door het analyseren van de relevante wetsartikelen behoud ik de betrouwbaarheid</w:t>
      </w:r>
      <w:r>
        <w:rPr>
          <w:color w:val="000000"/>
        </w:rPr>
        <w:t xml:space="preserve"> van het onderzoek. V</w:t>
      </w:r>
      <w:r w:rsidRPr="00AB2AB7">
        <w:rPr>
          <w:color w:val="000000"/>
        </w:rPr>
        <w:t xml:space="preserve">oor de validiteit </w:t>
      </w:r>
      <w:r>
        <w:rPr>
          <w:color w:val="000000"/>
        </w:rPr>
        <w:t xml:space="preserve">worden er </w:t>
      </w:r>
      <w:r w:rsidR="00746AEA">
        <w:rPr>
          <w:color w:val="000000"/>
        </w:rPr>
        <w:t xml:space="preserve">per deelvraag </w:t>
      </w:r>
      <w:r>
        <w:rPr>
          <w:color w:val="000000"/>
        </w:rPr>
        <w:t xml:space="preserve">30 </w:t>
      </w:r>
      <w:r w:rsidRPr="00AB2AB7">
        <w:rPr>
          <w:color w:val="000000"/>
        </w:rPr>
        <w:t>uitspraken be</w:t>
      </w:r>
      <w:r w:rsidR="00746AEA">
        <w:rPr>
          <w:color w:val="000000"/>
        </w:rPr>
        <w:t>studeerd</w:t>
      </w:r>
      <w:r w:rsidRPr="00AB2AB7">
        <w:rPr>
          <w:color w:val="000000"/>
        </w:rPr>
        <w:t xml:space="preserve">. De kwaliteit wordt gewaarborgd </w:t>
      </w:r>
      <w:r w:rsidR="00746AEA">
        <w:rPr>
          <w:color w:val="000000"/>
        </w:rPr>
        <w:t>door</w:t>
      </w:r>
      <w:r w:rsidRPr="00AB2AB7">
        <w:rPr>
          <w:color w:val="000000"/>
        </w:rPr>
        <w:t xml:space="preserve">dat de jurisprudentie een </w:t>
      </w:r>
      <w:r w:rsidR="00681BFF" w:rsidRPr="00AB2AB7">
        <w:rPr>
          <w:color w:val="000000"/>
        </w:rPr>
        <w:t>eerlijk</w:t>
      </w:r>
      <w:r w:rsidRPr="00AB2AB7">
        <w:rPr>
          <w:color w:val="000000"/>
        </w:rPr>
        <w:t xml:space="preserve"> beeld laat zien van de praktijk.</w:t>
      </w:r>
    </w:p>
    <w:p w:rsidR="00A16B8A" w:rsidRDefault="00A16B8A"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rPr>
      </w:pPr>
    </w:p>
    <w:tbl>
      <w:tblPr>
        <w:tblStyle w:val="Tabelraster"/>
        <w:tblW w:w="0" w:type="auto"/>
        <w:jc w:val="center"/>
        <w:tblLook w:val="04A0" w:firstRow="1" w:lastRow="0" w:firstColumn="1" w:lastColumn="0" w:noHBand="0" w:noVBand="1"/>
      </w:tblPr>
      <w:tblGrid>
        <w:gridCol w:w="7338"/>
      </w:tblGrid>
      <w:tr w:rsidR="005D1CDA" w:rsidTr="00D00B04">
        <w:trPr>
          <w:jc w:val="center"/>
        </w:trPr>
        <w:tc>
          <w:tcPr>
            <w:tcW w:w="7338" w:type="dxa"/>
          </w:tcPr>
          <w:p w:rsidR="005D1CDA" w:rsidRPr="00825227" w:rsidRDefault="005D1CDA"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center"/>
              <w:rPr>
                <w:b/>
                <w:color w:val="000000"/>
              </w:rPr>
            </w:pPr>
            <w:r w:rsidRPr="00825227">
              <w:rPr>
                <w:b/>
                <w:color w:val="000000"/>
              </w:rPr>
              <w:t>Hoofdtopic</w:t>
            </w:r>
          </w:p>
        </w:tc>
      </w:tr>
      <w:tr w:rsidR="00C7656C" w:rsidTr="00D00B04">
        <w:trPr>
          <w:jc w:val="center"/>
        </w:trPr>
        <w:tc>
          <w:tcPr>
            <w:tcW w:w="7338" w:type="dxa"/>
          </w:tcPr>
          <w:p w:rsidR="00C7656C" w:rsidRDefault="00C7656C"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rPr>
            </w:pPr>
            <w:r>
              <w:rPr>
                <w:color w:val="000000"/>
              </w:rPr>
              <w:t>Overwegingen bij het bepalen van de hoogte van de billijke vergoeding</w:t>
            </w:r>
          </w:p>
        </w:tc>
      </w:tr>
      <w:tr w:rsidR="009654A8" w:rsidTr="00D00B04">
        <w:trPr>
          <w:jc w:val="center"/>
        </w:trPr>
        <w:tc>
          <w:tcPr>
            <w:tcW w:w="7338" w:type="dxa"/>
          </w:tcPr>
          <w:p w:rsidR="009654A8" w:rsidRPr="00825227" w:rsidRDefault="00F92B8A"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center"/>
              <w:rPr>
                <w:b/>
                <w:color w:val="000000"/>
              </w:rPr>
            </w:pPr>
            <w:r w:rsidRPr="00825227">
              <w:rPr>
                <w:b/>
                <w:color w:val="000000"/>
              </w:rPr>
              <w:t>S</w:t>
            </w:r>
            <w:r w:rsidR="009654A8" w:rsidRPr="00825227">
              <w:rPr>
                <w:b/>
                <w:color w:val="000000"/>
              </w:rPr>
              <w:t>ub</w:t>
            </w:r>
            <w:r w:rsidR="00746AEA" w:rsidRPr="00825227">
              <w:rPr>
                <w:b/>
                <w:color w:val="000000"/>
              </w:rPr>
              <w:t>t</w:t>
            </w:r>
            <w:r w:rsidR="009654A8" w:rsidRPr="00825227">
              <w:rPr>
                <w:b/>
                <w:color w:val="000000"/>
              </w:rPr>
              <w:t>opics</w:t>
            </w:r>
          </w:p>
        </w:tc>
      </w:tr>
      <w:tr w:rsidR="00A16B8A" w:rsidTr="00D00B04">
        <w:trPr>
          <w:jc w:val="center"/>
        </w:trPr>
        <w:tc>
          <w:tcPr>
            <w:tcW w:w="7338" w:type="dxa"/>
          </w:tcPr>
          <w:p w:rsidR="00A16B8A" w:rsidRDefault="00A16B8A" w:rsidP="00887B8B">
            <w:pPr>
              <w:pStyle w:val="Geenafstand"/>
              <w:spacing w:line="360" w:lineRule="auto"/>
              <w:rPr>
                <w:color w:val="000000"/>
              </w:rPr>
            </w:pPr>
            <w:r>
              <w:t xml:space="preserve">Duur </w:t>
            </w:r>
            <w:r>
              <w:rPr>
                <w:rFonts w:eastAsia="MS Mincho" w:hint="eastAsia"/>
                <w:lang w:eastAsia="ja-JP"/>
              </w:rPr>
              <w:t>dienstverband</w:t>
            </w:r>
            <w:r>
              <w:t xml:space="preserve"> </w:t>
            </w:r>
            <w:r>
              <w:rPr>
                <w:rStyle w:val="Voetnootmarkering"/>
                <w:color w:val="000000"/>
              </w:rPr>
              <w:footnoteReference w:id="21"/>
            </w:r>
          </w:p>
        </w:tc>
      </w:tr>
      <w:tr w:rsidR="00A16B8A" w:rsidTr="00D00B04">
        <w:trPr>
          <w:jc w:val="center"/>
        </w:trPr>
        <w:tc>
          <w:tcPr>
            <w:tcW w:w="7338" w:type="dxa"/>
          </w:tcPr>
          <w:p w:rsidR="00A16B8A" w:rsidRDefault="00A16B8A" w:rsidP="00887B8B">
            <w:pPr>
              <w:pStyle w:val="Geenafstand"/>
              <w:spacing w:line="360" w:lineRule="auto"/>
              <w:rPr>
                <w:color w:val="000000"/>
              </w:rPr>
            </w:pPr>
            <w:r>
              <w:t>Punitief karakter</w:t>
            </w:r>
            <w:r>
              <w:rPr>
                <w:rFonts w:eastAsia="MS Mincho" w:hint="eastAsia"/>
                <w:lang w:eastAsia="ja-JP"/>
              </w:rPr>
              <w:t xml:space="preserve"> en de ernst van het ernstig verwijtbaar handelen</w:t>
            </w:r>
            <w:r>
              <w:t xml:space="preserve"> </w:t>
            </w:r>
            <w:r>
              <w:rPr>
                <w:rStyle w:val="Voetnootmarkering"/>
              </w:rPr>
              <w:footnoteReference w:id="22"/>
            </w:r>
          </w:p>
        </w:tc>
      </w:tr>
      <w:tr w:rsidR="00A16B8A" w:rsidTr="00D00B04">
        <w:trPr>
          <w:jc w:val="center"/>
        </w:trPr>
        <w:tc>
          <w:tcPr>
            <w:tcW w:w="7338" w:type="dxa"/>
          </w:tcPr>
          <w:p w:rsidR="00A16B8A" w:rsidRDefault="00A16B8A" w:rsidP="00887B8B">
            <w:pPr>
              <w:pStyle w:val="Geenafstand"/>
              <w:spacing w:line="360" w:lineRule="auto"/>
              <w:rPr>
                <w:color w:val="000000"/>
              </w:rPr>
            </w:pPr>
            <w:r>
              <w:rPr>
                <w:rFonts w:eastAsia="MS Mincho" w:hint="eastAsia"/>
                <w:lang w:eastAsia="ja-JP"/>
              </w:rPr>
              <w:t>Omstandigheden werknemer</w:t>
            </w:r>
            <w:r>
              <w:rPr>
                <w:rStyle w:val="Voetnootmarkering"/>
                <w:color w:val="000000"/>
              </w:rPr>
              <w:footnoteReference w:id="23"/>
            </w:r>
          </w:p>
        </w:tc>
      </w:tr>
      <w:tr w:rsidR="00A16B8A" w:rsidTr="00D00B04">
        <w:trPr>
          <w:trHeight w:val="471"/>
          <w:jc w:val="center"/>
        </w:trPr>
        <w:tc>
          <w:tcPr>
            <w:tcW w:w="7338" w:type="dxa"/>
          </w:tcPr>
          <w:p w:rsidR="00A16B8A" w:rsidRDefault="00A16B8A" w:rsidP="00887B8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rPr>
            </w:pPr>
            <w:r>
              <w:rPr>
                <w:rFonts w:eastAsia="MS Mincho" w:hint="eastAsia"/>
                <w:lang w:eastAsia="ja-JP"/>
              </w:rPr>
              <w:t>Omstandigheden werkgever</w:t>
            </w:r>
            <w:r w:rsidR="00097FAF">
              <w:rPr>
                <w:rStyle w:val="Voetnootmarkering"/>
                <w:rFonts w:eastAsia="MS Mincho"/>
                <w:lang w:eastAsia="ja-JP"/>
              </w:rPr>
              <w:footnoteReference w:id="24"/>
            </w:r>
          </w:p>
        </w:tc>
      </w:tr>
    </w:tbl>
    <w:p w:rsidR="00C2576F" w:rsidRDefault="00C2576F" w:rsidP="008E3A7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06357F" w:rsidRPr="00AC0F51" w:rsidRDefault="0006357F"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spacing w:val="-3"/>
          <w:lang w:eastAsia="ja-JP"/>
        </w:rPr>
      </w:pPr>
      <w:r w:rsidRPr="00AC0F51">
        <w:rPr>
          <w:spacing w:val="-3"/>
          <w:lang w:eastAsia="ja-JP"/>
        </w:rPr>
        <w:t xml:space="preserve">Tijdens het </w:t>
      </w:r>
      <w:r>
        <w:rPr>
          <w:spacing w:val="-3"/>
          <w:lang w:eastAsia="ja-JP"/>
        </w:rPr>
        <w:t xml:space="preserve">onderzoek naar het antwoord op deze deelvraag, zijn er een aantal </w:t>
      </w:r>
      <w:r w:rsidR="00E87052">
        <w:rPr>
          <w:spacing w:val="-3"/>
          <w:lang w:eastAsia="ja-JP"/>
        </w:rPr>
        <w:t xml:space="preserve">oorspronkelijke </w:t>
      </w:r>
      <w:r>
        <w:rPr>
          <w:spacing w:val="-3"/>
          <w:lang w:eastAsia="ja-JP"/>
        </w:rPr>
        <w:t>subtopics verwijder</w:t>
      </w:r>
      <w:r w:rsidR="003E0C33">
        <w:rPr>
          <w:spacing w:val="-3"/>
          <w:lang w:eastAsia="ja-JP"/>
        </w:rPr>
        <w:t>d</w:t>
      </w:r>
      <w:r>
        <w:rPr>
          <w:spacing w:val="-3"/>
          <w:lang w:eastAsia="ja-JP"/>
        </w:rPr>
        <w:t xml:space="preserve"> omdat de arresten beter passen onder de subtopics die hierboven staan. Dit maakt het rapport nog overzichtelijker en duidelijker. </w:t>
      </w:r>
    </w:p>
    <w:p w:rsidR="0006357F" w:rsidRDefault="0006357F"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887B8B" w:rsidRDefault="00887B8B" w:rsidP="00825227">
      <w:pPr>
        <w:pStyle w:val="Kop2"/>
        <w:spacing w:before="0" w:line="360" w:lineRule="auto"/>
        <w:rPr>
          <w:color w:val="auto"/>
          <w:sz w:val="24"/>
          <w:szCs w:val="24"/>
        </w:rPr>
      </w:pPr>
      <w:bookmarkStart w:id="6" w:name="_Toc472509263"/>
    </w:p>
    <w:p w:rsidR="00887B8B" w:rsidRDefault="00887B8B" w:rsidP="00825227">
      <w:pPr>
        <w:pStyle w:val="Kop2"/>
        <w:spacing w:before="0" w:line="360" w:lineRule="auto"/>
        <w:rPr>
          <w:color w:val="auto"/>
          <w:sz w:val="24"/>
          <w:szCs w:val="24"/>
        </w:rPr>
      </w:pPr>
    </w:p>
    <w:p w:rsidR="00887B8B" w:rsidRDefault="00887B8B" w:rsidP="00825227">
      <w:pPr>
        <w:pStyle w:val="Kop2"/>
        <w:spacing w:before="0" w:line="360" w:lineRule="auto"/>
        <w:rPr>
          <w:color w:val="auto"/>
          <w:sz w:val="24"/>
          <w:szCs w:val="24"/>
        </w:rPr>
      </w:pPr>
    </w:p>
    <w:p w:rsidR="00887B8B" w:rsidRDefault="00887B8B" w:rsidP="00825227">
      <w:pPr>
        <w:pStyle w:val="Kop2"/>
        <w:spacing w:before="0" w:line="360" w:lineRule="auto"/>
        <w:rPr>
          <w:color w:val="auto"/>
          <w:sz w:val="24"/>
          <w:szCs w:val="24"/>
        </w:rPr>
      </w:pPr>
    </w:p>
    <w:p w:rsidR="00887B8B" w:rsidRDefault="00887B8B" w:rsidP="00825227">
      <w:pPr>
        <w:pStyle w:val="Kop2"/>
        <w:spacing w:before="0" w:line="360" w:lineRule="auto"/>
        <w:rPr>
          <w:color w:val="auto"/>
          <w:sz w:val="24"/>
          <w:szCs w:val="24"/>
        </w:rPr>
      </w:pPr>
    </w:p>
    <w:p w:rsidR="00887B8B" w:rsidRDefault="00887B8B" w:rsidP="00825227">
      <w:pPr>
        <w:pStyle w:val="Kop2"/>
        <w:spacing w:before="0" w:line="360" w:lineRule="auto"/>
        <w:rPr>
          <w:color w:val="auto"/>
          <w:sz w:val="24"/>
          <w:szCs w:val="24"/>
        </w:rPr>
      </w:pPr>
    </w:p>
    <w:p w:rsidR="00887B8B" w:rsidRPr="00887B8B" w:rsidRDefault="00887B8B" w:rsidP="00887B8B"/>
    <w:p w:rsidR="00DB610C" w:rsidRPr="004E4AFA" w:rsidRDefault="004C512B" w:rsidP="00825227">
      <w:pPr>
        <w:pStyle w:val="Kop2"/>
        <w:spacing w:before="0" w:line="360" w:lineRule="auto"/>
        <w:rPr>
          <w:color w:val="auto"/>
          <w:spacing w:val="-3"/>
          <w:sz w:val="24"/>
          <w:szCs w:val="24"/>
          <w:lang w:eastAsia="nl-NL"/>
        </w:rPr>
      </w:pPr>
      <w:r w:rsidRPr="004E4AFA">
        <w:rPr>
          <w:color w:val="auto"/>
          <w:sz w:val="24"/>
          <w:szCs w:val="24"/>
        </w:rPr>
        <w:t xml:space="preserve">1.4 </w:t>
      </w:r>
      <w:r w:rsidR="00DB610C" w:rsidRPr="004E4AFA">
        <w:rPr>
          <w:color w:val="auto"/>
          <w:sz w:val="24"/>
          <w:szCs w:val="24"/>
        </w:rPr>
        <w:t>Operationaliseren van begrippen</w:t>
      </w:r>
      <w:bookmarkEnd w:id="6"/>
    </w:p>
    <w:p w:rsidR="00485257" w:rsidRPr="00825227" w:rsidRDefault="00485257" w:rsidP="00825227">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left="360" w:right="-23"/>
        <w:rPr>
          <w:b/>
          <w:spacing w:val="-3"/>
          <w:lang w:eastAsia="nl-NL"/>
        </w:rPr>
      </w:pPr>
    </w:p>
    <w:p w:rsidR="00D2673C" w:rsidRDefault="00D2673C" w:rsidP="00825227">
      <w:pPr>
        <w:pStyle w:val="Geenafstand"/>
        <w:spacing w:line="360" w:lineRule="auto"/>
        <w:ind w:left="2124" w:hanging="2124"/>
        <w:rPr>
          <w:lang w:eastAsia="nl-NL"/>
        </w:rPr>
      </w:pPr>
      <w:r>
        <w:rPr>
          <w:b/>
          <w:lang w:eastAsia="nl-NL"/>
        </w:rPr>
        <w:t xml:space="preserve">Overwegingen: </w:t>
      </w:r>
      <w:r w:rsidR="000570D8">
        <w:rPr>
          <w:b/>
          <w:lang w:eastAsia="nl-NL"/>
        </w:rPr>
        <w:tab/>
      </w:r>
      <w:r>
        <w:rPr>
          <w:lang w:eastAsia="nl-NL"/>
        </w:rPr>
        <w:t xml:space="preserve">In dit onderzoek wordt </w:t>
      </w:r>
      <w:r w:rsidR="000A731D">
        <w:rPr>
          <w:lang w:eastAsia="nl-NL"/>
        </w:rPr>
        <w:t xml:space="preserve">onder </w:t>
      </w:r>
      <w:r w:rsidRPr="000570D8">
        <w:rPr>
          <w:lang w:eastAsia="nl-NL"/>
        </w:rPr>
        <w:t>overwegingen</w:t>
      </w:r>
      <w:r>
        <w:rPr>
          <w:lang w:eastAsia="nl-NL"/>
        </w:rPr>
        <w:t xml:space="preserve"> verstaan: </w:t>
      </w:r>
      <w:r w:rsidR="00A66053">
        <w:rPr>
          <w:lang w:eastAsia="nl-NL"/>
        </w:rPr>
        <w:t>a</w:t>
      </w:r>
      <w:r>
        <w:rPr>
          <w:lang w:eastAsia="nl-NL"/>
        </w:rPr>
        <w:t xml:space="preserve">lle situaties, met </w:t>
      </w:r>
      <w:r w:rsidR="000570D8">
        <w:rPr>
          <w:lang w:eastAsia="nl-NL"/>
        </w:rPr>
        <w:t xml:space="preserve">betrekking </w:t>
      </w:r>
      <w:r>
        <w:rPr>
          <w:lang w:eastAsia="nl-NL"/>
        </w:rPr>
        <w:t xml:space="preserve">tot een zaak, die de kantonrechter betrekt bij het bepalen van de hoogte van de billijke vergoeding en of er al dan niet een billijke vergoeding wordt toegekend. </w:t>
      </w:r>
    </w:p>
    <w:p w:rsidR="008F0818" w:rsidRDefault="008F0818" w:rsidP="00825227">
      <w:pPr>
        <w:pStyle w:val="Geenafstand"/>
        <w:spacing w:line="360" w:lineRule="auto"/>
        <w:ind w:left="2124" w:hanging="2124"/>
        <w:rPr>
          <w:lang w:eastAsia="nl-NL"/>
        </w:rPr>
      </w:pPr>
      <w:r>
        <w:rPr>
          <w:b/>
          <w:lang w:eastAsia="nl-NL"/>
        </w:rPr>
        <w:t>Omstandigheden:</w:t>
      </w:r>
      <w:r>
        <w:rPr>
          <w:lang w:eastAsia="nl-NL"/>
        </w:rPr>
        <w:tab/>
        <w:t>In dit onderzoek word</w:t>
      </w:r>
      <w:r w:rsidR="00A66053">
        <w:rPr>
          <w:lang w:eastAsia="nl-NL"/>
        </w:rPr>
        <w:t xml:space="preserve">t </w:t>
      </w:r>
      <w:r w:rsidR="000A731D">
        <w:rPr>
          <w:lang w:eastAsia="nl-NL"/>
        </w:rPr>
        <w:t>onder</w:t>
      </w:r>
      <w:r w:rsidR="00A66053">
        <w:rPr>
          <w:lang w:eastAsia="nl-NL"/>
        </w:rPr>
        <w:t xml:space="preserve"> omstandigheden verstaan: a</w:t>
      </w:r>
      <w:r>
        <w:rPr>
          <w:lang w:eastAsia="nl-NL"/>
        </w:rPr>
        <w:t xml:space="preserve">lle omstandigheden die te maken hebben met de werkgever en de werknemer in een specifieke zaak. Denk daarbij bijvoorbeeld aan </w:t>
      </w:r>
      <w:r w:rsidR="000A731D">
        <w:rPr>
          <w:lang w:eastAsia="nl-NL"/>
        </w:rPr>
        <w:t>het aantal</w:t>
      </w:r>
      <w:r>
        <w:rPr>
          <w:lang w:eastAsia="nl-NL"/>
        </w:rPr>
        <w:t xml:space="preserve"> jaren van het </w:t>
      </w:r>
      <w:r w:rsidR="003E0C33">
        <w:rPr>
          <w:lang w:eastAsia="nl-NL"/>
        </w:rPr>
        <w:lastRenderedPageBreak/>
        <w:t>dienstverband</w:t>
      </w:r>
      <w:r>
        <w:rPr>
          <w:lang w:eastAsia="nl-NL"/>
        </w:rPr>
        <w:t xml:space="preserve">, leeftijd van de werknemer, </w:t>
      </w:r>
      <w:r w:rsidR="003E0C33">
        <w:rPr>
          <w:lang w:eastAsia="nl-NL"/>
        </w:rPr>
        <w:t>financiële</w:t>
      </w:r>
      <w:r>
        <w:rPr>
          <w:lang w:eastAsia="nl-NL"/>
        </w:rPr>
        <w:t xml:space="preserve"> situatie van de werkgever, etc. </w:t>
      </w:r>
    </w:p>
    <w:p w:rsidR="007E6428" w:rsidRDefault="007E6428">
      <w:pPr>
        <w:rPr>
          <w:b/>
          <w:color w:val="000000"/>
        </w:rPr>
      </w:pPr>
      <w:r>
        <w:rPr>
          <w:b/>
          <w:color w:val="000000"/>
        </w:rPr>
        <w:br w:type="page"/>
      </w:r>
    </w:p>
    <w:p w:rsidR="00FB67CA" w:rsidRPr="009A1473" w:rsidRDefault="00FB67CA" w:rsidP="004C512B">
      <w:pPr>
        <w:pStyle w:val="Kop1"/>
        <w:rPr>
          <w:color w:val="auto"/>
        </w:rPr>
      </w:pPr>
      <w:bookmarkStart w:id="7" w:name="_Toc472509264"/>
      <w:r w:rsidRPr="009A1473">
        <w:rPr>
          <w:color w:val="auto"/>
        </w:rPr>
        <w:lastRenderedPageBreak/>
        <w:t xml:space="preserve">Hoofdstuk </w:t>
      </w:r>
      <w:r w:rsidR="003E0C33" w:rsidRPr="009A1473">
        <w:rPr>
          <w:color w:val="auto"/>
        </w:rPr>
        <w:t>2:</w:t>
      </w:r>
      <w:r w:rsidRPr="009A1473">
        <w:rPr>
          <w:color w:val="auto"/>
        </w:rPr>
        <w:t xml:space="preserve"> Juridisch</w:t>
      </w:r>
      <w:r w:rsidR="00AE780F" w:rsidRPr="009A1473">
        <w:rPr>
          <w:color w:val="auto"/>
        </w:rPr>
        <w:t>e</w:t>
      </w:r>
      <w:r w:rsidRPr="009A1473">
        <w:rPr>
          <w:color w:val="auto"/>
        </w:rPr>
        <w:t xml:space="preserve"> kader</w:t>
      </w:r>
      <w:bookmarkEnd w:id="7"/>
    </w:p>
    <w:p w:rsidR="004C512B" w:rsidRDefault="004C512B" w:rsidP="0002391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i/>
          <w:spacing w:val="-3"/>
          <w:lang w:eastAsia="nl-NL"/>
        </w:rPr>
      </w:pPr>
    </w:p>
    <w:p w:rsidR="004E4AFA" w:rsidRPr="004E4AFA" w:rsidRDefault="00FB67CA" w:rsidP="004E4AFA">
      <w:pPr>
        <w:pStyle w:val="Kop2"/>
        <w:rPr>
          <w:color w:val="auto"/>
          <w:sz w:val="24"/>
          <w:szCs w:val="24"/>
          <w:lang w:eastAsia="nl-NL"/>
        </w:rPr>
      </w:pPr>
      <w:bookmarkStart w:id="8" w:name="_Toc472509265"/>
      <w:r w:rsidRPr="004E4AFA">
        <w:rPr>
          <w:color w:val="auto"/>
          <w:sz w:val="24"/>
          <w:szCs w:val="24"/>
          <w:lang w:eastAsia="nl-NL"/>
        </w:rPr>
        <w:t xml:space="preserve">2.1 </w:t>
      </w:r>
      <w:r w:rsidR="004E4AFA" w:rsidRPr="004E4AFA">
        <w:rPr>
          <w:color w:val="auto"/>
          <w:sz w:val="24"/>
          <w:szCs w:val="24"/>
          <w:lang w:eastAsia="nl-NL"/>
        </w:rPr>
        <w:t>Wat is de billijke vergoeding volgens de relevante literatuur en de wet- en regelgeving?</w:t>
      </w:r>
      <w:bookmarkEnd w:id="8"/>
      <w:r w:rsidR="004E4AFA" w:rsidRPr="004E4AFA">
        <w:rPr>
          <w:color w:val="auto"/>
          <w:sz w:val="24"/>
          <w:szCs w:val="24"/>
          <w:lang w:eastAsia="nl-NL"/>
        </w:rPr>
        <w:t xml:space="preserve">  </w:t>
      </w:r>
    </w:p>
    <w:p w:rsidR="00F5597E" w:rsidRDefault="00F5597E" w:rsidP="004C512B">
      <w:pPr>
        <w:pStyle w:val="Kop2"/>
        <w:spacing w:before="0" w:line="360" w:lineRule="auto"/>
        <w:rPr>
          <w:color w:val="auto"/>
          <w:sz w:val="22"/>
          <w:szCs w:val="22"/>
          <w:lang w:eastAsia="nl-NL"/>
        </w:rPr>
      </w:pPr>
    </w:p>
    <w:p w:rsidR="004912E5" w:rsidRDefault="00A612D1" w:rsidP="004C512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t>Per 1 juli 2015 is in de Wet Werk en Z</w:t>
      </w:r>
      <w:r w:rsidR="00515E6B">
        <w:t xml:space="preserve">ekerheid een nieuwe bepaling opgenomen omtrent de </w:t>
      </w:r>
      <w:r w:rsidR="007725B2">
        <w:t>onts</w:t>
      </w:r>
      <w:r w:rsidR="006E470C">
        <w:t>lagvergoeding</w:t>
      </w:r>
      <w:r w:rsidR="00515E6B">
        <w:t>. Deze bepaling biedt de rechter de mogelijkheid</w:t>
      </w:r>
      <w:r w:rsidR="00D910CD">
        <w:t xml:space="preserve"> om</w:t>
      </w:r>
      <w:r w:rsidR="00515E6B">
        <w:t xml:space="preserve"> </w:t>
      </w:r>
      <w:r w:rsidR="00D910CD">
        <w:t>naast de transitievergoeding</w:t>
      </w:r>
      <w:r w:rsidR="00515E6B">
        <w:t>, als bedoeld in artikel 7:673 BW, een billijke vergoeding toe te kennen.</w:t>
      </w:r>
      <w:r w:rsidR="00515E6B" w:rsidRPr="00515E6B">
        <w:rPr>
          <w:rStyle w:val="Voetnootmarkering"/>
          <w:spacing w:val="-3"/>
          <w:lang w:eastAsia="nl-NL"/>
        </w:rPr>
        <w:t xml:space="preserve"> </w:t>
      </w:r>
      <w:r w:rsidR="00515E6B">
        <w:rPr>
          <w:rStyle w:val="Voetnootmarkering"/>
          <w:spacing w:val="-3"/>
          <w:lang w:eastAsia="nl-NL"/>
        </w:rPr>
        <w:footnoteReference w:id="25"/>
      </w:r>
      <w:r w:rsidR="00515E6B">
        <w:rPr>
          <w:spacing w:val="-3"/>
          <w:lang w:eastAsia="nl-NL"/>
        </w:rPr>
        <w:t xml:space="preserve"> </w:t>
      </w:r>
      <w:r w:rsidR="00515E6B">
        <w:t xml:space="preserve"> </w:t>
      </w:r>
      <w:r w:rsidR="006E470C">
        <w:t xml:space="preserve">Op grond van </w:t>
      </w:r>
      <w:r w:rsidR="000435FA" w:rsidRPr="006E470C">
        <w:rPr>
          <w:color w:val="000000"/>
          <w:shd w:val="clear" w:color="auto" w:fill="FFFFFF"/>
        </w:rPr>
        <w:t xml:space="preserve">artikel 7:673 lid 1 sub b onder 2 BW is de werkgever een transitievergoeding verschuldigd indien </w:t>
      </w:r>
      <w:r w:rsidR="006E470C" w:rsidRPr="006E470C">
        <w:rPr>
          <w:color w:val="000000"/>
          <w:shd w:val="clear" w:color="auto" w:fill="FFFFFF"/>
        </w:rPr>
        <w:t xml:space="preserve">de arbeidsovereenkomst </w:t>
      </w:r>
      <w:r>
        <w:rPr>
          <w:color w:val="000000"/>
          <w:shd w:val="clear" w:color="auto" w:fill="FFFFFF"/>
        </w:rPr>
        <w:t>op verzoek van de werkgever</w:t>
      </w:r>
      <w:r w:rsidR="006E470C">
        <w:rPr>
          <w:color w:val="000000"/>
          <w:shd w:val="clear" w:color="auto" w:fill="FFFFFF"/>
        </w:rPr>
        <w:t xml:space="preserve"> is ontbonden. Hierbij speelt het ernstig verwijtbaar handelen van de werk</w:t>
      </w:r>
      <w:r w:rsidR="004F1E96">
        <w:rPr>
          <w:color w:val="000000"/>
          <w:shd w:val="clear" w:color="auto" w:fill="FFFFFF"/>
        </w:rPr>
        <w:t>nemer</w:t>
      </w:r>
      <w:r w:rsidR="006E470C">
        <w:rPr>
          <w:color w:val="000000"/>
          <w:shd w:val="clear" w:color="auto" w:fill="FFFFFF"/>
        </w:rPr>
        <w:t xml:space="preserve"> een rol. D</w:t>
      </w:r>
      <w:r w:rsidR="000435FA" w:rsidRPr="006E470C">
        <w:rPr>
          <w:color w:val="000000"/>
          <w:shd w:val="clear" w:color="auto" w:fill="FFFFFF"/>
        </w:rPr>
        <w:t xml:space="preserve">e arbeidsovereenkomst </w:t>
      </w:r>
      <w:r w:rsidR="006E470C">
        <w:rPr>
          <w:color w:val="000000"/>
          <w:shd w:val="clear" w:color="auto" w:fill="FFFFFF"/>
        </w:rPr>
        <w:t xml:space="preserve">moet ten minste 24 maanden </w:t>
      </w:r>
      <w:r w:rsidR="000435FA" w:rsidRPr="006E470C">
        <w:rPr>
          <w:color w:val="000000"/>
          <w:shd w:val="clear" w:color="auto" w:fill="FFFFFF"/>
        </w:rPr>
        <w:t xml:space="preserve">geduurd </w:t>
      </w:r>
      <w:r w:rsidR="006E470C">
        <w:rPr>
          <w:color w:val="000000"/>
          <w:shd w:val="clear" w:color="auto" w:fill="FFFFFF"/>
        </w:rPr>
        <w:t>hebben.</w:t>
      </w:r>
      <w:r w:rsidR="005B7BB5">
        <w:rPr>
          <w:i/>
          <w:color w:val="000000"/>
          <w:shd w:val="clear" w:color="auto" w:fill="FFFFFF"/>
        </w:rPr>
        <w:t xml:space="preserve"> </w:t>
      </w:r>
      <w:r w:rsidR="000435FA">
        <w:rPr>
          <w:rStyle w:val="Voetnootmarkering"/>
          <w:i/>
          <w:color w:val="000000"/>
          <w:shd w:val="clear" w:color="auto" w:fill="FFFFFF"/>
        </w:rPr>
        <w:footnoteReference w:id="26"/>
      </w:r>
      <w:r w:rsidR="00A66053">
        <w:rPr>
          <w:i/>
          <w:color w:val="000000"/>
          <w:shd w:val="clear" w:color="auto" w:fill="FFFFFF"/>
        </w:rPr>
        <w:t xml:space="preserve"> </w:t>
      </w:r>
      <w:r w:rsidR="006E470C">
        <w:rPr>
          <w:spacing w:val="-3"/>
          <w:lang w:eastAsia="nl-NL"/>
        </w:rPr>
        <w:t>Er geldt</w:t>
      </w:r>
      <w:r w:rsidR="004912E5">
        <w:rPr>
          <w:spacing w:val="-3"/>
          <w:lang w:eastAsia="nl-NL"/>
        </w:rPr>
        <w:t xml:space="preserve"> wel een aantal uitzonderingen</w:t>
      </w:r>
      <w:r w:rsidR="007F3CA1">
        <w:rPr>
          <w:spacing w:val="-3"/>
          <w:lang w:eastAsia="nl-NL"/>
        </w:rPr>
        <w:t xml:space="preserve"> bij het toekennen van de transitievergoeding</w:t>
      </w:r>
      <w:r w:rsidR="004912E5">
        <w:rPr>
          <w:spacing w:val="-3"/>
          <w:lang w:eastAsia="nl-NL"/>
        </w:rPr>
        <w:t>. Indien het ontslag het gevolg is van ernstig verwijtbaar handelen of nalaten van de werknemer, is de transitievergoeding niet verschuldigd.</w:t>
      </w:r>
      <w:r w:rsidR="004912E5">
        <w:rPr>
          <w:rStyle w:val="Voetnootmarkering"/>
          <w:spacing w:val="-3"/>
          <w:lang w:eastAsia="nl-NL"/>
        </w:rPr>
        <w:footnoteReference w:id="27"/>
      </w:r>
      <w:r w:rsidR="004912E5">
        <w:rPr>
          <w:spacing w:val="-3"/>
          <w:lang w:eastAsia="nl-NL"/>
        </w:rPr>
        <w:t xml:space="preserve"> </w:t>
      </w:r>
    </w:p>
    <w:p w:rsidR="004F1E96" w:rsidRDefault="004F1E96" w:rsidP="001A41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rPr>
      </w:pPr>
    </w:p>
    <w:p w:rsidR="004434D5" w:rsidRDefault="00515E6B" w:rsidP="001A41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lang w:eastAsia="ja-JP"/>
        </w:rPr>
      </w:pPr>
      <w:r w:rsidRPr="00D65E26">
        <w:rPr>
          <w:color w:val="000000" w:themeColor="text1"/>
        </w:rPr>
        <w:t xml:space="preserve">Het doel van de </w:t>
      </w:r>
      <w:r w:rsidR="004912E5">
        <w:rPr>
          <w:color w:val="000000" w:themeColor="text1"/>
        </w:rPr>
        <w:t>nieuwe bepalingen omtrent de ontslagvergoeding</w:t>
      </w:r>
      <w:r w:rsidR="000A5D68">
        <w:rPr>
          <w:color w:val="000000" w:themeColor="text1"/>
        </w:rPr>
        <w:t xml:space="preserve"> is</w:t>
      </w:r>
      <w:r w:rsidRPr="00D65E26">
        <w:rPr>
          <w:color w:val="000000" w:themeColor="text1"/>
        </w:rPr>
        <w:t xml:space="preserve"> onder mee</w:t>
      </w:r>
      <w:r>
        <w:rPr>
          <w:color w:val="000000" w:themeColor="text1"/>
        </w:rPr>
        <w:t>r</w:t>
      </w:r>
      <w:r w:rsidRPr="00D65E26">
        <w:rPr>
          <w:color w:val="000000" w:themeColor="text1"/>
        </w:rPr>
        <w:t xml:space="preserve"> </w:t>
      </w:r>
      <w:r>
        <w:rPr>
          <w:color w:val="000000" w:themeColor="text1"/>
        </w:rPr>
        <w:t>het</w:t>
      </w:r>
      <w:r>
        <w:t xml:space="preserve"> stelsel eenvoudiger, sneller, eerlijker en minder kostbaar te maken voor werkgevers en </w:t>
      </w:r>
      <w:r>
        <w:rPr>
          <w:rFonts w:hint="eastAsia"/>
          <w:lang w:eastAsia="ja-JP"/>
        </w:rPr>
        <w:t xml:space="preserve">het is </w:t>
      </w:r>
      <w:r>
        <w:t>meer gericht op het vinden van een nieuwe baan</w:t>
      </w:r>
      <w:r w:rsidR="00827C86">
        <w:t xml:space="preserve"> voor de werknemer</w:t>
      </w:r>
      <w:r>
        <w:t>.</w:t>
      </w:r>
      <w:r>
        <w:rPr>
          <w:rStyle w:val="Voetnootmarkering"/>
          <w:color w:val="000000" w:themeColor="text1"/>
        </w:rPr>
        <w:footnoteReference w:id="28"/>
      </w:r>
      <w:r>
        <w:rPr>
          <w:color w:val="000000" w:themeColor="text1"/>
        </w:rPr>
        <w:t xml:space="preserve"> </w:t>
      </w:r>
      <w:r>
        <w:rPr>
          <w:spacing w:val="-3"/>
          <w:lang w:eastAsia="nl-NL"/>
        </w:rPr>
        <w:t>Onder de oude wetgeving had de kantonrechter de mogelijkheid een billijke vergoeding toe te kennen indien er sprake was van een ontbinding van de arbeidsovereenkomst.</w:t>
      </w:r>
      <w:r>
        <w:rPr>
          <w:rStyle w:val="Voetnootmarkering"/>
          <w:spacing w:val="-3"/>
          <w:lang w:eastAsia="nl-NL"/>
        </w:rPr>
        <w:footnoteReference w:id="29"/>
      </w:r>
      <w:r>
        <w:rPr>
          <w:spacing w:val="-3"/>
          <w:lang w:eastAsia="nl-NL"/>
        </w:rPr>
        <w:t xml:space="preserve"> De hoogte van de billijke vergoeding werd berekend aan de hand van de kantonrechtersformule.</w:t>
      </w:r>
      <w:r>
        <w:rPr>
          <w:rStyle w:val="Voetnootmarkering"/>
          <w:spacing w:val="-3"/>
          <w:lang w:eastAsia="nl-NL"/>
        </w:rPr>
        <w:footnoteReference w:id="30"/>
      </w:r>
      <w:r>
        <w:rPr>
          <w:spacing w:val="-3"/>
          <w:lang w:eastAsia="nl-NL"/>
        </w:rPr>
        <w:t xml:space="preserve"> De kantonrechtersformule</w:t>
      </w:r>
      <w:r w:rsidR="00D52A3B">
        <w:rPr>
          <w:spacing w:val="-3"/>
          <w:lang w:eastAsia="nl-NL"/>
        </w:rPr>
        <w:t xml:space="preserve"> werd berekend met behulp van </w:t>
      </w:r>
      <w:r w:rsidR="00827C86">
        <w:rPr>
          <w:spacing w:val="-3"/>
          <w:lang w:eastAsia="nl-NL"/>
        </w:rPr>
        <w:t>de</w:t>
      </w:r>
      <w:r>
        <w:rPr>
          <w:spacing w:val="-3"/>
          <w:lang w:eastAsia="nl-NL"/>
        </w:rPr>
        <w:t xml:space="preserve"> A x B x C</w:t>
      </w:r>
      <w:r w:rsidR="00827C86">
        <w:rPr>
          <w:spacing w:val="-3"/>
          <w:lang w:eastAsia="nl-NL"/>
        </w:rPr>
        <w:t>-</w:t>
      </w:r>
      <w:r>
        <w:rPr>
          <w:spacing w:val="-3"/>
          <w:lang w:eastAsia="nl-NL"/>
        </w:rPr>
        <w:t xml:space="preserve">formule, </w:t>
      </w:r>
      <w:r w:rsidR="00576D81">
        <w:rPr>
          <w:rStyle w:val="Voetnootmarkering"/>
          <w:spacing w:val="-3"/>
          <w:lang w:eastAsia="nl-NL"/>
        </w:rPr>
        <w:footnoteReference w:id="31"/>
      </w:r>
      <w:r w:rsidR="00177872">
        <w:rPr>
          <w:spacing w:val="-3"/>
          <w:lang w:eastAsia="nl-NL"/>
        </w:rPr>
        <w:t xml:space="preserve"> </w:t>
      </w:r>
      <w:r>
        <w:rPr>
          <w:spacing w:val="-3"/>
          <w:lang w:eastAsia="nl-NL"/>
        </w:rPr>
        <w:t xml:space="preserve">waarbij </w:t>
      </w:r>
      <w:r w:rsidR="00576D81">
        <w:rPr>
          <w:spacing w:val="-3"/>
          <w:lang w:eastAsia="nl-NL"/>
        </w:rPr>
        <w:t xml:space="preserve">A stond voor het gewogen aantal dienstjaren, B voor het laatstverdiende bruto maandsalaris en C voor de correctiefactor waarbij er werd gekeken naar </w:t>
      </w:r>
      <w:r w:rsidR="003E2E5D">
        <w:rPr>
          <w:spacing w:val="-3"/>
          <w:lang w:eastAsia="nl-NL"/>
        </w:rPr>
        <w:t>het gedrag van de werknemer en de werkgever</w:t>
      </w:r>
      <w:r w:rsidR="00576D81">
        <w:rPr>
          <w:spacing w:val="-3"/>
          <w:lang w:eastAsia="nl-NL"/>
        </w:rPr>
        <w:t>.</w:t>
      </w:r>
      <w:r w:rsidR="00177872">
        <w:rPr>
          <w:rStyle w:val="Voetnootmarkering"/>
          <w:spacing w:val="-3"/>
          <w:lang w:eastAsia="nl-NL"/>
        </w:rPr>
        <w:footnoteReference w:id="32"/>
      </w:r>
      <w:r w:rsidR="00576D81">
        <w:rPr>
          <w:spacing w:val="-3"/>
          <w:lang w:eastAsia="nl-NL"/>
        </w:rPr>
        <w:t xml:space="preserve"> </w:t>
      </w:r>
      <w:r>
        <w:t>Onder de WWZ is deze kantonrechtersformule komen te vervallen en geldt er een nieuwe bepaling omtrent de billijke vergoeding.</w:t>
      </w:r>
      <w:r>
        <w:rPr>
          <w:rStyle w:val="Voetnootmarkering"/>
          <w:color w:val="000000" w:themeColor="text1"/>
        </w:rPr>
        <w:footnoteReference w:id="33"/>
      </w:r>
      <w:r>
        <w:rPr>
          <w:rFonts w:hint="eastAsia"/>
          <w:lang w:eastAsia="ja-JP"/>
        </w:rPr>
        <w:t xml:space="preserve"> </w:t>
      </w:r>
      <w:r w:rsidRPr="00D65E26">
        <w:rPr>
          <w:color w:val="000000" w:themeColor="text1"/>
        </w:rPr>
        <w:t>In de Wet werk en zekerheid zijn verschillende bepalingen opgenomen waarin uitdrukkelijk over een billijke vergoeding wordt gesproken.</w:t>
      </w:r>
      <w:r>
        <w:rPr>
          <w:rStyle w:val="Voetnootmarkering"/>
          <w:color w:val="000000" w:themeColor="text1"/>
        </w:rPr>
        <w:footnoteReference w:id="34"/>
      </w:r>
      <w:r>
        <w:rPr>
          <w:rFonts w:hint="eastAsia"/>
          <w:color w:val="000000" w:themeColor="text1"/>
          <w:lang w:eastAsia="ja-JP"/>
        </w:rPr>
        <w:t xml:space="preserve"> </w:t>
      </w:r>
    </w:p>
    <w:p w:rsidR="00B928D6" w:rsidRPr="00180285" w:rsidRDefault="00F83386" w:rsidP="001857D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lastRenderedPageBreak/>
        <w:t>De billijke vergoeding is volgens het nieuwe recht een zelfstandige vergoeding die los</w:t>
      </w:r>
      <w:r w:rsidR="00D94062">
        <w:rPr>
          <w:spacing w:val="-3"/>
          <w:lang w:eastAsia="nl-NL"/>
        </w:rPr>
        <w:t xml:space="preserve"> </w:t>
      </w:r>
      <w:r>
        <w:rPr>
          <w:spacing w:val="-3"/>
          <w:lang w:eastAsia="nl-NL"/>
        </w:rPr>
        <w:t>staat van de vraag of een transitievergoeding verschuldigd is.</w:t>
      </w:r>
      <w:r>
        <w:rPr>
          <w:rStyle w:val="Voetnootmarkering"/>
          <w:spacing w:val="-3"/>
          <w:lang w:eastAsia="nl-NL"/>
        </w:rPr>
        <w:footnoteReference w:id="35"/>
      </w:r>
      <w:r>
        <w:rPr>
          <w:spacing w:val="-3"/>
          <w:lang w:eastAsia="nl-NL"/>
        </w:rPr>
        <w:t xml:space="preserve"> </w:t>
      </w:r>
      <w:r w:rsidR="00515E6B">
        <w:rPr>
          <w:color w:val="000000" w:themeColor="text1"/>
        </w:rPr>
        <w:t>De billijke vergoeding kan onderverdeeld worden in een alternatieve vergoeding</w:t>
      </w:r>
      <w:r w:rsidR="007213CD">
        <w:rPr>
          <w:color w:val="000000" w:themeColor="text1"/>
        </w:rPr>
        <w:t xml:space="preserve"> en een additionele vergoeding. </w:t>
      </w:r>
    </w:p>
    <w:p w:rsidR="001857D3" w:rsidRDefault="001857D3" w:rsidP="001857D3">
      <w:pPr>
        <w:shd w:val="clear" w:color="auto" w:fill="FFFFFF"/>
        <w:spacing w:after="0" w:line="360" w:lineRule="auto"/>
        <w:rPr>
          <w:i/>
          <w:color w:val="000000" w:themeColor="text1"/>
          <w:lang w:eastAsia="ja-JP"/>
        </w:rPr>
      </w:pPr>
    </w:p>
    <w:p w:rsidR="004319CD" w:rsidRDefault="004319CD" w:rsidP="001857D3">
      <w:pPr>
        <w:shd w:val="clear" w:color="auto" w:fill="FFFFFF"/>
        <w:spacing w:after="0" w:line="360" w:lineRule="auto"/>
        <w:rPr>
          <w:i/>
          <w:color w:val="000000" w:themeColor="text1"/>
          <w:lang w:eastAsia="ja-JP"/>
        </w:rPr>
      </w:pPr>
      <w:r>
        <w:rPr>
          <w:i/>
          <w:color w:val="000000" w:themeColor="text1"/>
          <w:lang w:eastAsia="ja-JP"/>
        </w:rPr>
        <w:t>2.1.1 Alternatieve</w:t>
      </w:r>
      <w:r w:rsidRPr="004319CD">
        <w:rPr>
          <w:i/>
          <w:color w:val="000000" w:themeColor="text1"/>
          <w:lang w:eastAsia="ja-JP"/>
        </w:rPr>
        <w:t xml:space="preserve"> </w:t>
      </w:r>
      <w:r>
        <w:rPr>
          <w:i/>
          <w:color w:val="000000" w:themeColor="text1"/>
          <w:lang w:eastAsia="ja-JP"/>
        </w:rPr>
        <w:t>b</w:t>
      </w:r>
      <w:r w:rsidRPr="004319CD">
        <w:rPr>
          <w:i/>
          <w:color w:val="000000" w:themeColor="text1"/>
          <w:lang w:eastAsia="ja-JP"/>
        </w:rPr>
        <w:t xml:space="preserve">illijke vergoeding </w:t>
      </w:r>
    </w:p>
    <w:p w:rsidR="001857D3" w:rsidRDefault="001857D3" w:rsidP="001857D3">
      <w:pPr>
        <w:shd w:val="clear" w:color="auto" w:fill="FFFFFF"/>
        <w:spacing w:after="0" w:line="360" w:lineRule="auto"/>
        <w:rPr>
          <w:color w:val="000000" w:themeColor="text1"/>
        </w:rPr>
      </w:pPr>
    </w:p>
    <w:p w:rsidR="00B15AC0" w:rsidRPr="001F4208" w:rsidRDefault="00717099" w:rsidP="001857D3">
      <w:pPr>
        <w:shd w:val="clear" w:color="auto" w:fill="FFFFFF"/>
        <w:spacing w:after="0" w:line="360" w:lineRule="auto"/>
        <w:rPr>
          <w:color w:val="000000" w:themeColor="text1"/>
          <w:lang w:eastAsia="ja-JP"/>
        </w:rPr>
      </w:pPr>
      <w:r>
        <w:rPr>
          <w:color w:val="000000" w:themeColor="text1"/>
        </w:rPr>
        <w:t>In dit onderzoek wordt niet diep in gegaan op d</w:t>
      </w:r>
      <w:r w:rsidR="004319CD">
        <w:rPr>
          <w:color w:val="000000" w:themeColor="text1"/>
        </w:rPr>
        <w:t>e alternatieve billijke vergoeding</w:t>
      </w:r>
      <w:r>
        <w:rPr>
          <w:color w:val="000000" w:themeColor="text1"/>
        </w:rPr>
        <w:t xml:space="preserve">. Toch is het wel </w:t>
      </w:r>
      <w:r w:rsidR="003E0C33">
        <w:rPr>
          <w:color w:val="000000" w:themeColor="text1"/>
        </w:rPr>
        <w:t>belangrijk</w:t>
      </w:r>
      <w:r>
        <w:rPr>
          <w:color w:val="000000" w:themeColor="text1"/>
        </w:rPr>
        <w:t xml:space="preserve"> </w:t>
      </w:r>
      <w:r w:rsidR="00187249">
        <w:rPr>
          <w:color w:val="000000" w:themeColor="text1"/>
        </w:rPr>
        <w:t xml:space="preserve">om even </w:t>
      </w:r>
      <w:r>
        <w:rPr>
          <w:color w:val="000000" w:themeColor="text1"/>
        </w:rPr>
        <w:t>stil te staan bij de volgende informatie. De alternatieve billijke vergoeding</w:t>
      </w:r>
      <w:r w:rsidR="004319CD">
        <w:rPr>
          <w:color w:val="000000" w:themeColor="text1"/>
        </w:rPr>
        <w:t xml:space="preserve"> wordt bijvoorbeeld uitgekeerd </w:t>
      </w:r>
      <w:r w:rsidR="004319CD">
        <w:rPr>
          <w:rFonts w:hint="eastAsia"/>
          <w:color w:val="000000" w:themeColor="text1"/>
          <w:lang w:eastAsia="ja-JP"/>
        </w:rPr>
        <w:t xml:space="preserve">in plaats van vernietiging van een opzegging op grond van artikel 7:681 lid 1 BW of wegens een overtreding van de </w:t>
      </w:r>
      <w:r w:rsidR="004319CD">
        <w:rPr>
          <w:color w:val="000000" w:themeColor="text1"/>
          <w:lang w:eastAsia="ja-JP"/>
        </w:rPr>
        <w:t>weder indiensttreding</w:t>
      </w:r>
      <w:r w:rsidR="004319CD">
        <w:rPr>
          <w:rFonts w:hint="eastAsia"/>
          <w:color w:val="000000" w:themeColor="text1"/>
          <w:lang w:eastAsia="ja-JP"/>
        </w:rPr>
        <w:t xml:space="preserve"> voorwaarde op grond van artikel 7:682 lid 4 en lid 5 BW</w:t>
      </w:r>
      <w:r w:rsidR="004319CD">
        <w:rPr>
          <w:color w:val="000000" w:themeColor="text1"/>
        </w:rPr>
        <w:t>.</w:t>
      </w:r>
      <w:r w:rsidR="004319CD">
        <w:rPr>
          <w:rStyle w:val="Voetnootmarkering"/>
          <w:color w:val="000000" w:themeColor="text1"/>
        </w:rPr>
        <w:footnoteReference w:id="36"/>
      </w:r>
    </w:p>
    <w:p w:rsidR="001F4208" w:rsidRPr="001F4208" w:rsidRDefault="00515E6B" w:rsidP="00F5597E">
      <w:pPr>
        <w:pStyle w:val="Geenafstand"/>
        <w:spacing w:line="360" w:lineRule="auto"/>
        <w:rPr>
          <w:color w:val="000000" w:themeColor="text1"/>
        </w:rPr>
      </w:pPr>
      <w:r>
        <w:rPr>
          <w:color w:val="000000" w:themeColor="text1"/>
        </w:rPr>
        <w:t xml:space="preserve">Er is </w:t>
      </w:r>
      <w:r w:rsidR="004319CD">
        <w:rPr>
          <w:color w:val="000000" w:themeColor="text1"/>
        </w:rPr>
        <w:t>bij een alternatieve billijke vergoeding</w:t>
      </w:r>
      <w:r>
        <w:rPr>
          <w:color w:val="000000" w:themeColor="text1"/>
        </w:rPr>
        <w:t xml:space="preserve"> geen sprake van ernstig verwijtbaar handelen, terwijl dat bij de additionele billijke vergoeding wel een vereiste is.</w:t>
      </w:r>
      <w:r>
        <w:rPr>
          <w:rStyle w:val="Voetnootmarkering"/>
          <w:color w:val="000000" w:themeColor="text1"/>
        </w:rPr>
        <w:footnoteReference w:id="37"/>
      </w:r>
    </w:p>
    <w:p w:rsidR="00F5597E" w:rsidRDefault="00F5597E" w:rsidP="00F5597E">
      <w:pPr>
        <w:pStyle w:val="Geenafstand"/>
        <w:spacing w:line="360" w:lineRule="auto"/>
        <w:rPr>
          <w:i/>
          <w:color w:val="000000" w:themeColor="text1"/>
        </w:rPr>
      </w:pPr>
    </w:p>
    <w:p w:rsidR="00B15AC0" w:rsidRDefault="00B15AC0" w:rsidP="00F5597E">
      <w:pPr>
        <w:pStyle w:val="Geenafstand"/>
        <w:spacing w:line="360" w:lineRule="auto"/>
        <w:rPr>
          <w:i/>
          <w:color w:val="000000" w:themeColor="text1"/>
        </w:rPr>
      </w:pPr>
      <w:r w:rsidRPr="00B15AC0">
        <w:rPr>
          <w:i/>
          <w:color w:val="000000" w:themeColor="text1"/>
        </w:rPr>
        <w:t xml:space="preserve">2.1.2 Additionele billijke vergoeding </w:t>
      </w:r>
    </w:p>
    <w:p w:rsidR="00B15AC0" w:rsidRPr="00B15AC0" w:rsidRDefault="00B15AC0" w:rsidP="00F5597E">
      <w:pPr>
        <w:pStyle w:val="Geenafstand"/>
        <w:spacing w:line="360" w:lineRule="auto"/>
        <w:rPr>
          <w:lang w:eastAsia="nl-NL"/>
        </w:rPr>
      </w:pPr>
    </w:p>
    <w:p w:rsidR="00B02327" w:rsidRDefault="0019470B" w:rsidP="00F5597E">
      <w:pPr>
        <w:spacing w:after="0" w:line="360" w:lineRule="auto"/>
        <w:rPr>
          <w:spacing w:val="-3"/>
          <w:lang w:eastAsia="nl-NL"/>
        </w:rPr>
      </w:pPr>
      <w:r w:rsidRPr="00D65E26">
        <w:rPr>
          <w:color w:val="000000" w:themeColor="text1"/>
        </w:rPr>
        <w:t xml:space="preserve">In artikel 7:671b lid 8 onder c van het Burgerlijk Wetboek </w:t>
      </w:r>
      <w:r>
        <w:rPr>
          <w:color w:val="000000" w:themeColor="text1"/>
        </w:rPr>
        <w:t xml:space="preserve">en in artikel 7:671c lid 2 BW </w:t>
      </w:r>
      <w:r w:rsidR="00187249">
        <w:rPr>
          <w:color w:val="000000" w:themeColor="text1"/>
        </w:rPr>
        <w:t>is</w:t>
      </w:r>
      <w:r w:rsidRPr="00D65E26">
        <w:rPr>
          <w:color w:val="000000" w:themeColor="text1"/>
        </w:rPr>
        <w:t xml:space="preserve"> opgenomen dat de additionele billijke vergoeding zich slechts zal voordoen indien er sprake is van ernstig verwijtbaar handelen of nalaten van de werkgever.</w:t>
      </w:r>
      <w:r>
        <w:rPr>
          <w:rStyle w:val="Voetnootmarkering"/>
        </w:rPr>
        <w:footnoteReference w:id="38"/>
      </w:r>
      <w:r>
        <w:t xml:space="preserve"> Ook in artikel 7:673 lid 9 van het Burgerlijk Wetboek wordt bepaald dat e</w:t>
      </w:r>
      <w:r w:rsidR="00187249">
        <w:t>en</w:t>
      </w:r>
      <w:r>
        <w:t xml:space="preserve"> billijke vergoeding verschuldigd is indien het niet voorzetten </w:t>
      </w:r>
      <w:r w:rsidR="00187249">
        <w:t xml:space="preserve">van de arbeidsovereenkomst </w:t>
      </w:r>
      <w:r>
        <w:t>te wijten is aan ernstig verwijtbaar handelen van de werkgever.</w:t>
      </w:r>
      <w:r>
        <w:rPr>
          <w:rStyle w:val="Voetnootmarkering"/>
        </w:rPr>
        <w:footnoteReference w:id="39"/>
      </w:r>
      <w:r>
        <w:t xml:space="preserve"> </w:t>
      </w:r>
      <w:r w:rsidRPr="00D65E26">
        <w:rPr>
          <w:color w:val="000000" w:themeColor="text1"/>
        </w:rPr>
        <w:t xml:space="preserve">Deze vergoeding wordt </w:t>
      </w:r>
      <w:r w:rsidR="00D33C09">
        <w:rPr>
          <w:color w:val="000000" w:themeColor="text1"/>
        </w:rPr>
        <w:t xml:space="preserve">door de regering </w:t>
      </w:r>
      <w:r>
        <w:rPr>
          <w:color w:val="000000" w:themeColor="text1"/>
        </w:rPr>
        <w:t>het</w:t>
      </w:r>
      <w:r w:rsidRPr="00D65E26">
        <w:rPr>
          <w:color w:val="000000" w:themeColor="text1"/>
        </w:rPr>
        <w:t xml:space="preserve"> </w:t>
      </w:r>
      <w:r>
        <w:rPr>
          <w:color w:val="000000" w:themeColor="text1"/>
        </w:rPr>
        <w:t>‘</w:t>
      </w:r>
      <w:r w:rsidRPr="00D65E26">
        <w:rPr>
          <w:color w:val="000000" w:themeColor="text1"/>
        </w:rPr>
        <w:t>muizengaatje</w:t>
      </w:r>
      <w:r>
        <w:rPr>
          <w:color w:val="000000" w:themeColor="text1"/>
        </w:rPr>
        <w:t>’</w:t>
      </w:r>
      <w:r w:rsidR="00D33C09">
        <w:rPr>
          <w:color w:val="000000" w:themeColor="text1"/>
        </w:rPr>
        <w:t xml:space="preserve"> genoemd</w:t>
      </w:r>
      <w:r w:rsidRPr="00D65E26">
        <w:rPr>
          <w:color w:val="000000" w:themeColor="text1"/>
        </w:rPr>
        <w:t xml:space="preserve">, omdat </w:t>
      </w:r>
      <w:r w:rsidR="00FE2524">
        <w:rPr>
          <w:color w:val="000000" w:themeColor="text1"/>
        </w:rPr>
        <w:t xml:space="preserve">het </w:t>
      </w:r>
      <w:r w:rsidRPr="00D65E26">
        <w:rPr>
          <w:color w:val="000000" w:themeColor="text1"/>
        </w:rPr>
        <w:t>de bedoeling is dat het enkel in zeer uitzonder</w:t>
      </w:r>
      <w:r>
        <w:rPr>
          <w:color w:val="000000" w:themeColor="text1"/>
        </w:rPr>
        <w:t xml:space="preserve">lijke gevallen </w:t>
      </w:r>
      <w:r w:rsidR="00187249">
        <w:rPr>
          <w:color w:val="000000" w:themeColor="text1"/>
        </w:rPr>
        <w:t xml:space="preserve">wordt </w:t>
      </w:r>
      <w:r>
        <w:rPr>
          <w:color w:val="000000" w:themeColor="text1"/>
        </w:rPr>
        <w:t>toegekend.</w:t>
      </w:r>
      <w:r>
        <w:rPr>
          <w:rStyle w:val="Voetnootmarkering"/>
          <w:color w:val="000000" w:themeColor="text1"/>
        </w:rPr>
        <w:footnoteReference w:id="40"/>
      </w:r>
      <w:r>
        <w:rPr>
          <w:color w:val="000000" w:themeColor="text1"/>
        </w:rPr>
        <w:t xml:space="preserve"> </w:t>
      </w:r>
      <w:r>
        <w:t xml:space="preserve">Hoewel </w:t>
      </w:r>
      <w:r w:rsidR="00187249">
        <w:t xml:space="preserve">er aan een eventuele toekenning van een billijke vergoeding </w:t>
      </w:r>
      <w:r>
        <w:t xml:space="preserve">strenge voorwaarden </w:t>
      </w:r>
      <w:r w:rsidR="00D40C37">
        <w:t xml:space="preserve">verbonden zijn, </w:t>
      </w:r>
      <w:r>
        <w:t>heeft de rechter veel ruimte bij het bepalen van de hoogte ervan.</w:t>
      </w:r>
      <w:r>
        <w:rPr>
          <w:rStyle w:val="Voetnootmarkering"/>
        </w:rPr>
        <w:footnoteReference w:id="41"/>
      </w:r>
      <w:r>
        <w:t xml:space="preserve"> </w:t>
      </w:r>
      <w:r w:rsidR="00B05DB7" w:rsidRPr="00B05DB7">
        <w:rPr>
          <w:rFonts w:cs="Helvetica"/>
        </w:rPr>
        <w:t xml:space="preserve">De rechter dient de hoogte van de vergoeding </w:t>
      </w:r>
      <w:r w:rsidR="00681BFF">
        <w:rPr>
          <w:rFonts w:cs="Helvetica"/>
        </w:rPr>
        <w:t>zodanig</w:t>
      </w:r>
      <w:r w:rsidR="00187249">
        <w:rPr>
          <w:rFonts w:cs="Helvetica"/>
        </w:rPr>
        <w:t xml:space="preserve"> </w:t>
      </w:r>
      <w:r w:rsidR="00B05DB7" w:rsidRPr="00B05DB7">
        <w:rPr>
          <w:rFonts w:cs="Helvetica"/>
        </w:rPr>
        <w:t>te bepalen</w:t>
      </w:r>
      <w:r w:rsidR="00187249">
        <w:rPr>
          <w:rFonts w:cs="Helvetica"/>
        </w:rPr>
        <w:t>,</w:t>
      </w:r>
      <w:r w:rsidR="00B05DB7" w:rsidRPr="00B05DB7">
        <w:rPr>
          <w:rFonts w:cs="Helvetica"/>
        </w:rPr>
        <w:t xml:space="preserve"> dat</w:t>
      </w:r>
      <w:r w:rsidR="00C06C0E">
        <w:rPr>
          <w:rFonts w:cs="Helvetica"/>
        </w:rPr>
        <w:t xml:space="preserve"> deze</w:t>
      </w:r>
      <w:r w:rsidR="00B05DB7" w:rsidRPr="00B05DB7">
        <w:rPr>
          <w:rFonts w:cs="Helvetica"/>
        </w:rPr>
        <w:t xml:space="preserve"> aansluit bij de uitzonderlijke omstandigheden van het geval</w:t>
      </w:r>
      <w:r w:rsidR="00C06C0E">
        <w:rPr>
          <w:rFonts w:cs="Helvetica"/>
        </w:rPr>
        <w:t xml:space="preserve">, zowel wat betreft </w:t>
      </w:r>
      <w:r w:rsidR="00187249">
        <w:rPr>
          <w:rFonts w:cs="Helvetica"/>
        </w:rPr>
        <w:t xml:space="preserve">de </w:t>
      </w:r>
      <w:r w:rsidR="00C06C0E">
        <w:rPr>
          <w:rFonts w:cs="Helvetica"/>
        </w:rPr>
        <w:t xml:space="preserve">wijze </w:t>
      </w:r>
      <w:r w:rsidR="001857D3">
        <w:rPr>
          <w:rFonts w:cs="Helvetica"/>
        </w:rPr>
        <w:t xml:space="preserve">waarop de vergoeding wordt bepaald </w:t>
      </w:r>
      <w:r w:rsidR="00C06C0E">
        <w:rPr>
          <w:rFonts w:cs="Helvetica"/>
        </w:rPr>
        <w:t>als het niveau</w:t>
      </w:r>
      <w:r w:rsidR="00632A23" w:rsidRPr="00B05DB7">
        <w:rPr>
          <w:spacing w:val="-3"/>
          <w:lang w:eastAsia="nl-NL"/>
        </w:rPr>
        <w:t>.</w:t>
      </w:r>
      <w:r w:rsidR="00632A23" w:rsidRPr="00B05DB7">
        <w:rPr>
          <w:rStyle w:val="Voetnootmarkering"/>
          <w:spacing w:val="-3"/>
          <w:lang w:eastAsia="nl-NL"/>
        </w:rPr>
        <w:footnoteReference w:id="42"/>
      </w:r>
      <w:r w:rsidR="00632A23" w:rsidRPr="00B05DB7">
        <w:rPr>
          <w:spacing w:val="-3"/>
          <w:lang w:eastAsia="nl-NL"/>
        </w:rPr>
        <w:t xml:space="preserve"> </w:t>
      </w:r>
    </w:p>
    <w:p w:rsidR="003A1F83" w:rsidRDefault="003A1F83" w:rsidP="00F5597E">
      <w:pPr>
        <w:spacing w:after="0" w:line="360" w:lineRule="auto"/>
        <w:rPr>
          <w:spacing w:val="-3"/>
          <w:lang w:eastAsia="nl-NL"/>
        </w:rPr>
      </w:pPr>
    </w:p>
    <w:p w:rsidR="001F4208" w:rsidRDefault="00200C20" w:rsidP="00F5597E">
      <w:pPr>
        <w:spacing w:after="0" w:line="360" w:lineRule="auto"/>
        <w:rPr>
          <w:lang w:eastAsia="ja-JP"/>
        </w:rPr>
      </w:pPr>
      <w:r>
        <w:rPr>
          <w:spacing w:val="-3"/>
          <w:lang w:eastAsia="nl-NL"/>
        </w:rPr>
        <w:lastRenderedPageBreak/>
        <w:t>De billijke vergoeding moet worden afgestemd op de omstandigheden van het geval.</w:t>
      </w:r>
      <w:r>
        <w:rPr>
          <w:rStyle w:val="Voetnootmarkering"/>
          <w:spacing w:val="-3"/>
          <w:lang w:eastAsia="nl-NL"/>
        </w:rPr>
        <w:footnoteReference w:id="43"/>
      </w:r>
      <w:r>
        <w:rPr>
          <w:spacing w:val="-3"/>
          <w:lang w:eastAsia="nl-NL"/>
        </w:rPr>
        <w:t xml:space="preserve"> De kantonrechter mag rekening houden met de financiële situatie van de werkgever.</w:t>
      </w:r>
      <w:r>
        <w:rPr>
          <w:rStyle w:val="Voetnootmarkering"/>
          <w:spacing w:val="-3"/>
          <w:lang w:eastAsia="nl-NL"/>
        </w:rPr>
        <w:footnoteReference w:id="44"/>
      </w:r>
      <w:r>
        <w:rPr>
          <w:spacing w:val="-3"/>
          <w:lang w:eastAsia="nl-NL"/>
        </w:rPr>
        <w:t xml:space="preserve"> </w:t>
      </w:r>
      <w:r w:rsidR="00493FC4">
        <w:t xml:space="preserve">In de wet en in de wetsgeschiedenis is geen formule terug te vinden </w:t>
      </w:r>
      <w:r w:rsidR="00187249">
        <w:t xml:space="preserve">voor de wijze </w:t>
      </w:r>
      <w:r w:rsidR="00681BFF">
        <w:t>waarop de</w:t>
      </w:r>
      <w:r w:rsidR="00493FC4">
        <w:t xml:space="preserve"> hoogte van de additionele billijke vergoeding moet worden vastgesteld.</w:t>
      </w:r>
      <w:r w:rsidR="00493FC4">
        <w:rPr>
          <w:rFonts w:hint="eastAsia"/>
          <w:lang w:eastAsia="ja-JP"/>
        </w:rPr>
        <w:t xml:space="preserve"> </w:t>
      </w:r>
    </w:p>
    <w:p w:rsidR="003A1F83" w:rsidRDefault="003A1F83" w:rsidP="00F5597E">
      <w:pPr>
        <w:spacing w:after="0" w:line="360" w:lineRule="auto"/>
        <w:rPr>
          <w:lang w:eastAsia="ja-JP"/>
        </w:rPr>
      </w:pPr>
    </w:p>
    <w:p w:rsidR="00CB72C7" w:rsidRDefault="003C60EC" w:rsidP="00F5597E">
      <w:pPr>
        <w:spacing w:after="0" w:line="360" w:lineRule="auto"/>
        <w:rPr>
          <w:lang w:eastAsia="ja-JP"/>
        </w:rPr>
      </w:pPr>
      <w:r>
        <w:rPr>
          <w:rFonts w:hint="eastAsia"/>
          <w:lang w:eastAsia="ja-JP"/>
        </w:rPr>
        <w:t xml:space="preserve">Er </w:t>
      </w:r>
      <w:r>
        <w:rPr>
          <w:lang w:eastAsia="ja-JP"/>
        </w:rPr>
        <w:t>bestaat</w:t>
      </w:r>
      <w:r>
        <w:rPr>
          <w:rFonts w:hint="eastAsia"/>
          <w:lang w:eastAsia="ja-JP"/>
        </w:rPr>
        <w:t xml:space="preserve"> veel kritiek op het feit dat kantonrechters onduidelijk zijn in hun motivering bij het bepalen van de hoogte van de billijke vergoeding.</w:t>
      </w:r>
      <w:r>
        <w:rPr>
          <w:rStyle w:val="Voetnootmarkering"/>
        </w:rPr>
        <w:footnoteReference w:id="45"/>
      </w:r>
      <w:r>
        <w:rPr>
          <w:lang w:eastAsia="ja-JP"/>
        </w:rPr>
        <w:t xml:space="preserve"> </w:t>
      </w:r>
      <w:r w:rsidR="00982EAC">
        <w:rPr>
          <w:lang w:eastAsia="ja-JP"/>
        </w:rPr>
        <w:t xml:space="preserve">Hierover wordt meer verteld in paragraaf 3.3 van dit onderzoek. </w:t>
      </w:r>
    </w:p>
    <w:p w:rsidR="003A1F83" w:rsidRDefault="003A1F83" w:rsidP="00F5597E">
      <w:pPr>
        <w:spacing w:after="0" w:line="360" w:lineRule="auto"/>
        <w:rPr>
          <w:lang w:eastAsia="ja-JP"/>
        </w:rPr>
      </w:pPr>
    </w:p>
    <w:p w:rsidR="007213CD" w:rsidRDefault="00CB72C7" w:rsidP="00F5597E">
      <w:pPr>
        <w:spacing w:after="0" w:line="360" w:lineRule="auto"/>
        <w:rPr>
          <w:lang w:eastAsia="ja-JP"/>
        </w:rPr>
      </w:pPr>
      <w:r>
        <w:rPr>
          <w:lang w:eastAsia="ja-JP"/>
        </w:rPr>
        <w:t xml:space="preserve">Kortom, de billijke vergoeding is een aanvullende vergoeding </w:t>
      </w:r>
      <w:r w:rsidR="00BB33B1">
        <w:rPr>
          <w:lang w:eastAsia="ja-JP"/>
        </w:rPr>
        <w:t>bovenop de transitievergoeding</w:t>
      </w:r>
      <w:r w:rsidR="00AC7CEF">
        <w:rPr>
          <w:lang w:eastAsia="ja-JP"/>
        </w:rPr>
        <w:t xml:space="preserve"> die de werkgever </w:t>
      </w:r>
      <w:r w:rsidR="00D7190B">
        <w:rPr>
          <w:lang w:eastAsia="ja-JP"/>
        </w:rPr>
        <w:t xml:space="preserve">bij de ontbinding van de arbeidsovereenkomst </w:t>
      </w:r>
      <w:r w:rsidR="00AC7CEF">
        <w:rPr>
          <w:lang w:eastAsia="ja-JP"/>
        </w:rPr>
        <w:t>verschuldigd is aan de werknemer</w:t>
      </w:r>
      <w:r w:rsidR="00191800">
        <w:rPr>
          <w:lang w:eastAsia="ja-JP"/>
        </w:rPr>
        <w:t>,</w:t>
      </w:r>
      <w:r w:rsidR="004434D5">
        <w:rPr>
          <w:lang w:eastAsia="ja-JP"/>
        </w:rPr>
        <w:t xml:space="preserve"> indien er sprake is van </w:t>
      </w:r>
      <w:r w:rsidR="00BB33B1">
        <w:rPr>
          <w:lang w:eastAsia="ja-JP"/>
        </w:rPr>
        <w:t>ernstig</w:t>
      </w:r>
      <w:r>
        <w:rPr>
          <w:lang w:eastAsia="ja-JP"/>
        </w:rPr>
        <w:t xml:space="preserve"> verwijtbaar </w:t>
      </w:r>
      <w:r w:rsidR="004434D5">
        <w:rPr>
          <w:lang w:eastAsia="ja-JP"/>
        </w:rPr>
        <w:t>handelen van de werkgever</w:t>
      </w:r>
      <w:r w:rsidR="0011644A">
        <w:rPr>
          <w:lang w:eastAsia="ja-JP"/>
        </w:rPr>
        <w:t>.</w:t>
      </w:r>
      <w:r w:rsidR="004434D5">
        <w:rPr>
          <w:lang w:eastAsia="ja-JP"/>
        </w:rPr>
        <w:t xml:space="preserve"> De billijke vergoeding dient onder andere een punitief karakter te hebben om dergelijk gedrag van de </w:t>
      </w:r>
      <w:r w:rsidR="003E0C33">
        <w:rPr>
          <w:lang w:eastAsia="ja-JP"/>
        </w:rPr>
        <w:t>werkgever</w:t>
      </w:r>
      <w:r w:rsidR="004434D5">
        <w:rPr>
          <w:lang w:eastAsia="ja-JP"/>
        </w:rPr>
        <w:t xml:space="preserve"> </w:t>
      </w:r>
      <w:r w:rsidR="00191800">
        <w:rPr>
          <w:lang w:eastAsia="ja-JP"/>
        </w:rPr>
        <w:t xml:space="preserve">in de toekomst </w:t>
      </w:r>
      <w:r w:rsidR="004434D5">
        <w:rPr>
          <w:lang w:eastAsia="ja-JP"/>
        </w:rPr>
        <w:t>te voorkomen.</w:t>
      </w:r>
      <w:r w:rsidR="0011644A">
        <w:rPr>
          <w:lang w:eastAsia="ja-JP"/>
        </w:rPr>
        <w:t xml:space="preserve"> In dat geval wordt er gesproken van een </w:t>
      </w:r>
      <w:r w:rsidR="00AC7CEF">
        <w:rPr>
          <w:lang w:eastAsia="ja-JP"/>
        </w:rPr>
        <w:t>additionele billijke vergoeding</w:t>
      </w:r>
      <w:r w:rsidR="0011644A">
        <w:rPr>
          <w:lang w:eastAsia="ja-JP"/>
        </w:rPr>
        <w:t>.</w:t>
      </w:r>
      <w:r w:rsidR="006F7FF7">
        <w:rPr>
          <w:rStyle w:val="Voetnootmarkering"/>
          <w:lang w:eastAsia="ja-JP"/>
        </w:rPr>
        <w:footnoteReference w:id="46"/>
      </w:r>
      <w:r>
        <w:rPr>
          <w:lang w:eastAsia="ja-JP"/>
        </w:rPr>
        <w:t xml:space="preserve"> </w:t>
      </w:r>
    </w:p>
    <w:p w:rsidR="003A1F83" w:rsidRDefault="003A1F83" w:rsidP="00825227">
      <w:pPr>
        <w:spacing w:after="0" w:line="360" w:lineRule="auto"/>
        <w:rPr>
          <w:lang w:eastAsia="ja-JP"/>
        </w:rPr>
      </w:pPr>
    </w:p>
    <w:p w:rsidR="000D78A0" w:rsidRPr="00A72897" w:rsidRDefault="0011644A" w:rsidP="00825227">
      <w:pPr>
        <w:spacing w:after="0" w:line="360" w:lineRule="auto"/>
        <w:rPr>
          <w:rFonts w:eastAsia="Times New Roman" w:cs="Times New Roman"/>
          <w:lang w:eastAsia="nl-NL"/>
        </w:rPr>
      </w:pPr>
      <w:r>
        <w:rPr>
          <w:lang w:eastAsia="ja-JP"/>
        </w:rPr>
        <w:t xml:space="preserve">Om de centrale vraag zo duidelijk mogelijk te beantwoorden is het van belang om stil te staan bij de bepalingen omtrent het ernstig verwijtbaar handelen van de werkgever. </w:t>
      </w:r>
      <w:r w:rsidR="00D7190B">
        <w:rPr>
          <w:lang w:eastAsia="ja-JP"/>
        </w:rPr>
        <w:t>In de</w:t>
      </w:r>
      <w:r w:rsidR="00842B7C">
        <w:rPr>
          <w:lang w:eastAsia="ja-JP"/>
        </w:rPr>
        <w:t xml:space="preserve"> volgende p</w:t>
      </w:r>
      <w:r>
        <w:rPr>
          <w:lang w:eastAsia="ja-JP"/>
        </w:rPr>
        <w:t>aragraaf wordt hierop</w:t>
      </w:r>
      <w:r w:rsidR="00842B7C">
        <w:rPr>
          <w:lang w:eastAsia="ja-JP"/>
        </w:rPr>
        <w:t xml:space="preserve"> ingezoomd. </w:t>
      </w:r>
    </w:p>
    <w:p w:rsidR="00191800" w:rsidRDefault="00191800"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spacing w:val="-3"/>
          <w:lang w:eastAsia="nl-NL"/>
        </w:rPr>
      </w:pPr>
    </w:p>
    <w:p w:rsidR="00EA6D81" w:rsidRDefault="00EA6D81" w:rsidP="00825227">
      <w:pPr>
        <w:pStyle w:val="Kop2"/>
        <w:spacing w:before="0" w:line="360" w:lineRule="auto"/>
        <w:rPr>
          <w:color w:val="auto"/>
          <w:sz w:val="24"/>
          <w:szCs w:val="24"/>
          <w:lang w:eastAsia="nl-NL"/>
        </w:rPr>
      </w:pPr>
      <w:bookmarkStart w:id="9" w:name="_Toc472509266"/>
    </w:p>
    <w:p w:rsidR="00EA6D81" w:rsidRDefault="00EA6D81" w:rsidP="00825227">
      <w:pPr>
        <w:pStyle w:val="Kop2"/>
        <w:spacing w:before="0" w:line="360" w:lineRule="auto"/>
        <w:rPr>
          <w:color w:val="auto"/>
          <w:sz w:val="24"/>
          <w:szCs w:val="24"/>
          <w:lang w:eastAsia="nl-NL"/>
        </w:rPr>
      </w:pPr>
    </w:p>
    <w:p w:rsidR="00EA6D81" w:rsidRDefault="00EA6D81" w:rsidP="00825227">
      <w:pPr>
        <w:pStyle w:val="Kop2"/>
        <w:spacing w:before="0" w:line="360" w:lineRule="auto"/>
        <w:rPr>
          <w:color w:val="auto"/>
          <w:sz w:val="24"/>
          <w:szCs w:val="24"/>
          <w:lang w:eastAsia="nl-NL"/>
        </w:rPr>
      </w:pPr>
    </w:p>
    <w:p w:rsidR="00EA6D81" w:rsidRDefault="00EA6D81" w:rsidP="00825227">
      <w:pPr>
        <w:pStyle w:val="Kop2"/>
        <w:spacing w:before="0" w:line="360" w:lineRule="auto"/>
        <w:rPr>
          <w:color w:val="auto"/>
          <w:sz w:val="24"/>
          <w:szCs w:val="24"/>
          <w:lang w:eastAsia="nl-NL"/>
        </w:rPr>
      </w:pPr>
    </w:p>
    <w:p w:rsidR="00EA6D81" w:rsidRDefault="00EA6D81" w:rsidP="00825227">
      <w:pPr>
        <w:pStyle w:val="Kop2"/>
        <w:spacing w:before="0" w:line="360" w:lineRule="auto"/>
        <w:rPr>
          <w:color w:val="auto"/>
          <w:sz w:val="24"/>
          <w:szCs w:val="24"/>
          <w:lang w:eastAsia="nl-NL"/>
        </w:rPr>
      </w:pPr>
    </w:p>
    <w:p w:rsidR="00EA6D81" w:rsidRDefault="00EA6D81" w:rsidP="00825227">
      <w:pPr>
        <w:pStyle w:val="Kop2"/>
        <w:spacing w:before="0" w:line="360" w:lineRule="auto"/>
        <w:rPr>
          <w:color w:val="auto"/>
          <w:sz w:val="24"/>
          <w:szCs w:val="24"/>
          <w:lang w:eastAsia="nl-NL"/>
        </w:rPr>
      </w:pPr>
    </w:p>
    <w:p w:rsidR="00EA6D81" w:rsidRDefault="00EA6D81" w:rsidP="00825227">
      <w:pPr>
        <w:pStyle w:val="Kop2"/>
        <w:spacing w:before="0" w:line="360" w:lineRule="auto"/>
        <w:rPr>
          <w:color w:val="auto"/>
          <w:sz w:val="24"/>
          <w:szCs w:val="24"/>
          <w:lang w:eastAsia="nl-NL"/>
        </w:rPr>
      </w:pPr>
    </w:p>
    <w:p w:rsidR="00EA6D81" w:rsidRDefault="00EA6D81" w:rsidP="00825227">
      <w:pPr>
        <w:pStyle w:val="Kop2"/>
        <w:spacing w:before="0" w:line="360" w:lineRule="auto"/>
        <w:rPr>
          <w:color w:val="auto"/>
          <w:sz w:val="24"/>
          <w:szCs w:val="24"/>
          <w:lang w:eastAsia="nl-NL"/>
        </w:rPr>
      </w:pPr>
    </w:p>
    <w:p w:rsidR="00EA6D81" w:rsidRPr="00EA6D81" w:rsidRDefault="00EA6D81" w:rsidP="00EA6D81">
      <w:pPr>
        <w:rPr>
          <w:lang w:eastAsia="nl-NL"/>
        </w:rPr>
      </w:pPr>
    </w:p>
    <w:p w:rsidR="002C60A0" w:rsidRDefault="002C60A0" w:rsidP="00825227">
      <w:pPr>
        <w:pStyle w:val="Kop2"/>
        <w:spacing w:before="0" w:line="360" w:lineRule="auto"/>
        <w:rPr>
          <w:color w:val="auto"/>
          <w:sz w:val="24"/>
          <w:szCs w:val="24"/>
          <w:lang w:eastAsia="nl-NL"/>
        </w:rPr>
      </w:pPr>
    </w:p>
    <w:p w:rsidR="004E4AFA" w:rsidRPr="004E4AFA" w:rsidRDefault="00D40C37" w:rsidP="00825227">
      <w:pPr>
        <w:pStyle w:val="Kop2"/>
        <w:spacing w:before="0" w:line="360" w:lineRule="auto"/>
        <w:rPr>
          <w:color w:val="auto"/>
          <w:sz w:val="24"/>
          <w:szCs w:val="24"/>
          <w:lang w:eastAsia="nl-NL"/>
        </w:rPr>
      </w:pPr>
      <w:r w:rsidRPr="004E4AFA">
        <w:rPr>
          <w:color w:val="auto"/>
          <w:sz w:val="24"/>
          <w:szCs w:val="24"/>
          <w:lang w:eastAsia="nl-NL"/>
        </w:rPr>
        <w:t>2</w:t>
      </w:r>
      <w:r w:rsidR="00C2576F" w:rsidRPr="004E4AFA">
        <w:rPr>
          <w:color w:val="auto"/>
          <w:sz w:val="24"/>
          <w:szCs w:val="24"/>
          <w:lang w:eastAsia="nl-NL"/>
        </w:rPr>
        <w:t xml:space="preserve">.2 </w:t>
      </w:r>
      <w:r w:rsidR="004E4AFA" w:rsidRPr="004E4AFA">
        <w:rPr>
          <w:color w:val="auto"/>
          <w:sz w:val="24"/>
          <w:szCs w:val="24"/>
          <w:lang w:eastAsia="nl-NL"/>
        </w:rPr>
        <w:t>Onder welke omstandigheden is er sprake van ernstig verwijtbaar handelen van de werkgever en wordt volgens de literatuur en de wetgeving de billijke vergoeding toegekend?</w:t>
      </w:r>
      <w:bookmarkEnd w:id="9"/>
      <w:r w:rsidR="004E4AFA" w:rsidRPr="004E4AFA">
        <w:rPr>
          <w:color w:val="auto"/>
          <w:sz w:val="24"/>
          <w:szCs w:val="24"/>
          <w:lang w:eastAsia="nl-NL"/>
        </w:rPr>
        <w:t xml:space="preserve"> </w:t>
      </w:r>
    </w:p>
    <w:p w:rsidR="00F5597E" w:rsidRDefault="00F5597E"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i/>
          <w:spacing w:val="-3"/>
          <w:lang w:eastAsia="nl-NL"/>
        </w:rPr>
      </w:pPr>
    </w:p>
    <w:p w:rsidR="00C328CD" w:rsidRDefault="00D45CC2"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 xml:space="preserve">In </w:t>
      </w:r>
      <w:r w:rsidR="00191800">
        <w:rPr>
          <w:spacing w:val="-3"/>
          <w:lang w:eastAsia="nl-NL"/>
        </w:rPr>
        <w:t>de</w:t>
      </w:r>
      <w:r>
        <w:rPr>
          <w:spacing w:val="-3"/>
          <w:lang w:eastAsia="nl-NL"/>
        </w:rPr>
        <w:t xml:space="preserve"> vorige paragraaf zijn de wetsartikelen aan bod gekomen waarin wordt bepaald dat de werkgever een billijke vergoeding verschuldigd is aan de werknemer indien er </w:t>
      </w:r>
      <w:r w:rsidR="00191800">
        <w:rPr>
          <w:spacing w:val="-3"/>
          <w:lang w:eastAsia="nl-NL"/>
        </w:rPr>
        <w:t xml:space="preserve">gedurende de arbeidsrelatie </w:t>
      </w:r>
      <w:r>
        <w:rPr>
          <w:spacing w:val="-3"/>
          <w:lang w:eastAsia="nl-NL"/>
        </w:rPr>
        <w:t xml:space="preserve">sprake is geweest van ernstig verwijtbaar handelen </w:t>
      </w:r>
      <w:r w:rsidR="00BC4D12">
        <w:rPr>
          <w:spacing w:val="-3"/>
          <w:lang w:eastAsia="nl-NL"/>
        </w:rPr>
        <w:t>van de werkgever. In deze paragraaf wordt inge</w:t>
      </w:r>
      <w:r w:rsidR="00A72897">
        <w:rPr>
          <w:spacing w:val="-3"/>
          <w:lang w:eastAsia="nl-NL"/>
        </w:rPr>
        <w:t>zoomd op deze ernstig verwijtba</w:t>
      </w:r>
      <w:r w:rsidR="00BC4D12">
        <w:rPr>
          <w:spacing w:val="-3"/>
          <w:lang w:eastAsia="nl-NL"/>
        </w:rPr>
        <w:t>r</w:t>
      </w:r>
      <w:r w:rsidR="00A72897">
        <w:rPr>
          <w:spacing w:val="-3"/>
          <w:lang w:eastAsia="nl-NL"/>
        </w:rPr>
        <w:t>e</w:t>
      </w:r>
      <w:r w:rsidR="00BC4D12">
        <w:rPr>
          <w:spacing w:val="-3"/>
          <w:lang w:eastAsia="nl-NL"/>
        </w:rPr>
        <w:t xml:space="preserve"> handelingen. </w:t>
      </w:r>
    </w:p>
    <w:p w:rsidR="003A1F83" w:rsidRDefault="003A1F83" w:rsidP="00F5597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rPr>
      </w:pPr>
    </w:p>
    <w:p w:rsidR="004F1E96" w:rsidRDefault="00A72897" w:rsidP="00F5597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Pr>
          <w:color w:val="000000" w:themeColor="text1"/>
        </w:rPr>
        <w:t>Zoals hiervoor al omschreven</w:t>
      </w:r>
      <w:r w:rsidR="00191800">
        <w:rPr>
          <w:color w:val="000000" w:themeColor="text1"/>
        </w:rPr>
        <w:t>,</w:t>
      </w:r>
      <w:r>
        <w:rPr>
          <w:color w:val="000000" w:themeColor="text1"/>
        </w:rPr>
        <w:t xml:space="preserve"> wordt i</w:t>
      </w:r>
      <w:r w:rsidR="00BC4D12" w:rsidRPr="00D65E26">
        <w:rPr>
          <w:color w:val="000000" w:themeColor="text1"/>
        </w:rPr>
        <w:t xml:space="preserve">n artikel 7:671b lid 8 onder c van het Burgerlijk Wetboek </w:t>
      </w:r>
      <w:r w:rsidR="00BC4D12">
        <w:rPr>
          <w:color w:val="000000" w:themeColor="text1"/>
        </w:rPr>
        <w:t>en in artikel 7:671c lid 2</w:t>
      </w:r>
      <w:r w:rsidR="00EC32EC">
        <w:rPr>
          <w:color w:val="000000" w:themeColor="text1"/>
        </w:rPr>
        <w:t xml:space="preserve"> onder c</w:t>
      </w:r>
      <w:r w:rsidR="00BC4D12">
        <w:rPr>
          <w:color w:val="000000" w:themeColor="text1"/>
        </w:rPr>
        <w:t xml:space="preserve"> BW </w:t>
      </w:r>
      <w:r w:rsidR="00191800">
        <w:rPr>
          <w:color w:val="000000" w:themeColor="text1"/>
        </w:rPr>
        <w:t xml:space="preserve">bepaald </w:t>
      </w:r>
      <w:r w:rsidR="00BC4D12" w:rsidRPr="00D65E26">
        <w:rPr>
          <w:color w:val="000000" w:themeColor="text1"/>
        </w:rPr>
        <w:t>dat de additionele billijke vergoeding zich slechts zal voordoen indien er sprake is van ernstig verwijtbaar handelen of nalaten van de werkgever.</w:t>
      </w:r>
      <w:r w:rsidR="00BC4D12">
        <w:rPr>
          <w:rStyle w:val="Voetnootmarkering"/>
        </w:rPr>
        <w:footnoteReference w:id="47"/>
      </w:r>
      <w:r w:rsidR="00BC4D12">
        <w:t xml:space="preserve"> </w:t>
      </w:r>
    </w:p>
    <w:p w:rsidR="00656B87" w:rsidRDefault="00A72897" w:rsidP="002C60A0">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t>Het is</w:t>
      </w:r>
      <w:r w:rsidR="00656B87">
        <w:t xml:space="preserve"> </w:t>
      </w:r>
      <w:r w:rsidR="00656B87">
        <w:lastRenderedPageBreak/>
        <w:t>voor de lezer</w:t>
      </w:r>
      <w:r>
        <w:t xml:space="preserve"> van belang om hier</w:t>
      </w:r>
      <w:r w:rsidR="00191800">
        <w:t>bij</w:t>
      </w:r>
      <w:r>
        <w:t xml:space="preserve"> stil te staan om te begrijpen wat de hoofd</w:t>
      </w:r>
      <w:r w:rsidR="00656B87">
        <w:t xml:space="preserve">regel is van het toekennen van de </w:t>
      </w:r>
      <w:r w:rsidR="00895B05">
        <w:t>additionele</w:t>
      </w:r>
      <w:r w:rsidR="00656B87">
        <w:t xml:space="preserve"> billijke vergoeding. </w:t>
      </w:r>
      <w:r w:rsidR="00BC4D12">
        <w:t>Ook in artikel 7:673 lid 9 van het Burgerlijk Wetboek wordt bepaald dat e</w:t>
      </w:r>
      <w:r w:rsidR="00191800">
        <w:t>en</w:t>
      </w:r>
      <w:r w:rsidR="00BC4D12">
        <w:t xml:space="preserve"> billijke vergoeding verschuldigd is indien het niet voorzetten te wijten is aan ernstig verwijtbaar handelen van de werkgever.</w:t>
      </w:r>
      <w:r w:rsidR="00BC4D12">
        <w:rPr>
          <w:rStyle w:val="Voetnootmarkering"/>
        </w:rPr>
        <w:footnoteReference w:id="48"/>
      </w:r>
      <w:r w:rsidR="00BC4D12">
        <w:t xml:space="preserve"> </w:t>
      </w:r>
    </w:p>
    <w:p w:rsidR="00764399" w:rsidRPr="00764399" w:rsidRDefault="00656B87" w:rsidP="0002391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rPr>
      </w:pPr>
      <w:r>
        <w:t>De reden dat d</w:t>
      </w:r>
      <w:r>
        <w:rPr>
          <w:color w:val="000000" w:themeColor="text1"/>
        </w:rPr>
        <w:t xml:space="preserve">eze vergoeding door de regering </w:t>
      </w:r>
      <w:r w:rsidR="00191800">
        <w:rPr>
          <w:color w:val="000000" w:themeColor="text1"/>
        </w:rPr>
        <w:t>getypeerd</w:t>
      </w:r>
      <w:r w:rsidR="00BC4D12">
        <w:rPr>
          <w:color w:val="000000" w:themeColor="text1"/>
        </w:rPr>
        <w:t xml:space="preserve"> </w:t>
      </w:r>
      <w:r>
        <w:rPr>
          <w:color w:val="000000" w:themeColor="text1"/>
        </w:rPr>
        <w:t xml:space="preserve">wordt </w:t>
      </w:r>
      <w:r w:rsidR="00BC4D12">
        <w:rPr>
          <w:color w:val="000000" w:themeColor="text1"/>
        </w:rPr>
        <w:t>als het</w:t>
      </w:r>
      <w:r w:rsidR="00BC4D12" w:rsidRPr="00D65E26">
        <w:rPr>
          <w:color w:val="000000" w:themeColor="text1"/>
        </w:rPr>
        <w:t xml:space="preserve"> </w:t>
      </w:r>
      <w:r w:rsidR="00BC4D12">
        <w:rPr>
          <w:color w:val="000000" w:themeColor="text1"/>
        </w:rPr>
        <w:t>‘</w:t>
      </w:r>
      <w:r w:rsidR="00BC4D12" w:rsidRPr="00D65E26">
        <w:rPr>
          <w:color w:val="000000" w:themeColor="text1"/>
        </w:rPr>
        <w:t>muizengaatje</w:t>
      </w:r>
      <w:r w:rsidR="00BC4D12">
        <w:rPr>
          <w:color w:val="000000" w:themeColor="text1"/>
        </w:rPr>
        <w:t>’</w:t>
      </w:r>
      <w:r w:rsidR="00BC4D12" w:rsidRPr="00D65E26">
        <w:rPr>
          <w:color w:val="000000" w:themeColor="text1"/>
        </w:rPr>
        <w:t xml:space="preserve">, </w:t>
      </w:r>
      <w:r>
        <w:rPr>
          <w:color w:val="000000" w:themeColor="text1"/>
        </w:rPr>
        <w:t xml:space="preserve">is </w:t>
      </w:r>
      <w:r w:rsidR="00BC4D12" w:rsidRPr="00D65E26">
        <w:rPr>
          <w:color w:val="000000" w:themeColor="text1"/>
        </w:rPr>
        <w:t xml:space="preserve">omdat </w:t>
      </w:r>
      <w:r w:rsidR="00856B85">
        <w:rPr>
          <w:color w:val="000000" w:themeColor="text1"/>
        </w:rPr>
        <w:t>het de</w:t>
      </w:r>
      <w:r w:rsidR="00BC4D12" w:rsidRPr="00D65E26">
        <w:rPr>
          <w:color w:val="000000" w:themeColor="text1"/>
        </w:rPr>
        <w:t xml:space="preserve"> bedoeling is dat </w:t>
      </w:r>
      <w:r w:rsidR="00856B85">
        <w:rPr>
          <w:color w:val="000000" w:themeColor="text1"/>
        </w:rPr>
        <w:t>kantonrechters slechts in</w:t>
      </w:r>
      <w:r w:rsidR="00BC4D12" w:rsidRPr="00D65E26">
        <w:rPr>
          <w:color w:val="000000" w:themeColor="text1"/>
        </w:rPr>
        <w:t xml:space="preserve"> zeer uitzonder</w:t>
      </w:r>
      <w:r w:rsidR="00BC4D12">
        <w:rPr>
          <w:color w:val="000000" w:themeColor="text1"/>
        </w:rPr>
        <w:t xml:space="preserve">lijke gevallen </w:t>
      </w:r>
      <w:r w:rsidR="00856B85">
        <w:rPr>
          <w:color w:val="000000" w:themeColor="text1"/>
        </w:rPr>
        <w:t>een dergelijk billijke vergoeding toekennen</w:t>
      </w:r>
      <w:r w:rsidR="00BC4D12">
        <w:rPr>
          <w:color w:val="000000" w:themeColor="text1"/>
        </w:rPr>
        <w:t>.</w:t>
      </w:r>
      <w:r w:rsidR="00BC4D12">
        <w:rPr>
          <w:rStyle w:val="Voetnootmarkering"/>
          <w:color w:val="000000" w:themeColor="text1"/>
        </w:rPr>
        <w:footnoteReference w:id="49"/>
      </w:r>
      <w:r w:rsidR="00BC4D12">
        <w:rPr>
          <w:color w:val="000000" w:themeColor="text1"/>
        </w:rPr>
        <w:t xml:space="preserve"> </w:t>
      </w:r>
    </w:p>
    <w:p w:rsidR="00EA6D81" w:rsidRDefault="00EA6D81" w:rsidP="00BC4D12">
      <w:pPr>
        <w:spacing w:line="360" w:lineRule="auto"/>
      </w:pPr>
    </w:p>
    <w:p w:rsidR="00EA6D81" w:rsidRDefault="00EA6D81" w:rsidP="00BC4D12">
      <w:pPr>
        <w:spacing w:line="360" w:lineRule="auto"/>
      </w:pPr>
    </w:p>
    <w:p w:rsidR="00EA6D81" w:rsidRDefault="00EA6D81" w:rsidP="00BC4D12">
      <w:pPr>
        <w:spacing w:line="360" w:lineRule="auto"/>
      </w:pPr>
    </w:p>
    <w:p w:rsidR="00EA6D81" w:rsidRDefault="00EA6D81" w:rsidP="00BC4D12">
      <w:pPr>
        <w:spacing w:line="360" w:lineRule="auto"/>
      </w:pPr>
    </w:p>
    <w:p w:rsidR="00EA6D81" w:rsidRDefault="00EA6D81" w:rsidP="00BC4D12">
      <w:pPr>
        <w:spacing w:line="360" w:lineRule="auto"/>
      </w:pPr>
    </w:p>
    <w:p w:rsidR="00EA6D81" w:rsidRDefault="00EA6D81" w:rsidP="00BC4D12">
      <w:pPr>
        <w:spacing w:line="360" w:lineRule="auto"/>
      </w:pPr>
    </w:p>
    <w:p w:rsidR="00EA6D81" w:rsidRDefault="00EA6D81" w:rsidP="00BC4D12">
      <w:pPr>
        <w:spacing w:line="360" w:lineRule="auto"/>
      </w:pPr>
    </w:p>
    <w:p w:rsidR="002C60A0" w:rsidRDefault="002C60A0" w:rsidP="00BC4D12">
      <w:pPr>
        <w:spacing w:line="360" w:lineRule="auto"/>
      </w:pPr>
    </w:p>
    <w:p w:rsidR="00764399" w:rsidRDefault="00BC4D12" w:rsidP="00BC4D12">
      <w:pPr>
        <w:spacing w:line="360" w:lineRule="auto"/>
      </w:pPr>
      <w:r>
        <w:t xml:space="preserve">In de Memorie van Toelichting wordt een aantal voorbeelden van ernstig verwijtbaar handelen van de werkgever genoemd: </w:t>
      </w:r>
    </w:p>
    <w:p w:rsidR="00764399" w:rsidRDefault="003A1F83" w:rsidP="00BB32B0">
      <w:pPr>
        <w:pStyle w:val="Lijstalinea"/>
        <w:numPr>
          <w:ilvl w:val="0"/>
          <w:numId w:val="5"/>
        </w:numPr>
        <w:spacing w:line="360" w:lineRule="auto"/>
        <w:rPr>
          <w:lang w:eastAsia="ja-JP"/>
        </w:rPr>
      </w:pPr>
      <w:r>
        <w:t>a</w:t>
      </w:r>
      <w:r w:rsidR="00BC4D12">
        <w:t xml:space="preserve">ls er als gevolg van laakbaar gedrag van de werkgever een verstoorde arbeidsrelatie is ontstaan </w:t>
      </w:r>
      <w:r w:rsidR="00764399" w:rsidRPr="006F7FF7">
        <w:rPr>
          <w:rFonts w:eastAsia="Times New Roman" w:cs="Times New Roman"/>
          <w:color w:val="000000"/>
          <w:lang w:eastAsia="nl-NL"/>
        </w:rPr>
        <w:t xml:space="preserve">(bijvoorbeeld als gevolg van het niet willen ingaan op avances zijnerzijds) </w:t>
      </w:r>
      <w:r w:rsidR="00BC4D12">
        <w:t xml:space="preserve">en de rechter concludeert dat er geen andere optie is dan ontslag; </w:t>
      </w:r>
    </w:p>
    <w:p w:rsidR="00764399" w:rsidRDefault="00BC4D12" w:rsidP="00BB32B0">
      <w:pPr>
        <w:pStyle w:val="Lijstalinea"/>
        <w:numPr>
          <w:ilvl w:val="0"/>
          <w:numId w:val="5"/>
        </w:numPr>
        <w:spacing w:line="360" w:lineRule="auto"/>
        <w:rPr>
          <w:lang w:eastAsia="ja-JP"/>
        </w:rPr>
      </w:pPr>
      <w:r>
        <w:t xml:space="preserve">als een werkgever discrimineert, de werknemer hiertegen bezwaar maakt, er een onwerkbare situatie ontstaat en niets anders rest dan ontslag; </w:t>
      </w:r>
    </w:p>
    <w:p w:rsidR="00764399" w:rsidRDefault="00BC4D12" w:rsidP="00BB32B0">
      <w:pPr>
        <w:pStyle w:val="Lijstalinea"/>
        <w:numPr>
          <w:ilvl w:val="0"/>
          <w:numId w:val="5"/>
        </w:numPr>
        <w:spacing w:line="360" w:lineRule="auto"/>
        <w:rPr>
          <w:lang w:eastAsia="ja-JP"/>
        </w:rPr>
      </w:pPr>
      <w:r>
        <w:t xml:space="preserve">als een werkgever grovelijk de verplichtingen </w:t>
      </w:r>
      <w:r w:rsidR="00191800">
        <w:t xml:space="preserve">die voortvloeien uit de arbeidsovereenkomst </w:t>
      </w:r>
      <w:r>
        <w:t xml:space="preserve">niet nakomt en er als gevolg daarvan een verstoorde arbeidsverhouding ontstaat. Te denken is hierbij aan de situatie waarin de werkgever zijn re-integratieverplichtingen bij ziekte ernstig heeft veronachtzaamd; </w:t>
      </w:r>
    </w:p>
    <w:p w:rsidR="007116CA" w:rsidRDefault="00BC4D12" w:rsidP="00BB32B0">
      <w:pPr>
        <w:pStyle w:val="Lijstalinea"/>
        <w:numPr>
          <w:ilvl w:val="0"/>
          <w:numId w:val="5"/>
        </w:numPr>
        <w:spacing w:line="360" w:lineRule="auto"/>
        <w:rPr>
          <w:lang w:eastAsia="ja-JP"/>
        </w:rPr>
      </w:pPr>
      <w:r>
        <w:t xml:space="preserve">de situatie waarin de werkgever een valse grond voor ontslag aanvoert met als enig oogmerk een onwerkbare situatie te creëren en </w:t>
      </w:r>
      <w:r w:rsidR="00D7190B">
        <w:t xml:space="preserve">langs die weg </w:t>
      </w:r>
      <w:r>
        <w:t>ontslag te realiseren;</w:t>
      </w:r>
    </w:p>
    <w:p w:rsidR="00BC4D12" w:rsidRDefault="00BC4D12" w:rsidP="00BB32B0">
      <w:pPr>
        <w:pStyle w:val="Lijstalinea"/>
        <w:numPr>
          <w:ilvl w:val="0"/>
          <w:numId w:val="5"/>
        </w:numPr>
        <w:spacing w:line="360" w:lineRule="auto"/>
        <w:rPr>
          <w:lang w:eastAsia="ja-JP"/>
        </w:rPr>
      </w:pPr>
      <w:r>
        <w:t>de situatie waarin een werknemer arbeidsongeschikt is geworden (en uiteindelijk wordt ontslagen) als gevolg van verwijtbaar onvoldoende</w:t>
      </w:r>
      <w:r w:rsidR="00195274" w:rsidRPr="007116CA">
        <w:rPr>
          <w:rFonts w:ascii="Verdana" w:eastAsia="Times New Roman" w:hAnsi="Verdana" w:cs="Times New Roman"/>
          <w:color w:val="000000"/>
          <w:sz w:val="17"/>
          <w:szCs w:val="17"/>
          <w:lang w:eastAsia="nl-NL"/>
        </w:rPr>
        <w:t xml:space="preserve"> </w:t>
      </w:r>
      <w:r w:rsidR="00195274" w:rsidRPr="007116CA">
        <w:rPr>
          <w:rFonts w:eastAsia="Times New Roman" w:cs="Times New Roman"/>
          <w:color w:val="000000"/>
          <w:lang w:eastAsia="nl-NL"/>
        </w:rPr>
        <w:t>zorg van de werkgever voor de arbeidsomstandigheden</w:t>
      </w:r>
      <w:r>
        <w:t>.</w:t>
      </w:r>
      <w:r>
        <w:rPr>
          <w:rStyle w:val="Voetnootmarkering"/>
        </w:rPr>
        <w:footnoteReference w:id="50"/>
      </w:r>
    </w:p>
    <w:p w:rsidR="00B02327" w:rsidRDefault="00BF2EA4" w:rsidP="001717AC">
      <w:pPr>
        <w:spacing w:line="360" w:lineRule="auto"/>
        <w:rPr>
          <w:lang w:eastAsia="ja-JP"/>
        </w:rPr>
      </w:pPr>
      <w:r>
        <w:rPr>
          <w:lang w:eastAsia="ja-JP"/>
        </w:rPr>
        <w:t>Seksuele intimidatie wordt ook aangemerkt als ernstig verwijtbaar handelen van de werkgever.</w:t>
      </w:r>
      <w:r>
        <w:rPr>
          <w:rStyle w:val="Voetnootmarkering"/>
          <w:lang w:eastAsia="ja-JP"/>
        </w:rPr>
        <w:footnoteReference w:id="51"/>
      </w:r>
      <w:r w:rsidR="00256172">
        <w:rPr>
          <w:lang w:eastAsia="ja-JP"/>
        </w:rPr>
        <w:t xml:space="preserve"> </w:t>
      </w:r>
      <w:r w:rsidR="00D7190B">
        <w:rPr>
          <w:lang w:eastAsia="ja-JP"/>
        </w:rPr>
        <w:t>In de literatuur is</w:t>
      </w:r>
      <w:r w:rsidR="007116CA">
        <w:rPr>
          <w:lang w:eastAsia="ja-JP"/>
        </w:rPr>
        <w:t xml:space="preserve"> veel kritiek geuit op het feit dat de billijke vergoeding slechts wordt toegekend in zeer uitzonderlijk</w:t>
      </w:r>
      <w:r w:rsidR="00332A25">
        <w:rPr>
          <w:lang w:eastAsia="ja-JP"/>
        </w:rPr>
        <w:t>e</w:t>
      </w:r>
      <w:r w:rsidR="007116CA">
        <w:rPr>
          <w:lang w:eastAsia="ja-JP"/>
        </w:rPr>
        <w:t xml:space="preserve"> gevallen. Met deze regeling wordt </w:t>
      </w:r>
      <w:r w:rsidR="00332A25">
        <w:rPr>
          <w:lang w:eastAsia="ja-JP"/>
        </w:rPr>
        <w:t xml:space="preserve">de rechter </w:t>
      </w:r>
      <w:r w:rsidR="00F93AA3">
        <w:rPr>
          <w:lang w:eastAsia="ja-JP"/>
        </w:rPr>
        <w:t xml:space="preserve">namelijk </w:t>
      </w:r>
      <w:r w:rsidR="007116CA">
        <w:rPr>
          <w:lang w:eastAsia="ja-JP"/>
        </w:rPr>
        <w:t xml:space="preserve">de mogelijkheid </w:t>
      </w:r>
      <w:r w:rsidR="00332A25">
        <w:rPr>
          <w:lang w:eastAsia="ja-JP"/>
        </w:rPr>
        <w:t>tot</w:t>
      </w:r>
      <w:r w:rsidR="007116CA">
        <w:rPr>
          <w:lang w:eastAsia="ja-JP"/>
        </w:rPr>
        <w:t xml:space="preserve"> het leveren </w:t>
      </w:r>
      <w:r w:rsidR="00D7190B">
        <w:rPr>
          <w:lang w:eastAsia="ja-JP"/>
        </w:rPr>
        <w:lastRenderedPageBreak/>
        <w:t>van maatwerk</w:t>
      </w:r>
      <w:r w:rsidR="007116CA">
        <w:rPr>
          <w:lang w:eastAsia="ja-JP"/>
        </w:rPr>
        <w:t xml:space="preserve"> </w:t>
      </w:r>
      <w:r w:rsidR="00332A25">
        <w:rPr>
          <w:lang w:eastAsia="ja-JP"/>
        </w:rPr>
        <w:t>ont</w:t>
      </w:r>
      <w:r w:rsidR="007116CA">
        <w:rPr>
          <w:lang w:eastAsia="ja-JP"/>
        </w:rPr>
        <w:t xml:space="preserve">nomen. </w:t>
      </w:r>
      <w:r w:rsidR="00CC763A">
        <w:rPr>
          <w:lang w:eastAsia="ja-JP"/>
        </w:rPr>
        <w:t>De kantonrechter</w:t>
      </w:r>
      <w:r w:rsidR="009B40EC">
        <w:rPr>
          <w:lang w:eastAsia="ja-JP"/>
        </w:rPr>
        <w:t xml:space="preserve"> heeft</w:t>
      </w:r>
      <w:r w:rsidR="00386440">
        <w:rPr>
          <w:lang w:eastAsia="ja-JP"/>
        </w:rPr>
        <w:t xml:space="preserve"> volgens de literatuur</w:t>
      </w:r>
      <w:r w:rsidR="009B40EC">
        <w:rPr>
          <w:lang w:eastAsia="ja-JP"/>
        </w:rPr>
        <w:t xml:space="preserve"> minder </w:t>
      </w:r>
      <w:r w:rsidR="00386440">
        <w:rPr>
          <w:lang w:eastAsia="ja-JP"/>
        </w:rPr>
        <w:t xml:space="preserve">vrijheid </w:t>
      </w:r>
      <w:r w:rsidR="00CC763A">
        <w:rPr>
          <w:lang w:eastAsia="ja-JP"/>
        </w:rPr>
        <w:t>b</w:t>
      </w:r>
      <w:r w:rsidR="00F93AA3">
        <w:rPr>
          <w:lang w:eastAsia="ja-JP"/>
        </w:rPr>
        <w:t>ij het bepalen of de billijke vergoeding al dan niet wordt toegekend</w:t>
      </w:r>
      <w:r w:rsidR="00386440">
        <w:rPr>
          <w:lang w:eastAsia="ja-JP"/>
        </w:rPr>
        <w:t xml:space="preserve">. </w:t>
      </w:r>
    </w:p>
    <w:p w:rsidR="00952AD1" w:rsidRDefault="00386440" w:rsidP="001717AC">
      <w:pPr>
        <w:spacing w:line="360" w:lineRule="auto"/>
        <w:rPr>
          <w:lang w:eastAsia="ja-JP"/>
        </w:rPr>
      </w:pPr>
      <w:r>
        <w:rPr>
          <w:lang w:eastAsia="ja-JP"/>
        </w:rPr>
        <w:t>Wat betreft het bepalen van de hoogte van de</w:t>
      </w:r>
      <w:r w:rsidR="00365E9E">
        <w:rPr>
          <w:lang w:eastAsia="ja-JP"/>
        </w:rPr>
        <w:t xml:space="preserve"> vergoeding</w:t>
      </w:r>
      <w:r>
        <w:rPr>
          <w:lang w:eastAsia="ja-JP"/>
        </w:rPr>
        <w:t xml:space="preserve">, dient de </w:t>
      </w:r>
      <w:r w:rsidR="00895B05">
        <w:rPr>
          <w:lang w:eastAsia="ja-JP"/>
        </w:rPr>
        <w:t>kantonrechter</w:t>
      </w:r>
      <w:r>
        <w:rPr>
          <w:lang w:eastAsia="ja-JP"/>
        </w:rPr>
        <w:t xml:space="preserve"> een vergoeding toe te kennen die hij billijk acht gezien de specifieke feiten en omstandigheden van het geval</w:t>
      </w:r>
      <w:r w:rsidR="00F93AA3">
        <w:rPr>
          <w:lang w:eastAsia="ja-JP"/>
        </w:rPr>
        <w:t>.</w:t>
      </w:r>
      <w:r w:rsidR="00F93AA3">
        <w:rPr>
          <w:rStyle w:val="Voetnootmarkering"/>
          <w:lang w:eastAsia="ja-JP"/>
        </w:rPr>
        <w:footnoteReference w:id="52"/>
      </w:r>
    </w:p>
    <w:p w:rsidR="00F9054A" w:rsidRDefault="00B02327" w:rsidP="00825227">
      <w:pPr>
        <w:spacing w:after="0" w:line="360" w:lineRule="auto"/>
        <w:rPr>
          <w:lang w:eastAsia="ja-JP"/>
        </w:rPr>
      </w:pPr>
      <w:r>
        <w:rPr>
          <w:lang w:eastAsia="ja-JP"/>
        </w:rPr>
        <w:t xml:space="preserve">Kortom, </w:t>
      </w:r>
      <w:r w:rsidR="00993FCC">
        <w:rPr>
          <w:lang w:eastAsia="ja-JP"/>
        </w:rPr>
        <w:t xml:space="preserve">volgens relevante literatuur is </w:t>
      </w:r>
      <w:r w:rsidR="00760A0D">
        <w:rPr>
          <w:lang w:eastAsia="ja-JP"/>
        </w:rPr>
        <w:t xml:space="preserve">er sprake van ernstig verwijtbaar handelen van de werkgever indien </w:t>
      </w:r>
      <w:r w:rsidR="001C78FB">
        <w:rPr>
          <w:lang w:eastAsia="ja-JP"/>
        </w:rPr>
        <w:t xml:space="preserve">de werkgever discrimineert, laakbaar gedrag vertoont met </w:t>
      </w:r>
      <w:r w:rsidR="004537A7">
        <w:rPr>
          <w:lang w:eastAsia="ja-JP"/>
        </w:rPr>
        <w:t>slechte</w:t>
      </w:r>
      <w:r w:rsidR="001C78FB">
        <w:rPr>
          <w:lang w:eastAsia="ja-JP"/>
        </w:rPr>
        <w:t xml:space="preserve"> gevolgen </w:t>
      </w:r>
      <w:r w:rsidR="004537A7">
        <w:rPr>
          <w:lang w:eastAsia="ja-JP"/>
        </w:rPr>
        <w:t>voor de arbeidsverhouding</w:t>
      </w:r>
      <w:r w:rsidR="001C78FB">
        <w:rPr>
          <w:lang w:eastAsia="ja-JP"/>
        </w:rPr>
        <w:t xml:space="preserve">, als een werkgever zijn verplichtingen niet nakomt, als de werkgever </w:t>
      </w:r>
      <w:r w:rsidR="00993FCC">
        <w:rPr>
          <w:lang w:eastAsia="ja-JP"/>
        </w:rPr>
        <w:t xml:space="preserve">een </w:t>
      </w:r>
      <w:r w:rsidR="001C78FB">
        <w:rPr>
          <w:lang w:eastAsia="ja-JP"/>
        </w:rPr>
        <w:t xml:space="preserve">valse grond voor ontslag </w:t>
      </w:r>
      <w:r w:rsidR="00993FCC">
        <w:rPr>
          <w:lang w:eastAsia="ja-JP"/>
        </w:rPr>
        <w:t>op</w:t>
      </w:r>
      <w:r w:rsidR="008F3B6C">
        <w:rPr>
          <w:lang w:eastAsia="ja-JP"/>
        </w:rPr>
        <w:t xml:space="preserve">voert </w:t>
      </w:r>
      <w:r w:rsidR="001C78FB">
        <w:rPr>
          <w:lang w:eastAsia="ja-JP"/>
        </w:rPr>
        <w:t>en indien de werknemer arbeidsongeschikt is geworden</w:t>
      </w:r>
      <w:r w:rsidR="004537A7">
        <w:rPr>
          <w:lang w:eastAsia="ja-JP"/>
        </w:rPr>
        <w:t xml:space="preserve"> </w:t>
      </w:r>
      <w:r w:rsidR="00993FCC">
        <w:rPr>
          <w:lang w:eastAsia="ja-JP"/>
        </w:rPr>
        <w:t>om redenen die</w:t>
      </w:r>
      <w:r w:rsidR="004537A7">
        <w:rPr>
          <w:lang w:eastAsia="ja-JP"/>
        </w:rPr>
        <w:t xml:space="preserve"> de werkgever verweten k</w:t>
      </w:r>
      <w:r w:rsidR="00993FCC">
        <w:rPr>
          <w:lang w:eastAsia="ja-JP"/>
        </w:rPr>
        <w:t>u</w:t>
      </w:r>
      <w:r w:rsidR="004537A7">
        <w:rPr>
          <w:lang w:eastAsia="ja-JP"/>
        </w:rPr>
        <w:t>n</w:t>
      </w:r>
      <w:r w:rsidR="00993FCC">
        <w:rPr>
          <w:lang w:eastAsia="ja-JP"/>
        </w:rPr>
        <w:t>nen</w:t>
      </w:r>
      <w:r w:rsidR="004537A7">
        <w:rPr>
          <w:lang w:eastAsia="ja-JP"/>
        </w:rPr>
        <w:t xml:space="preserve"> worden. Overkoepelend kan</w:t>
      </w:r>
      <w:r w:rsidR="008F3B6C">
        <w:rPr>
          <w:lang w:eastAsia="ja-JP"/>
        </w:rPr>
        <w:t xml:space="preserve"> worden geconcludeerd dat</w:t>
      </w:r>
      <w:r w:rsidR="004537A7">
        <w:rPr>
          <w:lang w:eastAsia="ja-JP"/>
        </w:rPr>
        <w:t xml:space="preserve"> </w:t>
      </w:r>
      <w:r w:rsidR="00A70AB4">
        <w:rPr>
          <w:lang w:eastAsia="ja-JP"/>
        </w:rPr>
        <w:t>het niet in acht nemen van goed werkgeverschap</w:t>
      </w:r>
      <w:r w:rsidR="004537A7">
        <w:rPr>
          <w:lang w:eastAsia="ja-JP"/>
        </w:rPr>
        <w:t xml:space="preserve"> ernstig verwijtbaar </w:t>
      </w:r>
      <w:r w:rsidR="00A70AB4">
        <w:rPr>
          <w:lang w:eastAsia="ja-JP"/>
        </w:rPr>
        <w:t>is aan de werkgever</w:t>
      </w:r>
      <w:r w:rsidR="008F3B6C">
        <w:rPr>
          <w:lang w:eastAsia="ja-JP"/>
        </w:rPr>
        <w:t xml:space="preserve">. </w:t>
      </w:r>
    </w:p>
    <w:p w:rsidR="00ED3614" w:rsidRPr="00F9054A" w:rsidRDefault="00ED3614" w:rsidP="00825227">
      <w:pPr>
        <w:spacing w:after="0" w:line="360" w:lineRule="auto"/>
        <w:rPr>
          <w:lang w:eastAsia="ja-JP"/>
        </w:rPr>
      </w:pPr>
    </w:p>
    <w:p w:rsidR="004E4AFA" w:rsidRPr="004E4AFA" w:rsidRDefault="00C2576F" w:rsidP="00825227">
      <w:pPr>
        <w:pStyle w:val="Kop2"/>
        <w:spacing w:before="0" w:line="360" w:lineRule="auto"/>
        <w:rPr>
          <w:color w:val="auto"/>
          <w:sz w:val="24"/>
          <w:szCs w:val="24"/>
          <w:lang w:eastAsia="nl-NL"/>
        </w:rPr>
      </w:pPr>
      <w:bookmarkStart w:id="10" w:name="_Toc472509267"/>
      <w:r w:rsidRPr="004E4AFA">
        <w:rPr>
          <w:color w:val="auto"/>
          <w:sz w:val="24"/>
          <w:szCs w:val="24"/>
          <w:lang w:eastAsia="nl-NL"/>
        </w:rPr>
        <w:t xml:space="preserve">2.3 </w:t>
      </w:r>
      <w:r w:rsidR="004E4AFA" w:rsidRPr="004E4AFA">
        <w:rPr>
          <w:color w:val="auto"/>
          <w:sz w:val="24"/>
          <w:szCs w:val="24"/>
          <w:lang w:eastAsia="nl-NL"/>
        </w:rPr>
        <w:t>Hoe wordt de hoogte van de billijke vergoeding bepaald volgens de literatuur en de wetgeving?</w:t>
      </w:r>
      <w:bookmarkEnd w:id="10"/>
    </w:p>
    <w:p w:rsidR="00F5597E" w:rsidRPr="00825227" w:rsidRDefault="00F5597E" w:rsidP="00825227">
      <w:pPr>
        <w:pStyle w:val="Kop2"/>
        <w:spacing w:before="0" w:line="360" w:lineRule="auto"/>
        <w:rPr>
          <w:color w:val="auto"/>
          <w:sz w:val="22"/>
          <w:szCs w:val="22"/>
          <w:lang w:eastAsia="nl-NL"/>
        </w:rPr>
      </w:pPr>
    </w:p>
    <w:p w:rsidR="001775EE" w:rsidRPr="00D22E4A" w:rsidRDefault="001775EE" w:rsidP="00D7190B">
      <w:pPr>
        <w:spacing w:after="0" w:line="360" w:lineRule="auto"/>
        <w:rPr>
          <w:lang w:eastAsia="ja-JP"/>
        </w:rPr>
      </w:pPr>
      <w:r>
        <w:t xml:space="preserve">Hoewel hiervoor is omschreven dat </w:t>
      </w:r>
      <w:r w:rsidR="00024282">
        <w:t xml:space="preserve">door de kantonrechters </w:t>
      </w:r>
      <w:r>
        <w:t xml:space="preserve">strenge voorwaarden in acht moeten worden </w:t>
      </w:r>
      <w:r w:rsidR="00024282">
        <w:t xml:space="preserve">genomen </w:t>
      </w:r>
      <w:r>
        <w:t>bij een eventuele toekenning van de billijke vergoeding, heeft de rechter veel ruimte bij het bepalen van de hoogte ervan.</w:t>
      </w:r>
      <w:r>
        <w:rPr>
          <w:rStyle w:val="Voetnootmarkering"/>
        </w:rPr>
        <w:footnoteReference w:id="53"/>
      </w:r>
      <w:r>
        <w:t xml:space="preserve"> </w:t>
      </w:r>
    </w:p>
    <w:p w:rsidR="003A1F83" w:rsidRDefault="003A1F83" w:rsidP="00D7190B">
      <w:pPr>
        <w:spacing w:after="0" w:line="360" w:lineRule="auto"/>
      </w:pPr>
    </w:p>
    <w:p w:rsidR="008B5FB5" w:rsidRDefault="001775EE" w:rsidP="00D7190B">
      <w:pPr>
        <w:spacing w:after="0" w:line="360" w:lineRule="auto"/>
      </w:pPr>
      <w:r>
        <w:t xml:space="preserve">In de wet en in de wetsgeschiedenis is geen formule terug te vinden </w:t>
      </w:r>
      <w:r w:rsidR="00024282">
        <w:t>voor de wijze waarop</w:t>
      </w:r>
      <w:r>
        <w:t xml:space="preserve"> de hoogte van de additionele billijke vergoeding moet worden vastgesteld</w:t>
      </w:r>
      <w:r w:rsidR="008A4579">
        <w:t xml:space="preserve"> en wat de maximale vergoeding mag zijn</w:t>
      </w:r>
      <w:r>
        <w:t>.</w:t>
      </w:r>
      <w:r w:rsidR="00D9180C">
        <w:rPr>
          <w:rStyle w:val="Voetnootmarkering"/>
        </w:rPr>
        <w:footnoteReference w:id="54"/>
      </w:r>
      <w:r>
        <w:rPr>
          <w:rFonts w:hint="eastAsia"/>
          <w:lang w:eastAsia="ja-JP"/>
        </w:rPr>
        <w:t xml:space="preserve"> </w:t>
      </w:r>
      <w:r>
        <w:t>Wat betreft het bepalen van de hoogte van de billijke vergoeding valt slechts het volgende uit de wetsgeschiedenis af te leiden:</w:t>
      </w:r>
      <w:r w:rsidR="00FF693C" w:rsidRPr="00FF693C">
        <w:rPr>
          <w:rStyle w:val="Voetnootmarkering"/>
        </w:rPr>
        <w:t xml:space="preserve"> </w:t>
      </w:r>
    </w:p>
    <w:p w:rsidR="00F57C5A" w:rsidRPr="00F57C5A" w:rsidRDefault="003A1F83" w:rsidP="00D7190B">
      <w:pPr>
        <w:pStyle w:val="Lijstalinea"/>
        <w:numPr>
          <w:ilvl w:val="0"/>
          <w:numId w:val="7"/>
        </w:numPr>
        <w:spacing w:after="0" w:line="360" w:lineRule="auto"/>
      </w:pPr>
      <w:r>
        <w:rPr>
          <w:color w:val="000000"/>
          <w:shd w:val="clear" w:color="auto" w:fill="FFFFFF"/>
        </w:rPr>
        <w:t>d</w:t>
      </w:r>
      <w:r w:rsidR="00E64B14">
        <w:rPr>
          <w:color w:val="000000"/>
          <w:shd w:val="clear" w:color="auto" w:fill="FFFFFF"/>
        </w:rPr>
        <w:t>e</w:t>
      </w:r>
      <w:r w:rsidR="00F57C5A" w:rsidRPr="00F57C5A">
        <w:rPr>
          <w:color w:val="000000"/>
          <w:shd w:val="clear" w:color="auto" w:fill="FFFFFF"/>
        </w:rPr>
        <w:t xml:space="preserve"> rechter bepaalt de hoogte van de additionele billijke vergoeding. Hij kan daarbij rekening houden met de financiële situatie van de werkgever, mocht daartoe aanleiding zijn bijvoorbeeld omdat de werkgever daarom verzoekt</w:t>
      </w:r>
      <w:r w:rsidR="00681BFF">
        <w:rPr>
          <w:color w:val="000000"/>
          <w:shd w:val="clear" w:color="auto" w:fill="FFFFFF"/>
        </w:rPr>
        <w:t>;</w:t>
      </w:r>
      <w:r w:rsidR="00F57C5A">
        <w:rPr>
          <w:rStyle w:val="Voetnootmarkering"/>
          <w:color w:val="000000"/>
          <w:shd w:val="clear" w:color="auto" w:fill="FFFFFF"/>
        </w:rPr>
        <w:footnoteReference w:id="55"/>
      </w:r>
    </w:p>
    <w:p w:rsidR="008B5FB5" w:rsidRDefault="001775EE" w:rsidP="00BB32B0">
      <w:pPr>
        <w:pStyle w:val="Lijstalinea"/>
        <w:numPr>
          <w:ilvl w:val="0"/>
          <w:numId w:val="6"/>
        </w:numPr>
        <w:spacing w:line="360" w:lineRule="auto"/>
        <w:rPr>
          <w:lang w:eastAsia="ja-JP"/>
        </w:rPr>
      </w:pPr>
      <w:r>
        <w:t>de hoogte van de billijke vergoeding staat in relatie tot het ernstig verwijtba</w:t>
      </w:r>
      <w:r w:rsidR="00024282">
        <w:t>a</w:t>
      </w:r>
      <w:r>
        <w:t xml:space="preserve">r handelen of nalaten van de werkgever; </w:t>
      </w:r>
    </w:p>
    <w:p w:rsidR="008B5FB5" w:rsidRDefault="001775EE" w:rsidP="00BB32B0">
      <w:pPr>
        <w:pStyle w:val="Lijstalinea"/>
        <w:numPr>
          <w:ilvl w:val="0"/>
          <w:numId w:val="6"/>
        </w:numPr>
        <w:spacing w:line="360" w:lineRule="auto"/>
        <w:rPr>
          <w:lang w:eastAsia="ja-JP"/>
        </w:rPr>
      </w:pPr>
      <w:r>
        <w:t>het past niet om hiervoor criteria in de wet op te nemen</w:t>
      </w:r>
      <w:r w:rsidR="00D7190B">
        <w:t>,</w:t>
      </w:r>
      <w:r>
        <w:t xml:space="preserve"> </w:t>
      </w:r>
      <w:r w:rsidR="00D7190B">
        <w:t>d</w:t>
      </w:r>
      <w:r>
        <w:t xml:space="preserve">e rechter heeft de vrijheid om de hoogte te bepalen op een wijze en op het niveau die aansluiten bij de bijzondere omstandigheden van het geval; </w:t>
      </w:r>
    </w:p>
    <w:p w:rsidR="008B5FB5" w:rsidRDefault="001775EE" w:rsidP="00BB32B0">
      <w:pPr>
        <w:pStyle w:val="Lijstalinea"/>
        <w:numPr>
          <w:ilvl w:val="0"/>
          <w:numId w:val="6"/>
        </w:numPr>
        <w:spacing w:line="360" w:lineRule="auto"/>
        <w:rPr>
          <w:lang w:eastAsia="ja-JP"/>
        </w:rPr>
      </w:pPr>
      <w:r>
        <w:lastRenderedPageBreak/>
        <w:t>criteria als loon en duur van het dienstverband hoeven geen rol te spelen bij het bepalen van de hoogte van de billijke vergoeding</w:t>
      </w:r>
      <w:r w:rsidRPr="008B5FB5">
        <w:rPr>
          <w:rFonts w:ascii="Verdana" w:hAnsi="Verdana"/>
          <w:color w:val="000000"/>
          <w:sz w:val="18"/>
          <w:szCs w:val="18"/>
        </w:rPr>
        <w:t xml:space="preserve">, </w:t>
      </w:r>
      <w:r w:rsidRPr="008B5FB5">
        <w:rPr>
          <w:color w:val="000000"/>
        </w:rPr>
        <w:t>omdat dit al is verdisconteerd in de transitievergoeding</w:t>
      </w:r>
      <w:r w:rsidR="00024282">
        <w:rPr>
          <w:color w:val="000000"/>
        </w:rPr>
        <w:t xml:space="preserve"> en</w:t>
      </w:r>
      <w:r w:rsidR="00FF4DA6">
        <w:rPr>
          <w:color w:val="000000"/>
        </w:rPr>
        <w:t xml:space="preserve"> er hoeft geen rekening gehouden te worden met het gevolgencriterium bij het bepalen van de hoogte van de billijke vergoeding</w:t>
      </w:r>
      <w:r w:rsidR="00024282">
        <w:rPr>
          <w:color w:val="000000"/>
        </w:rPr>
        <w:t>;</w:t>
      </w:r>
      <w:r w:rsidR="00FF4DA6">
        <w:rPr>
          <w:rStyle w:val="Voetnootmarkering"/>
        </w:rPr>
        <w:footnoteReference w:id="56"/>
      </w:r>
      <w:r w:rsidRPr="00357565">
        <w:t xml:space="preserve"> </w:t>
      </w:r>
    </w:p>
    <w:p w:rsidR="001775EE" w:rsidRDefault="00D05CDD" w:rsidP="00BB32B0">
      <w:pPr>
        <w:pStyle w:val="Lijstalinea"/>
        <w:numPr>
          <w:ilvl w:val="0"/>
          <w:numId w:val="6"/>
        </w:numPr>
        <w:spacing w:line="360" w:lineRule="auto"/>
        <w:rPr>
          <w:lang w:eastAsia="ja-JP"/>
        </w:rPr>
      </w:pPr>
      <w:r>
        <w:t>uit</w:t>
      </w:r>
      <w:r w:rsidR="001775EE" w:rsidRPr="00357565">
        <w:t xml:space="preserve"> de</w:t>
      </w:r>
      <w:r w:rsidR="001775EE">
        <w:t xml:space="preserve"> vergoeding hoeft niet duidelijk te worden of het ontslag redelijk is in het licht van het gevolgencriterium</w:t>
      </w:r>
      <w:r>
        <w:t>, aangezien dit al is meegewogen in de transitievergoeding</w:t>
      </w:r>
      <w:r w:rsidR="001775EE">
        <w:t>; er mag rekening gehouden worden met de financ</w:t>
      </w:r>
      <w:r w:rsidR="004F1E96">
        <w:t>iële situatie van de werkgever.</w:t>
      </w:r>
      <w:r w:rsidR="00C246CB">
        <w:rPr>
          <w:rStyle w:val="Voetnootmarkering"/>
        </w:rPr>
        <w:footnoteReference w:id="57"/>
      </w:r>
    </w:p>
    <w:p w:rsidR="00EA6D81" w:rsidRDefault="00EA6D81" w:rsidP="0082182A">
      <w:pPr>
        <w:spacing w:line="360" w:lineRule="auto"/>
        <w:rPr>
          <w:lang w:eastAsia="ja-JP"/>
        </w:rPr>
      </w:pPr>
    </w:p>
    <w:p w:rsidR="001C0198" w:rsidRPr="005442B8" w:rsidRDefault="00B928D6" w:rsidP="0082182A">
      <w:pPr>
        <w:spacing w:line="360" w:lineRule="auto"/>
        <w:rPr>
          <w:lang w:eastAsia="ja-JP"/>
        </w:rPr>
      </w:pPr>
      <w:r>
        <w:rPr>
          <w:lang w:eastAsia="ja-JP"/>
        </w:rPr>
        <w:t>Als de werknemer kan kiezen tussen een billijke vergoeding of vernietiging van de overeenkomst</w:t>
      </w:r>
      <w:r w:rsidR="00D05CDD">
        <w:rPr>
          <w:lang w:eastAsia="ja-JP"/>
        </w:rPr>
        <w:t xml:space="preserve"> op grond van artikel 7:681 BW, kan, bij de vernietiging van de overeenkomst, </w:t>
      </w:r>
      <w:r>
        <w:rPr>
          <w:lang w:eastAsia="ja-JP"/>
        </w:rPr>
        <w:t>het niet ge</w:t>
      </w:r>
      <w:r w:rsidR="00D05CDD">
        <w:rPr>
          <w:lang w:eastAsia="ja-JP"/>
        </w:rPr>
        <w:t>noten loon worden verdisconteerd</w:t>
      </w:r>
      <w:r w:rsidR="00FF4DA6">
        <w:rPr>
          <w:lang w:eastAsia="ja-JP"/>
        </w:rPr>
        <w:t xml:space="preserve"> in de billijke vergoeding.</w:t>
      </w:r>
      <w:r w:rsidR="00FF4DA6">
        <w:rPr>
          <w:rStyle w:val="Voetnootmarkering"/>
          <w:lang w:eastAsia="ja-JP"/>
        </w:rPr>
        <w:footnoteReference w:id="58"/>
      </w:r>
      <w:r w:rsidR="006956FC">
        <w:rPr>
          <w:lang w:eastAsia="ja-JP"/>
        </w:rPr>
        <w:t xml:space="preserve"> </w:t>
      </w:r>
      <w:r w:rsidR="001C0198">
        <w:rPr>
          <w:lang w:eastAsia="ja-JP"/>
        </w:rPr>
        <w:t xml:space="preserve"> </w:t>
      </w:r>
      <w:r w:rsidR="00D05CDD">
        <w:rPr>
          <w:lang w:eastAsia="ja-JP"/>
        </w:rPr>
        <w:t xml:space="preserve">Hiermee wordt bedoeld dat de maanden die door de werkgever </w:t>
      </w:r>
      <w:r w:rsidR="00D7190B">
        <w:rPr>
          <w:lang w:eastAsia="ja-JP"/>
        </w:rPr>
        <w:t xml:space="preserve">aan de werknemer tot aan de vernietiging </w:t>
      </w:r>
      <w:r w:rsidR="00D05CDD">
        <w:rPr>
          <w:lang w:eastAsia="ja-JP"/>
        </w:rPr>
        <w:t xml:space="preserve">niet zijn uitbetaald, in de billijke vergoeding </w:t>
      </w:r>
      <w:r w:rsidR="00024282">
        <w:rPr>
          <w:lang w:eastAsia="ja-JP"/>
        </w:rPr>
        <w:t xml:space="preserve">kunnen </w:t>
      </w:r>
      <w:r w:rsidR="00D05CDD">
        <w:rPr>
          <w:lang w:eastAsia="ja-JP"/>
        </w:rPr>
        <w:t xml:space="preserve">worden meegerekend. </w:t>
      </w:r>
      <w:r w:rsidR="00C940C5" w:rsidRPr="001C0198">
        <w:rPr>
          <w:lang w:eastAsia="ja-JP"/>
        </w:rPr>
        <w:t xml:space="preserve">De additionele billijke vergoeding biedt </w:t>
      </w:r>
      <w:r w:rsidR="009D3500" w:rsidRPr="001C0198">
        <w:rPr>
          <w:lang w:eastAsia="ja-JP"/>
        </w:rPr>
        <w:t>de werknemer compensatie voor het ernstig verwijtbaar handelen of nalaten van de werkgever</w:t>
      </w:r>
      <w:r w:rsidR="001C0198" w:rsidRPr="001C0198">
        <w:rPr>
          <w:lang w:eastAsia="ja-JP"/>
        </w:rPr>
        <w:t xml:space="preserve"> maar het dient ook om dergelijke handelingen van werkgever </w:t>
      </w:r>
      <w:r w:rsidR="00024282" w:rsidRPr="001C0198">
        <w:rPr>
          <w:lang w:eastAsia="ja-JP"/>
        </w:rPr>
        <w:t xml:space="preserve">in de toekomst </w:t>
      </w:r>
      <w:r w:rsidR="001C0198" w:rsidRPr="001C0198">
        <w:rPr>
          <w:lang w:eastAsia="ja-JP"/>
        </w:rPr>
        <w:t>te voorkomen</w:t>
      </w:r>
      <w:r w:rsidR="009D3500" w:rsidRPr="001C0198">
        <w:rPr>
          <w:lang w:eastAsia="ja-JP"/>
        </w:rPr>
        <w:t>.</w:t>
      </w:r>
      <w:r w:rsidR="001C0198" w:rsidRPr="001C0198">
        <w:rPr>
          <w:lang w:eastAsia="ja-JP"/>
        </w:rPr>
        <w:t xml:space="preserve"> </w:t>
      </w:r>
      <w:r w:rsidR="001C0198">
        <w:rPr>
          <w:rStyle w:val="Voetnootmarkering"/>
          <w:lang w:eastAsia="ja-JP"/>
        </w:rPr>
        <w:footnoteReference w:id="59"/>
      </w:r>
      <w:r w:rsidR="001C0198">
        <w:rPr>
          <w:lang w:eastAsia="ja-JP"/>
        </w:rPr>
        <w:t xml:space="preserve"> Kortom, de billijke vergoeding wordt niet slechts ter compensatie uitgekeerd maar heeft ook een preventieve en een straffende werking.</w:t>
      </w:r>
      <w:r w:rsidR="001C0198">
        <w:rPr>
          <w:rStyle w:val="Voetnootmarkering"/>
          <w:lang w:eastAsia="ja-JP"/>
        </w:rPr>
        <w:footnoteReference w:id="60"/>
      </w:r>
      <w:r w:rsidR="001C0198">
        <w:rPr>
          <w:lang w:eastAsia="ja-JP"/>
        </w:rPr>
        <w:t xml:space="preserve"> </w:t>
      </w:r>
    </w:p>
    <w:p w:rsidR="00F92067" w:rsidRDefault="00240E71" w:rsidP="00240E7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Style w:val="Nadruk2"/>
          <w:rFonts w:ascii="Verdana" w:hAnsi="Verdana"/>
          <w:iCs/>
          <w:sz w:val="18"/>
          <w:szCs w:val="18"/>
          <w:shd w:val="clear" w:color="auto" w:fill="FFFFFF"/>
        </w:rPr>
      </w:pPr>
      <w:r>
        <w:rPr>
          <w:rFonts w:cstheme="minorHAnsi"/>
          <w:shd w:val="clear" w:color="auto" w:fill="FFFFFF"/>
        </w:rPr>
        <w:t xml:space="preserve">De minister heeft bij </w:t>
      </w:r>
      <w:r w:rsidRPr="00240E71">
        <w:rPr>
          <w:rFonts w:cstheme="minorHAnsi"/>
          <w:shd w:val="clear" w:color="auto" w:fill="FFFFFF"/>
        </w:rPr>
        <w:t xml:space="preserve">de behandeling van het wetsvoorstel in de Eerste Kamer, naar aanleiding van opmerkingen van de </w:t>
      </w:r>
      <w:r w:rsidR="00FE2524" w:rsidRPr="000B0F5F">
        <w:rPr>
          <w:rFonts w:ascii="Calibri" w:eastAsia="Calibri" w:hAnsi="Calibri" w:cs="Calibri"/>
          <w:color w:val="000000" w:themeColor="text1"/>
          <w:shd w:val="clear" w:color="auto" w:fill="FFFFFF"/>
        </w:rPr>
        <w:t>Vereniging Arbeidsrecht Advocaten Nederland (</w:t>
      </w:r>
      <w:r w:rsidR="00FE2524">
        <w:rPr>
          <w:rFonts w:ascii="Calibri" w:eastAsia="Calibri" w:hAnsi="Calibri" w:cs="Calibri"/>
          <w:shd w:val="clear" w:color="auto" w:fill="FFFFFF"/>
        </w:rPr>
        <w:t xml:space="preserve">VAAN), </w:t>
      </w:r>
      <w:r w:rsidRPr="00240E71">
        <w:rPr>
          <w:rFonts w:cstheme="minorHAnsi"/>
          <w:shd w:val="clear" w:color="auto" w:fill="FFFFFF"/>
        </w:rPr>
        <w:t>met betrekking tot de billijke vergoeding onder andere het volgende opgemerkt:</w:t>
      </w:r>
      <w:r w:rsidRPr="00240E71">
        <w:rPr>
          <w:rFonts w:cstheme="minorHAnsi"/>
        </w:rPr>
        <w:br/>
      </w:r>
      <w:r w:rsidRPr="00240E71">
        <w:rPr>
          <w:rFonts w:ascii="Verdana" w:hAnsi="Verdana"/>
          <w:i/>
          <w:sz w:val="18"/>
          <w:szCs w:val="18"/>
          <w:shd w:val="clear" w:color="auto" w:fill="FFFFFF"/>
        </w:rPr>
        <w:t>“</w:t>
      </w:r>
      <w:r w:rsidRPr="00240E71">
        <w:rPr>
          <w:rStyle w:val="Nadruk2"/>
          <w:rFonts w:ascii="Verdana" w:hAnsi="Verdana"/>
          <w:i/>
          <w:iCs/>
          <w:sz w:val="18"/>
          <w:szCs w:val="18"/>
          <w:shd w:val="clear" w:color="auto" w:fill="FFFFFF"/>
        </w:rPr>
        <w:t xml:space="preserve">De VAAN merkt op dat in het wetsvoorstel op verschillende plaatsen, en </w:t>
      </w:r>
      <w:r w:rsidR="00FE2524">
        <w:rPr>
          <w:rStyle w:val="Nadruk2"/>
          <w:rFonts w:ascii="Verdana" w:hAnsi="Verdana"/>
          <w:i/>
          <w:iCs/>
          <w:sz w:val="18"/>
          <w:szCs w:val="18"/>
          <w:shd w:val="clear" w:color="auto" w:fill="FFFFFF"/>
        </w:rPr>
        <w:t xml:space="preserve">in </w:t>
      </w:r>
      <w:r w:rsidRPr="00240E71">
        <w:rPr>
          <w:rStyle w:val="Nadruk2"/>
          <w:rFonts w:ascii="Verdana" w:hAnsi="Verdana"/>
          <w:i/>
          <w:iCs/>
          <w:sz w:val="18"/>
          <w:szCs w:val="18"/>
          <w:shd w:val="clear" w:color="auto" w:fill="FFFFFF"/>
        </w:rPr>
        <w:t>totaal ve</w:t>
      </w:r>
      <w:r>
        <w:rPr>
          <w:rStyle w:val="Nadruk2"/>
          <w:rFonts w:ascii="Verdana" w:hAnsi="Verdana"/>
          <w:i/>
          <w:iCs/>
          <w:sz w:val="18"/>
          <w:szCs w:val="18"/>
          <w:shd w:val="clear" w:color="auto" w:fill="FFFFFF"/>
        </w:rPr>
        <w:t>rschillende situaties, de term ‘billijke vergoeding’</w:t>
      </w:r>
      <w:r w:rsidRPr="00240E71">
        <w:rPr>
          <w:rStyle w:val="Nadruk2"/>
          <w:rFonts w:ascii="Verdana" w:hAnsi="Verdana"/>
          <w:i/>
          <w:iCs/>
          <w:sz w:val="18"/>
          <w:szCs w:val="18"/>
          <w:shd w:val="clear" w:color="auto" w:fill="FFFFFF"/>
        </w:rPr>
        <w:t xml:space="preserve"> terugkomt en vraagt of de regering kan uitleggen of hier een uniforme uitleg wordt nagestreefd of dat per bepaling de rechter volledig vrij is </w:t>
      </w:r>
      <w:r>
        <w:rPr>
          <w:rStyle w:val="Nadruk2"/>
          <w:rFonts w:ascii="Verdana" w:hAnsi="Verdana"/>
          <w:i/>
          <w:iCs/>
          <w:sz w:val="18"/>
          <w:szCs w:val="18"/>
          <w:shd w:val="clear" w:color="auto" w:fill="FFFFFF"/>
        </w:rPr>
        <w:t>invulling te geven aan wat hem ‘</w:t>
      </w:r>
      <w:r w:rsidRPr="00240E71">
        <w:rPr>
          <w:rStyle w:val="Nadruk2"/>
          <w:rFonts w:ascii="Verdana" w:hAnsi="Verdana"/>
          <w:i/>
          <w:iCs/>
          <w:sz w:val="18"/>
          <w:szCs w:val="18"/>
          <w:shd w:val="clear" w:color="auto" w:fill="FFFFFF"/>
        </w:rPr>
        <w:t>billijk</w:t>
      </w:r>
      <w:r>
        <w:rPr>
          <w:rStyle w:val="Nadruk2"/>
          <w:rFonts w:ascii="Verdana" w:hAnsi="Verdana"/>
          <w:i/>
          <w:iCs/>
          <w:sz w:val="18"/>
          <w:szCs w:val="18"/>
          <w:shd w:val="clear" w:color="auto" w:fill="FFFFFF"/>
        </w:rPr>
        <w:t>’</w:t>
      </w:r>
      <w:r w:rsidR="00A66053">
        <w:rPr>
          <w:rStyle w:val="Nadruk2"/>
          <w:rFonts w:ascii="Verdana" w:hAnsi="Verdana"/>
          <w:i/>
          <w:iCs/>
          <w:sz w:val="18"/>
          <w:szCs w:val="18"/>
          <w:shd w:val="clear" w:color="auto" w:fill="FFFFFF"/>
        </w:rPr>
        <w:t xml:space="preserve"> voorkomt.</w:t>
      </w:r>
      <w:r w:rsidR="00A66053" w:rsidRPr="00240E71">
        <w:rPr>
          <w:rStyle w:val="Nadruk2"/>
          <w:rFonts w:ascii="Verdana" w:hAnsi="Verdana"/>
          <w:i/>
          <w:iCs/>
          <w:sz w:val="18"/>
          <w:szCs w:val="18"/>
          <w:shd w:val="clear" w:color="auto" w:fill="FFFFFF"/>
        </w:rPr>
        <w:t>”</w:t>
      </w:r>
      <w:r w:rsidR="00A66053" w:rsidRPr="00240E71">
        <w:rPr>
          <w:rStyle w:val="apple-converted-space"/>
          <w:rFonts w:ascii="Verdana" w:hAnsi="Verdana"/>
          <w:i/>
          <w:iCs/>
          <w:sz w:val="18"/>
          <w:szCs w:val="18"/>
          <w:shd w:val="clear" w:color="auto" w:fill="FFFFFF"/>
        </w:rPr>
        <w:t> </w:t>
      </w:r>
      <w:r w:rsidRPr="00240E71">
        <w:rPr>
          <w:rStyle w:val="Nadruk2"/>
          <w:rFonts w:ascii="Verdana" w:hAnsi="Verdana"/>
          <w:i/>
          <w:iCs/>
          <w:sz w:val="18"/>
          <w:szCs w:val="18"/>
          <w:shd w:val="clear" w:color="auto" w:fill="FFFFFF"/>
        </w:rPr>
        <w:t xml:space="preserve"> </w:t>
      </w:r>
      <w:r w:rsidRPr="00A66053">
        <w:rPr>
          <w:rStyle w:val="Nadruk2"/>
          <w:rFonts w:ascii="Verdana" w:hAnsi="Verdana"/>
          <w:iCs/>
          <w:sz w:val="18"/>
          <w:szCs w:val="18"/>
          <w:shd w:val="clear" w:color="auto" w:fill="FFFFFF"/>
        </w:rPr>
        <w:t xml:space="preserve">Naar aanleiding hiervan merkt de regering op dat de </w:t>
      </w:r>
      <w:r w:rsidR="00A66053">
        <w:rPr>
          <w:rStyle w:val="Nadruk2"/>
          <w:rFonts w:ascii="Verdana" w:hAnsi="Verdana"/>
          <w:iCs/>
          <w:sz w:val="18"/>
          <w:szCs w:val="18"/>
          <w:shd w:val="clear" w:color="auto" w:fill="FFFFFF"/>
        </w:rPr>
        <w:t>kanton</w:t>
      </w:r>
      <w:r w:rsidRPr="00A66053">
        <w:rPr>
          <w:rStyle w:val="Nadruk2"/>
          <w:rFonts w:ascii="Verdana" w:hAnsi="Verdana"/>
          <w:iCs/>
          <w:sz w:val="18"/>
          <w:szCs w:val="18"/>
          <w:shd w:val="clear" w:color="auto" w:fill="FFFFFF"/>
        </w:rPr>
        <w:t xml:space="preserve">rechter een billijke vergoeding kan toekennen </w:t>
      </w:r>
      <w:r w:rsidR="00A66053">
        <w:rPr>
          <w:rStyle w:val="Nadruk2"/>
          <w:rFonts w:ascii="Verdana" w:hAnsi="Verdana"/>
          <w:iCs/>
          <w:sz w:val="18"/>
          <w:szCs w:val="18"/>
          <w:shd w:val="clear" w:color="auto" w:fill="FFFFFF"/>
        </w:rPr>
        <w:t>indien</w:t>
      </w:r>
      <w:r w:rsidRPr="00A66053">
        <w:rPr>
          <w:rStyle w:val="Nadruk2"/>
          <w:rFonts w:ascii="Verdana" w:hAnsi="Verdana"/>
          <w:iCs/>
          <w:sz w:val="18"/>
          <w:szCs w:val="18"/>
          <w:shd w:val="clear" w:color="auto" w:fill="FFFFFF"/>
        </w:rPr>
        <w:t xml:space="preserve"> het ontslag het gevolg is van ernstig verwijtbaar hand</w:t>
      </w:r>
      <w:r w:rsidR="00A66053">
        <w:rPr>
          <w:rStyle w:val="Nadruk2"/>
          <w:rFonts w:ascii="Verdana" w:hAnsi="Verdana"/>
          <w:iCs/>
          <w:sz w:val="18"/>
          <w:szCs w:val="18"/>
          <w:shd w:val="clear" w:color="auto" w:fill="FFFFFF"/>
        </w:rPr>
        <w:t>elen of nalaten van de werkgever</w:t>
      </w:r>
      <w:r w:rsidRPr="00A66053">
        <w:rPr>
          <w:rStyle w:val="Nadruk2"/>
          <w:rFonts w:ascii="Verdana" w:hAnsi="Verdana"/>
          <w:iCs/>
          <w:sz w:val="18"/>
          <w:szCs w:val="18"/>
          <w:shd w:val="clear" w:color="auto" w:fill="FFFFFF"/>
        </w:rPr>
        <w:t>, dan wel ernstig verwijtbaar is omdat de werkgever de voor een rechtsgeldig ontslag geldende voorschriften niet heeft nageleefd</w:t>
      </w:r>
      <w:r w:rsidR="00A66053">
        <w:rPr>
          <w:rStyle w:val="Nadruk2"/>
          <w:rFonts w:ascii="Verdana" w:hAnsi="Verdana"/>
          <w:iCs/>
          <w:sz w:val="18"/>
          <w:szCs w:val="18"/>
          <w:shd w:val="clear" w:color="auto" w:fill="FFFFFF"/>
        </w:rPr>
        <w:t xml:space="preserve">, zoals bijvoorbeeld </w:t>
      </w:r>
      <w:r w:rsidR="00024282">
        <w:rPr>
          <w:rStyle w:val="Nadruk2"/>
          <w:rFonts w:ascii="Verdana" w:hAnsi="Verdana"/>
          <w:iCs/>
          <w:sz w:val="18"/>
          <w:szCs w:val="18"/>
          <w:shd w:val="clear" w:color="auto" w:fill="FFFFFF"/>
        </w:rPr>
        <w:t xml:space="preserve">het </w:t>
      </w:r>
      <w:r w:rsidR="00A66053">
        <w:rPr>
          <w:rStyle w:val="Nadruk2"/>
          <w:rFonts w:ascii="Verdana" w:hAnsi="Verdana"/>
          <w:iCs/>
          <w:sz w:val="18"/>
          <w:szCs w:val="18"/>
          <w:shd w:val="clear" w:color="auto" w:fill="FFFFFF"/>
        </w:rPr>
        <w:t>opzeggen van de arbeidsovereenkomst zonder preventieve toets van UWV of de rechter.</w:t>
      </w:r>
      <w:r w:rsidRPr="00A66053">
        <w:rPr>
          <w:rStyle w:val="Nadruk2"/>
          <w:rFonts w:ascii="Verdana" w:hAnsi="Verdana"/>
          <w:iCs/>
          <w:sz w:val="18"/>
          <w:szCs w:val="18"/>
          <w:shd w:val="clear" w:color="auto" w:fill="FFFFFF"/>
        </w:rPr>
        <w:t xml:space="preserve"> </w:t>
      </w:r>
    </w:p>
    <w:p w:rsidR="00240E71" w:rsidRPr="00240E71" w:rsidRDefault="00A66053" w:rsidP="00240E7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Verdana" w:hAnsi="Verdana"/>
          <w:i/>
          <w:iCs/>
          <w:sz w:val="18"/>
          <w:szCs w:val="18"/>
          <w:shd w:val="clear" w:color="auto" w:fill="FFFFFF"/>
        </w:rPr>
      </w:pPr>
      <w:r>
        <w:rPr>
          <w:rStyle w:val="Nadruk2"/>
          <w:rFonts w:ascii="Verdana" w:hAnsi="Verdana"/>
          <w:iCs/>
          <w:sz w:val="18"/>
          <w:szCs w:val="18"/>
          <w:shd w:val="clear" w:color="auto" w:fill="FFFFFF"/>
        </w:rPr>
        <w:t xml:space="preserve">De </w:t>
      </w:r>
      <w:r w:rsidR="00240E71" w:rsidRPr="00A66053">
        <w:rPr>
          <w:rStyle w:val="Nadruk2"/>
          <w:rFonts w:ascii="Verdana" w:hAnsi="Verdana"/>
          <w:iCs/>
          <w:sz w:val="18"/>
          <w:szCs w:val="18"/>
          <w:shd w:val="clear" w:color="auto" w:fill="FFFFFF"/>
        </w:rPr>
        <w:t xml:space="preserve">rechter </w:t>
      </w:r>
      <w:r>
        <w:rPr>
          <w:rStyle w:val="Nadruk2"/>
          <w:rFonts w:ascii="Verdana" w:hAnsi="Verdana"/>
          <w:iCs/>
          <w:sz w:val="18"/>
          <w:szCs w:val="18"/>
          <w:shd w:val="clear" w:color="auto" w:fill="FFFFFF"/>
        </w:rPr>
        <w:t xml:space="preserve">dient, </w:t>
      </w:r>
      <w:r w:rsidR="00240E71" w:rsidRPr="00A66053">
        <w:rPr>
          <w:rStyle w:val="Nadruk2"/>
          <w:rFonts w:ascii="Verdana" w:hAnsi="Verdana"/>
          <w:iCs/>
          <w:sz w:val="18"/>
          <w:szCs w:val="18"/>
          <w:shd w:val="clear" w:color="auto" w:fill="FFFFFF"/>
        </w:rPr>
        <w:t>aan de hand van de individuele omstandigheden van het geval</w:t>
      </w:r>
      <w:r>
        <w:rPr>
          <w:rStyle w:val="Nadruk2"/>
          <w:rFonts w:ascii="Verdana" w:hAnsi="Verdana"/>
          <w:iCs/>
          <w:sz w:val="18"/>
          <w:szCs w:val="18"/>
          <w:shd w:val="clear" w:color="auto" w:fill="FFFFFF"/>
        </w:rPr>
        <w:t xml:space="preserve">, te beoordelen </w:t>
      </w:r>
      <w:r w:rsidR="00240E71" w:rsidRPr="00A66053">
        <w:rPr>
          <w:rStyle w:val="Nadruk2"/>
          <w:rFonts w:ascii="Verdana" w:hAnsi="Verdana"/>
          <w:iCs/>
          <w:sz w:val="18"/>
          <w:szCs w:val="18"/>
          <w:shd w:val="clear" w:color="auto" w:fill="FFFFFF"/>
        </w:rPr>
        <w:t xml:space="preserve">of </w:t>
      </w:r>
      <w:r>
        <w:rPr>
          <w:rStyle w:val="Nadruk2"/>
          <w:rFonts w:ascii="Verdana" w:hAnsi="Verdana"/>
          <w:iCs/>
          <w:sz w:val="18"/>
          <w:szCs w:val="18"/>
          <w:shd w:val="clear" w:color="auto" w:fill="FFFFFF"/>
        </w:rPr>
        <w:t>de</w:t>
      </w:r>
      <w:r w:rsidR="00240E71" w:rsidRPr="00A66053">
        <w:rPr>
          <w:rStyle w:val="Nadruk2"/>
          <w:rFonts w:ascii="Verdana" w:hAnsi="Verdana"/>
          <w:iCs/>
          <w:sz w:val="18"/>
          <w:szCs w:val="18"/>
          <w:shd w:val="clear" w:color="auto" w:fill="FFFFFF"/>
        </w:rPr>
        <w:t xml:space="preserve"> billijke vergoeding</w:t>
      </w:r>
      <w:r>
        <w:rPr>
          <w:rStyle w:val="Nadruk2"/>
          <w:rFonts w:ascii="Verdana" w:hAnsi="Verdana"/>
          <w:iCs/>
          <w:sz w:val="18"/>
          <w:szCs w:val="18"/>
          <w:shd w:val="clear" w:color="auto" w:fill="FFFFFF"/>
        </w:rPr>
        <w:t xml:space="preserve"> moet worden toegekend en zo ja, hoe hoog deze vergoeding moet zijn</w:t>
      </w:r>
      <w:r w:rsidR="00240E71" w:rsidRPr="00240E71">
        <w:rPr>
          <w:rStyle w:val="Nadruk2"/>
          <w:rFonts w:ascii="Verdana" w:hAnsi="Verdana"/>
          <w:i/>
          <w:iCs/>
          <w:sz w:val="18"/>
          <w:szCs w:val="18"/>
          <w:shd w:val="clear" w:color="auto" w:fill="FFFFFF"/>
        </w:rPr>
        <w:t>.</w:t>
      </w:r>
      <w:r w:rsidR="00240E71" w:rsidRPr="00240E71">
        <w:rPr>
          <w:rStyle w:val="Voetnootmarkering"/>
          <w:rFonts w:ascii="Verdana" w:hAnsi="Verdana"/>
          <w:i/>
          <w:iCs/>
          <w:sz w:val="18"/>
          <w:szCs w:val="18"/>
          <w:shd w:val="clear" w:color="auto" w:fill="FFFFFF"/>
        </w:rPr>
        <w:footnoteReference w:id="61"/>
      </w:r>
      <w:r w:rsidR="00240E71" w:rsidRPr="00240E71">
        <w:rPr>
          <w:rFonts w:cs="Arial"/>
          <w:shd w:val="clear" w:color="auto" w:fill="FFFFFF"/>
        </w:rPr>
        <w:t xml:space="preserve"> </w:t>
      </w:r>
    </w:p>
    <w:p w:rsidR="00240E71" w:rsidRDefault="00240E71" w:rsidP="00240E71">
      <w:pPr>
        <w:spacing w:line="360" w:lineRule="auto"/>
        <w:rPr>
          <w:rFonts w:cs="Arial"/>
          <w:shd w:val="clear" w:color="auto" w:fill="FFFFFF"/>
        </w:rPr>
      </w:pPr>
      <w:r w:rsidRPr="00240E71">
        <w:rPr>
          <w:rFonts w:cs="Arial"/>
          <w:shd w:val="clear" w:color="auto" w:fill="FFFFFF"/>
        </w:rPr>
        <w:lastRenderedPageBreak/>
        <w:t xml:space="preserve">Er bestaat veel kritiek op het feit dat de kantonrechter geheel vrij is in het bepalen van de hoogte van de billijke vergoeding. </w:t>
      </w:r>
      <w:r w:rsidR="00024282">
        <w:rPr>
          <w:rFonts w:cs="Arial"/>
          <w:shd w:val="clear" w:color="auto" w:fill="FFFFFF"/>
        </w:rPr>
        <w:t>De m</w:t>
      </w:r>
      <w:r w:rsidRPr="00240E71">
        <w:rPr>
          <w:rFonts w:cs="Arial"/>
          <w:shd w:val="clear" w:color="auto" w:fill="FFFFFF"/>
        </w:rPr>
        <w:t xml:space="preserve">inister van Sociale Zaken en Werkgelegenheid, </w:t>
      </w:r>
      <w:r w:rsidR="00024282">
        <w:rPr>
          <w:rFonts w:cs="Arial"/>
          <w:shd w:val="clear" w:color="auto" w:fill="FFFFFF"/>
        </w:rPr>
        <w:t>Lodewijk</w:t>
      </w:r>
      <w:r w:rsidRPr="00240E71">
        <w:rPr>
          <w:rFonts w:cs="Arial"/>
          <w:shd w:val="clear" w:color="auto" w:fill="FFFFFF"/>
        </w:rPr>
        <w:t xml:space="preserve"> Asscher, constateerde dat ‘de toegekende billijke vergoedingen bij ernstige verwijtbaarheid van de werkgever nogal in hoogte verschillen’, maar ‘dat is ook verklaarbaar omdat de wet geen norm stelt voor deze vergoeding’.</w:t>
      </w:r>
      <w:r w:rsidRPr="00240E71">
        <w:rPr>
          <w:rStyle w:val="Voetnootmarkering"/>
          <w:rFonts w:cs="Arial"/>
          <w:shd w:val="clear" w:color="auto" w:fill="FFFFFF"/>
        </w:rPr>
        <w:footnoteReference w:id="62"/>
      </w:r>
      <w:r w:rsidRPr="00240E71">
        <w:rPr>
          <w:rFonts w:cs="Arial"/>
          <w:shd w:val="clear" w:color="auto" w:fill="FFFFFF"/>
        </w:rPr>
        <w:t xml:space="preserve"> Voor de rechters is het erg lastig omdat de aanwijzingen van de wetgever tegenstrijdig zijn. </w:t>
      </w:r>
    </w:p>
    <w:p w:rsidR="00240E71" w:rsidRPr="00240E71" w:rsidRDefault="00240E71" w:rsidP="00240E71">
      <w:pPr>
        <w:spacing w:line="360" w:lineRule="auto"/>
        <w:rPr>
          <w:rFonts w:cs="Arial"/>
          <w:shd w:val="clear" w:color="auto" w:fill="FFFFFF"/>
        </w:rPr>
      </w:pPr>
      <w:r w:rsidRPr="00240E71">
        <w:rPr>
          <w:rFonts w:cs="Arial"/>
          <w:shd w:val="clear" w:color="auto" w:fill="FFFFFF"/>
        </w:rPr>
        <w:t xml:space="preserve">Enerzijds moet </w:t>
      </w:r>
      <w:r w:rsidRPr="00240E71">
        <w:t xml:space="preserve">het niveau van de vergoeding aansluiten op de uitzonderlijke omstandigheden van het geval </w:t>
      </w:r>
      <w:r w:rsidRPr="00240E71">
        <w:rPr>
          <w:rFonts w:cs="Arial"/>
          <w:shd w:val="clear" w:color="auto" w:fill="FFFFFF"/>
        </w:rPr>
        <w:t>en anderzijds mag de kantonrechter de gevolgen voor de werknemer niet meewegen bij het bepalen van de hoogte van de billijke vergoeding.</w:t>
      </w:r>
      <w:r w:rsidRPr="00240E71">
        <w:rPr>
          <w:rStyle w:val="Voetnootmarkering"/>
          <w:rFonts w:cs="Arial"/>
          <w:shd w:val="clear" w:color="auto" w:fill="FFFFFF"/>
        </w:rPr>
        <w:footnoteReference w:id="63"/>
      </w:r>
      <w:r w:rsidRPr="00240E71">
        <w:rPr>
          <w:rFonts w:cs="Arial"/>
          <w:shd w:val="clear" w:color="auto" w:fill="FFFFFF"/>
        </w:rPr>
        <w:t xml:space="preserve"> </w:t>
      </w:r>
    </w:p>
    <w:p w:rsidR="00895B05" w:rsidRPr="00240E71" w:rsidRDefault="00EB4657" w:rsidP="00240E71">
      <w:pPr>
        <w:spacing w:line="360" w:lineRule="auto"/>
        <w:rPr>
          <w:rStyle w:val="apple-converted-space"/>
          <w:lang w:eastAsia="ja-JP"/>
        </w:rPr>
      </w:pPr>
      <w:r>
        <w:rPr>
          <w:lang w:eastAsia="ja-JP"/>
        </w:rPr>
        <w:t>Ko</w:t>
      </w:r>
      <w:r w:rsidR="00D05CDD">
        <w:rPr>
          <w:lang w:eastAsia="ja-JP"/>
        </w:rPr>
        <w:t>r</w:t>
      </w:r>
      <w:r>
        <w:rPr>
          <w:lang w:eastAsia="ja-JP"/>
        </w:rPr>
        <w:t xml:space="preserve">tom, de wetgeving geeft </w:t>
      </w:r>
      <w:r w:rsidR="00777341">
        <w:rPr>
          <w:lang w:eastAsia="ja-JP"/>
        </w:rPr>
        <w:t>g</w:t>
      </w:r>
      <w:r>
        <w:rPr>
          <w:lang w:eastAsia="ja-JP"/>
        </w:rPr>
        <w:t>een duidelijk</w:t>
      </w:r>
      <w:r w:rsidR="00777341">
        <w:rPr>
          <w:lang w:eastAsia="ja-JP"/>
        </w:rPr>
        <w:t>e</w:t>
      </w:r>
      <w:r>
        <w:rPr>
          <w:lang w:eastAsia="ja-JP"/>
        </w:rPr>
        <w:t xml:space="preserve"> richtlijn </w:t>
      </w:r>
      <w:r w:rsidR="00024282">
        <w:rPr>
          <w:lang w:eastAsia="ja-JP"/>
        </w:rPr>
        <w:t>voor de wijze waarop</w:t>
      </w:r>
      <w:r>
        <w:rPr>
          <w:lang w:eastAsia="ja-JP"/>
        </w:rPr>
        <w:t xml:space="preserve"> de hoogte van de billijke vergoeding tot stand moet komen. Hoe het in de toekomst zal gaan wat betreft het bepalen van de hoogte van deze vergoeding</w:t>
      </w:r>
      <w:r w:rsidR="00024282">
        <w:rPr>
          <w:lang w:eastAsia="ja-JP"/>
        </w:rPr>
        <w:t>,</w:t>
      </w:r>
      <w:r>
        <w:rPr>
          <w:lang w:eastAsia="ja-JP"/>
        </w:rPr>
        <w:t xml:space="preserve"> is sterk afhankelijk van de jurisprudentie. </w:t>
      </w:r>
      <w:r w:rsidR="00777341">
        <w:rPr>
          <w:lang w:eastAsia="ja-JP"/>
        </w:rPr>
        <w:t xml:space="preserve">In de volgende paragrafen wordt daarom onderzoek gedaan naar de jurisprudentie. </w:t>
      </w:r>
    </w:p>
    <w:p w:rsidR="007E6428" w:rsidRDefault="007E6428">
      <w:pPr>
        <w:rPr>
          <w:b/>
          <w:spacing w:val="-3"/>
          <w:lang w:eastAsia="nl-NL"/>
        </w:rPr>
      </w:pPr>
      <w:r>
        <w:rPr>
          <w:b/>
          <w:spacing w:val="-3"/>
          <w:lang w:eastAsia="nl-NL"/>
        </w:rPr>
        <w:br w:type="page"/>
      </w:r>
    </w:p>
    <w:p w:rsidR="00D00B04" w:rsidRPr="009A1473" w:rsidRDefault="00AE780F" w:rsidP="00F5597E">
      <w:pPr>
        <w:pStyle w:val="Kop1"/>
        <w:rPr>
          <w:color w:val="auto"/>
          <w:lang w:eastAsia="nl-NL"/>
        </w:rPr>
      </w:pPr>
      <w:bookmarkStart w:id="11" w:name="_Toc472509268"/>
      <w:r w:rsidRPr="009A1473">
        <w:rPr>
          <w:color w:val="auto"/>
          <w:lang w:eastAsia="nl-NL"/>
        </w:rPr>
        <w:lastRenderedPageBreak/>
        <w:t>Hoof</w:t>
      </w:r>
      <w:r w:rsidR="00562766" w:rsidRPr="009A1473">
        <w:rPr>
          <w:rFonts w:hint="eastAsia"/>
          <w:color w:val="auto"/>
          <w:lang w:eastAsia="ja-JP"/>
        </w:rPr>
        <w:t>d</w:t>
      </w:r>
      <w:r w:rsidRPr="009A1473">
        <w:rPr>
          <w:color w:val="auto"/>
          <w:lang w:eastAsia="nl-NL"/>
        </w:rPr>
        <w:t>stuk 3: Het j</w:t>
      </w:r>
      <w:r w:rsidR="00D00B04" w:rsidRPr="009A1473">
        <w:rPr>
          <w:color w:val="auto"/>
          <w:lang w:eastAsia="nl-NL"/>
        </w:rPr>
        <w:t>urisprudentieonderzoek</w:t>
      </w:r>
      <w:bookmarkEnd w:id="11"/>
      <w:r w:rsidR="00D00B04" w:rsidRPr="009A1473">
        <w:rPr>
          <w:color w:val="auto"/>
          <w:lang w:eastAsia="nl-NL"/>
        </w:rPr>
        <w:t xml:space="preserve"> </w:t>
      </w:r>
    </w:p>
    <w:p w:rsidR="00F5597E" w:rsidRDefault="00F5597E"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5A74A7" w:rsidRPr="005A74A7" w:rsidRDefault="005A74A7"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 xml:space="preserve">In hoofdstuk 2 van dit onderzoeksrapport is duidelijk geworden wanneer </w:t>
      </w:r>
      <w:r w:rsidR="0033210E">
        <w:rPr>
          <w:spacing w:val="-3"/>
          <w:lang w:eastAsia="nl-NL"/>
        </w:rPr>
        <w:t xml:space="preserve">volgens de wet- en regelgeving en de literatuur </w:t>
      </w:r>
      <w:r>
        <w:rPr>
          <w:spacing w:val="-3"/>
          <w:lang w:eastAsia="nl-NL"/>
        </w:rPr>
        <w:t xml:space="preserve">de billijke vergoeding wordt toegekend. </w:t>
      </w:r>
      <w:r w:rsidR="00200543">
        <w:rPr>
          <w:spacing w:val="-3"/>
          <w:lang w:eastAsia="nl-NL"/>
        </w:rPr>
        <w:t>Ook blijkt dat de billijke vergoeding dient als een vergoeding bovenop de transitievergoeding en dus in zeer uitzonderlijke gevallen toegekend mag worden. In dit hoofdstuk wordt duidelijk of de billijke vergoeding daadwerkelijk onder zeer uitzonderlijke gevallen wordt toegekend en wat deze uitzonderlijke gevallen in praktijk</w:t>
      </w:r>
      <w:r w:rsidR="0033210E">
        <w:rPr>
          <w:spacing w:val="-3"/>
          <w:lang w:eastAsia="nl-NL"/>
        </w:rPr>
        <w:t xml:space="preserve"> zijn</w:t>
      </w:r>
      <w:r w:rsidR="00200543">
        <w:rPr>
          <w:spacing w:val="-3"/>
          <w:lang w:eastAsia="nl-NL"/>
        </w:rPr>
        <w:t xml:space="preserve">. </w:t>
      </w:r>
    </w:p>
    <w:p w:rsidR="00825227" w:rsidRPr="00C56E73" w:rsidRDefault="00825227" w:rsidP="00825227">
      <w:pPr>
        <w:pStyle w:val="Kop2"/>
        <w:spacing w:before="0" w:line="360" w:lineRule="auto"/>
        <w:rPr>
          <w:b w:val="0"/>
          <w:color w:val="auto"/>
          <w:sz w:val="22"/>
          <w:szCs w:val="22"/>
          <w:lang w:eastAsia="nl-NL"/>
        </w:rPr>
      </w:pPr>
    </w:p>
    <w:p w:rsidR="00464930" w:rsidRPr="004E4AFA" w:rsidRDefault="00D00B04" w:rsidP="00825227">
      <w:pPr>
        <w:pStyle w:val="Kop2"/>
        <w:spacing w:before="0" w:line="360" w:lineRule="auto"/>
        <w:rPr>
          <w:color w:val="auto"/>
          <w:sz w:val="24"/>
          <w:szCs w:val="24"/>
          <w:lang w:eastAsia="nl-NL"/>
        </w:rPr>
      </w:pPr>
      <w:bookmarkStart w:id="12" w:name="_Toc472509269"/>
      <w:r w:rsidRPr="004E4AFA">
        <w:rPr>
          <w:color w:val="auto"/>
          <w:sz w:val="24"/>
          <w:szCs w:val="24"/>
          <w:lang w:eastAsia="nl-NL"/>
        </w:rPr>
        <w:t xml:space="preserve">3.1 </w:t>
      </w:r>
      <w:r w:rsidR="00464930" w:rsidRPr="004E4AFA">
        <w:rPr>
          <w:color w:val="auto"/>
          <w:sz w:val="24"/>
          <w:szCs w:val="24"/>
          <w:lang w:eastAsia="nl-NL"/>
        </w:rPr>
        <w:t>E</w:t>
      </w:r>
      <w:r w:rsidRPr="004E4AFA">
        <w:rPr>
          <w:color w:val="auto"/>
          <w:sz w:val="24"/>
          <w:szCs w:val="24"/>
          <w:lang w:eastAsia="nl-NL"/>
        </w:rPr>
        <w:t>rnstig verwijtbaar handelen van de werkgever</w:t>
      </w:r>
      <w:bookmarkEnd w:id="12"/>
      <w:r w:rsidRPr="004E4AFA">
        <w:rPr>
          <w:color w:val="auto"/>
          <w:sz w:val="24"/>
          <w:szCs w:val="24"/>
          <w:lang w:eastAsia="nl-NL"/>
        </w:rPr>
        <w:t xml:space="preserve"> </w:t>
      </w:r>
    </w:p>
    <w:p w:rsidR="004E4AFA" w:rsidRDefault="004E4AFA"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9C2916" w:rsidRDefault="007725B2"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 xml:space="preserve">Uit </w:t>
      </w:r>
      <w:r w:rsidR="00E8253E">
        <w:rPr>
          <w:spacing w:val="-3"/>
          <w:lang w:eastAsia="nl-NL"/>
        </w:rPr>
        <w:t>het</w:t>
      </w:r>
      <w:r>
        <w:rPr>
          <w:spacing w:val="-3"/>
          <w:lang w:eastAsia="nl-NL"/>
        </w:rPr>
        <w:t xml:space="preserve"> jurisprudent</w:t>
      </w:r>
      <w:r w:rsidR="009C2916">
        <w:rPr>
          <w:spacing w:val="-3"/>
          <w:lang w:eastAsia="nl-NL"/>
        </w:rPr>
        <w:t xml:space="preserve">ieonderzoek </w:t>
      </w:r>
      <w:r w:rsidR="00ED3614">
        <w:rPr>
          <w:spacing w:val="-3"/>
          <w:lang w:eastAsia="nl-NL"/>
        </w:rPr>
        <w:t>is af te leiden</w:t>
      </w:r>
      <w:r w:rsidR="00746E22">
        <w:rPr>
          <w:spacing w:val="-3"/>
          <w:lang w:eastAsia="nl-NL"/>
        </w:rPr>
        <w:t xml:space="preserve"> </w:t>
      </w:r>
      <w:r>
        <w:rPr>
          <w:spacing w:val="-3"/>
          <w:lang w:eastAsia="nl-NL"/>
        </w:rPr>
        <w:t xml:space="preserve">onder </w:t>
      </w:r>
      <w:r w:rsidR="009C2916">
        <w:rPr>
          <w:spacing w:val="-3"/>
          <w:lang w:eastAsia="nl-NL"/>
        </w:rPr>
        <w:t>welke</w:t>
      </w:r>
      <w:r>
        <w:rPr>
          <w:spacing w:val="-3"/>
          <w:lang w:eastAsia="nl-NL"/>
        </w:rPr>
        <w:t xml:space="preserve"> omstandigheden er wordt gesproken van ernstig verwijtbaar handelen van de werkgever. </w:t>
      </w:r>
      <w:r w:rsidR="009C2916">
        <w:rPr>
          <w:spacing w:val="-3"/>
          <w:lang w:eastAsia="nl-NL"/>
        </w:rPr>
        <w:t xml:space="preserve">Hieronder worden deze omstandigheden </w:t>
      </w:r>
      <w:r w:rsidR="00BB313C">
        <w:rPr>
          <w:spacing w:val="-3"/>
          <w:lang w:eastAsia="nl-NL"/>
        </w:rPr>
        <w:t>besproken</w:t>
      </w:r>
      <w:r w:rsidR="009C2916">
        <w:rPr>
          <w:spacing w:val="-3"/>
          <w:lang w:eastAsia="nl-NL"/>
        </w:rPr>
        <w:t xml:space="preserve"> met </w:t>
      </w:r>
      <w:r w:rsidR="00436D8A">
        <w:rPr>
          <w:spacing w:val="-3"/>
          <w:lang w:eastAsia="nl-NL"/>
        </w:rPr>
        <w:t xml:space="preserve">daarbij </w:t>
      </w:r>
      <w:r w:rsidR="009C2916">
        <w:rPr>
          <w:spacing w:val="-3"/>
          <w:lang w:eastAsia="nl-NL"/>
        </w:rPr>
        <w:t xml:space="preserve">de </w:t>
      </w:r>
      <w:r w:rsidR="00436D8A">
        <w:rPr>
          <w:spacing w:val="-3"/>
          <w:lang w:eastAsia="nl-NL"/>
        </w:rPr>
        <w:t>relevante</w:t>
      </w:r>
      <w:r w:rsidR="00C56E73">
        <w:rPr>
          <w:spacing w:val="-3"/>
          <w:lang w:eastAsia="nl-NL"/>
        </w:rPr>
        <w:t xml:space="preserve"> uitspraken.</w:t>
      </w:r>
    </w:p>
    <w:p w:rsidR="00825227" w:rsidRDefault="00825227"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i/>
        </w:rPr>
      </w:pPr>
    </w:p>
    <w:p w:rsidR="009C2916" w:rsidRDefault="00E401E3"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i/>
        </w:rPr>
      </w:pPr>
      <w:r>
        <w:rPr>
          <w:b/>
          <w:i/>
        </w:rPr>
        <w:t xml:space="preserve">3.1.1 </w:t>
      </w:r>
      <w:r w:rsidR="009C2916" w:rsidRPr="009C2916">
        <w:rPr>
          <w:b/>
          <w:i/>
        </w:rPr>
        <w:t xml:space="preserve">Geen </w:t>
      </w:r>
      <w:r w:rsidR="00562766" w:rsidRPr="009C2916">
        <w:rPr>
          <w:b/>
          <w:i/>
        </w:rPr>
        <w:t>re</w:t>
      </w:r>
      <w:r w:rsidR="00562766">
        <w:rPr>
          <w:b/>
          <w:i/>
        </w:rPr>
        <w:t>ë</w:t>
      </w:r>
      <w:r w:rsidR="00562766" w:rsidRPr="009C2916">
        <w:rPr>
          <w:b/>
          <w:i/>
        </w:rPr>
        <w:t>el</w:t>
      </w:r>
      <w:r w:rsidR="009C2916" w:rsidRPr="009C2916">
        <w:rPr>
          <w:b/>
          <w:i/>
        </w:rPr>
        <w:t xml:space="preserve"> verbeteringstraject</w:t>
      </w:r>
    </w:p>
    <w:p w:rsidR="00825227" w:rsidRDefault="00825227" w:rsidP="00825227">
      <w:pPr>
        <w:pStyle w:val="Geenafstand"/>
        <w:spacing w:line="360" w:lineRule="auto"/>
      </w:pPr>
    </w:p>
    <w:p w:rsidR="006B4D72" w:rsidRDefault="009C2916" w:rsidP="00825227">
      <w:pPr>
        <w:pStyle w:val="Geenafstand"/>
        <w:spacing w:line="360" w:lineRule="auto"/>
      </w:pPr>
      <w:r>
        <w:t xml:space="preserve">Uit </w:t>
      </w:r>
      <w:r w:rsidR="006632F7">
        <w:t>jurisprudentie blijkt dat</w:t>
      </w:r>
      <w:r w:rsidR="00C06803">
        <w:t xml:space="preserve"> </w:t>
      </w:r>
      <w:r w:rsidR="00746E22">
        <w:t xml:space="preserve">er </w:t>
      </w:r>
      <w:r w:rsidR="00464930">
        <w:t>sprake kan zijn</w:t>
      </w:r>
      <w:r w:rsidR="00C06803">
        <w:t xml:space="preserve"> van ernstig verwijtbaar handelen of nalaten van de werkgever</w:t>
      </w:r>
      <w:r>
        <w:t xml:space="preserve"> indien </w:t>
      </w:r>
      <w:r w:rsidR="00C06803">
        <w:t xml:space="preserve">aan de werknemer </w:t>
      </w:r>
      <w:r w:rsidR="006B4D72">
        <w:t xml:space="preserve">geen </w:t>
      </w:r>
      <w:r w:rsidR="00562766">
        <w:t>reëel</w:t>
      </w:r>
      <w:r>
        <w:t xml:space="preserve"> verbetertraject </w:t>
      </w:r>
      <w:r w:rsidR="00F11F4C">
        <w:t xml:space="preserve">wordt geboden om zijn disfunctioneren te verbeteren, </w:t>
      </w:r>
      <w:r w:rsidR="00F11F4C" w:rsidRPr="00F11F4C">
        <w:t>e</w:t>
      </w:r>
      <w:r w:rsidR="00F11F4C" w:rsidRPr="00F11F4C">
        <w:rPr>
          <w:color w:val="000000"/>
          <w:shd w:val="clear" w:color="auto" w:fill="FFFFFF"/>
        </w:rPr>
        <w:t xml:space="preserve">n die kans ook niet meer </w:t>
      </w:r>
      <w:r w:rsidR="0033210E">
        <w:rPr>
          <w:color w:val="000000"/>
          <w:shd w:val="clear" w:color="auto" w:fill="FFFFFF"/>
        </w:rPr>
        <w:t xml:space="preserve">kan </w:t>
      </w:r>
      <w:r w:rsidR="00F11F4C" w:rsidRPr="00F11F4C">
        <w:rPr>
          <w:color w:val="000000"/>
          <w:shd w:val="clear" w:color="auto" w:fill="FFFFFF"/>
        </w:rPr>
        <w:t>worden geboden omdat de arbeidsverhouding inmiddels dusdanig is beschadigd</w:t>
      </w:r>
      <w:r w:rsidR="0033210E">
        <w:rPr>
          <w:color w:val="000000"/>
          <w:shd w:val="clear" w:color="auto" w:fill="FFFFFF"/>
        </w:rPr>
        <w:t>,</w:t>
      </w:r>
      <w:r w:rsidR="00F11F4C" w:rsidRPr="00F11F4C">
        <w:rPr>
          <w:color w:val="000000"/>
          <w:shd w:val="clear" w:color="auto" w:fill="FFFFFF"/>
        </w:rPr>
        <w:t xml:space="preserve"> dat sprake is van een verstoorde arbeidsverhouding</w:t>
      </w:r>
      <w:r w:rsidR="00C06803">
        <w:t>.</w:t>
      </w:r>
      <w:r w:rsidR="00C06803">
        <w:rPr>
          <w:rStyle w:val="Voetnootmarkering"/>
        </w:rPr>
        <w:footnoteReference w:id="64"/>
      </w:r>
      <w:r w:rsidR="00C06803">
        <w:t xml:space="preserve"> </w:t>
      </w:r>
      <w:r w:rsidR="006B4D72">
        <w:t xml:space="preserve">Wat is volgens de jurisprudentie </w:t>
      </w:r>
      <w:r w:rsidR="00353C8E">
        <w:t>g</w:t>
      </w:r>
      <w:r w:rsidR="006B4D72">
        <w:t xml:space="preserve">een </w:t>
      </w:r>
      <w:r w:rsidR="00562766">
        <w:t>reëel</w:t>
      </w:r>
      <w:r w:rsidR="006B4D72">
        <w:t xml:space="preserve"> verbeteringstraject? </w:t>
      </w:r>
    </w:p>
    <w:p w:rsidR="00464930" w:rsidRDefault="00464930" w:rsidP="00825227">
      <w:pPr>
        <w:pStyle w:val="Geenafstand"/>
        <w:spacing w:line="360" w:lineRule="auto"/>
      </w:pPr>
    </w:p>
    <w:p w:rsidR="00BB5193" w:rsidRDefault="00436D8A" w:rsidP="00825227">
      <w:pPr>
        <w:pStyle w:val="Geenafstand"/>
        <w:spacing w:line="360" w:lineRule="auto"/>
      </w:pPr>
      <w:r>
        <w:t xml:space="preserve">Er is volgens de rechtspraak geen sprake van een </w:t>
      </w:r>
      <w:r w:rsidR="00562766">
        <w:t>reëel</w:t>
      </w:r>
      <w:r>
        <w:t xml:space="preserve"> verbeteringstraject indien niet aangetoond</w:t>
      </w:r>
      <w:r w:rsidR="00ED4ACF">
        <w:t xml:space="preserve"> </w:t>
      </w:r>
      <w:r>
        <w:t>kan worden dat er verbeterplannen</w:t>
      </w:r>
      <w:r>
        <w:rPr>
          <w:rStyle w:val="Voetnootmarkering"/>
        </w:rPr>
        <w:footnoteReference w:id="65"/>
      </w:r>
      <w:r>
        <w:t xml:space="preserve"> zijn gemaakt, deugdelijke begeleiding is aangeboden</w:t>
      </w:r>
      <w:r>
        <w:rPr>
          <w:rStyle w:val="Voetnootmarkering"/>
        </w:rPr>
        <w:footnoteReference w:id="66"/>
      </w:r>
      <w:r>
        <w:t xml:space="preserve"> en </w:t>
      </w:r>
      <w:r w:rsidR="00B07DF0">
        <w:t xml:space="preserve">of er middels </w:t>
      </w:r>
      <w:r>
        <w:t>verslagen</w:t>
      </w:r>
      <w:r w:rsidR="00464930">
        <w:t xml:space="preserve"> </w:t>
      </w:r>
      <w:r>
        <w:t>van functioneringsgesprekken</w:t>
      </w:r>
      <w:r>
        <w:rPr>
          <w:rStyle w:val="Voetnootmarkering"/>
        </w:rPr>
        <w:footnoteReference w:id="67"/>
      </w:r>
      <w:r w:rsidR="00F6199B">
        <w:t xml:space="preserve"> </w:t>
      </w:r>
      <w:r w:rsidR="00B07DF0">
        <w:t>kan worden bewezen dat er gesprekken zijn geweest en wat de inhoud daarvan was</w:t>
      </w:r>
      <w:r>
        <w:t xml:space="preserve">. </w:t>
      </w:r>
      <w:r w:rsidR="00954237">
        <w:t>De kantonrechter toetst hierbij of de werkgever een substantiële en geloofwaardige poging heeft gedaan om de werknemer een zinvolle kans te bieden.</w:t>
      </w:r>
      <w:r w:rsidR="00F6199B">
        <w:t xml:space="preserve"> </w:t>
      </w:r>
      <w:r w:rsidR="00F6199B">
        <w:lastRenderedPageBreak/>
        <w:t xml:space="preserve">Het inschakelen van een partijdige mediator valt niet onder </w:t>
      </w:r>
      <w:r w:rsidR="00C56E73">
        <w:t xml:space="preserve">het doen van </w:t>
      </w:r>
      <w:r w:rsidR="00F6199B">
        <w:t>een geloofwaardige poging tot het bieden van een zinvolle kans.</w:t>
      </w:r>
      <w:r w:rsidR="00954237">
        <w:rPr>
          <w:rStyle w:val="Voetnootmarkering"/>
        </w:rPr>
        <w:footnoteReference w:id="68"/>
      </w:r>
      <w:r w:rsidR="00954237">
        <w:t xml:space="preserve"> </w:t>
      </w:r>
    </w:p>
    <w:p w:rsidR="00C4692D" w:rsidRDefault="00C4692D" w:rsidP="00D123D8">
      <w:pPr>
        <w:pStyle w:val="Geenafstand"/>
        <w:spacing w:line="360" w:lineRule="auto"/>
      </w:pPr>
    </w:p>
    <w:p w:rsidR="002E0B0C" w:rsidRDefault="005F26BA" w:rsidP="00D123D8">
      <w:pPr>
        <w:pStyle w:val="Geenafstand"/>
        <w:spacing w:line="360" w:lineRule="auto"/>
      </w:pPr>
      <w:r>
        <w:t xml:space="preserve">Tevens is er geen sprake van een </w:t>
      </w:r>
      <w:r w:rsidR="00562766">
        <w:t>reëel</w:t>
      </w:r>
      <w:r>
        <w:t xml:space="preserve"> verbeteringstraject indien de werknemer slechts een productinformatiebijeenkomst moet </w:t>
      </w:r>
      <w:r w:rsidR="008E6618">
        <w:t>bijwonen</w:t>
      </w:r>
      <w:r>
        <w:t xml:space="preserve"> om zijn kennis te verbreden om zo zijn </w:t>
      </w:r>
      <w:r w:rsidR="00E25C81">
        <w:t>disfunctioneren</w:t>
      </w:r>
      <w:r>
        <w:t xml:space="preserve"> te verbeteren.</w:t>
      </w:r>
      <w:r>
        <w:rPr>
          <w:rStyle w:val="Voetnootmarkering"/>
        </w:rPr>
        <w:footnoteReference w:id="69"/>
      </w:r>
      <w:r w:rsidR="00D123D8">
        <w:t xml:space="preserve"> </w:t>
      </w:r>
    </w:p>
    <w:p w:rsidR="00F20399" w:rsidRDefault="005F0977" w:rsidP="00D123D8">
      <w:pPr>
        <w:pStyle w:val="Geenafstand"/>
        <w:spacing w:line="360" w:lineRule="auto"/>
      </w:pPr>
      <w:r>
        <w:t>Onder een verbeteringstraject, deugdelijke begeleiding of een functioneringsgesprek wordt niet verstaan h</w:t>
      </w:r>
      <w:r w:rsidR="00436D8A">
        <w:t>et enkel voorleggen van een aantal punten van kritiek</w:t>
      </w:r>
      <w:r>
        <w:t xml:space="preserve"> op </w:t>
      </w:r>
      <w:r w:rsidR="0033210E">
        <w:t>het</w:t>
      </w:r>
      <w:r>
        <w:t xml:space="preserve"> </w:t>
      </w:r>
      <w:r w:rsidR="003E0C33">
        <w:t>functioneren van</w:t>
      </w:r>
      <w:r>
        <w:t xml:space="preserve"> de werknemer</w:t>
      </w:r>
      <w:r w:rsidR="00436D8A">
        <w:t xml:space="preserve">, </w:t>
      </w:r>
      <w:r>
        <w:t xml:space="preserve">deze </w:t>
      </w:r>
      <w:r w:rsidR="00AC7C62">
        <w:t>vastleggen</w:t>
      </w:r>
      <w:r w:rsidR="002E0B0C">
        <w:t xml:space="preserve"> en daarbij regels opstellen.</w:t>
      </w:r>
      <w:r w:rsidR="00B07DF0" w:rsidRPr="00B07DF0">
        <w:rPr>
          <w:rStyle w:val="Voetnootmarkering"/>
        </w:rPr>
        <w:t xml:space="preserve"> </w:t>
      </w:r>
      <w:r w:rsidR="00B07DF0">
        <w:rPr>
          <w:rStyle w:val="Voetnootmarkering"/>
        </w:rPr>
        <w:footnoteReference w:id="70"/>
      </w:r>
      <w:r w:rsidR="00B07DF0">
        <w:t xml:space="preserve"> </w:t>
      </w:r>
      <w:r w:rsidR="002E0B0C">
        <w:t xml:space="preserve">Indien de werknemer zich niet aan de regels houdt is het van </w:t>
      </w:r>
      <w:r w:rsidR="0033210E">
        <w:t xml:space="preserve">groot </w:t>
      </w:r>
      <w:r w:rsidR="002E0B0C">
        <w:t>belang dat er een gevolg wordt gegeven aan de afspraken. Denk bijvoorbeeld aan het toepassen van een kenbare toetsing of de werknemer zich aan de regels heeft gehouden en indien hij dit niet heeft gedaan, hem hier direct op aan</w:t>
      </w:r>
      <w:r w:rsidR="0033210E">
        <w:t xml:space="preserve"> te </w:t>
      </w:r>
      <w:r w:rsidR="002E0B0C">
        <w:t>spreken</w:t>
      </w:r>
      <w:r w:rsidR="003744CB">
        <w:t>.</w:t>
      </w:r>
      <w:r w:rsidR="00436D8A">
        <w:rPr>
          <w:rStyle w:val="Voetnootmarkering"/>
        </w:rPr>
        <w:footnoteReference w:id="71"/>
      </w:r>
      <w:r w:rsidR="00F20399">
        <w:t xml:space="preserve"> </w:t>
      </w:r>
    </w:p>
    <w:p w:rsidR="00436D8A" w:rsidRDefault="00F20399" w:rsidP="00436D8A">
      <w:pPr>
        <w:pStyle w:val="Geenafstand"/>
        <w:spacing w:line="360" w:lineRule="auto"/>
      </w:pPr>
      <w:r>
        <w:t>Indien de werkgever niet eens stelt</w:t>
      </w:r>
      <w:r w:rsidR="00B40AAD">
        <w:t xml:space="preserve"> </w:t>
      </w:r>
      <w:r w:rsidR="00E25C81">
        <w:t>of niet betwist</w:t>
      </w:r>
      <w:r w:rsidR="00B07DF0">
        <w:t xml:space="preserve"> </w:t>
      </w:r>
      <w:r w:rsidR="008E6618">
        <w:t>dat deze</w:t>
      </w:r>
      <w:r>
        <w:t xml:space="preserve"> gedurende het </w:t>
      </w:r>
      <w:r w:rsidR="00AC7C62">
        <w:t>dienstverband</w:t>
      </w:r>
      <w:r>
        <w:t xml:space="preserve"> de werknemer ooit heeft aange</w:t>
      </w:r>
      <w:r w:rsidR="001D0308">
        <w:t>s</w:t>
      </w:r>
      <w:r w:rsidR="00D97FF1">
        <w:t xml:space="preserve">proken op het vermeende gedrag of </w:t>
      </w:r>
      <w:r w:rsidR="00E25C81">
        <w:t>ooit het woord ‘</w:t>
      </w:r>
      <w:r w:rsidR="00AC7C62">
        <w:t>disfunctioneren’</w:t>
      </w:r>
      <w:r w:rsidR="0033210E">
        <w:t xml:space="preserve"> </w:t>
      </w:r>
      <w:r w:rsidR="00AC7C62">
        <w:t>in</w:t>
      </w:r>
      <w:r w:rsidR="00E25C81">
        <w:t xml:space="preserve"> </w:t>
      </w:r>
      <w:r w:rsidR="0033210E">
        <w:t>de</w:t>
      </w:r>
      <w:r w:rsidR="00E25C81">
        <w:t xml:space="preserve"> mond heeft genomen</w:t>
      </w:r>
      <w:r w:rsidR="00ED4ACF">
        <w:t>, dan wordt er door kantonrechters van</w:t>
      </w:r>
      <w:r w:rsidR="0033210E">
        <w:t xml:space="preserve"> </w:t>
      </w:r>
      <w:r w:rsidR="00ED4ACF">
        <w:t>uitgegaan dat er geen reëel verbetertraject is aangeboden</w:t>
      </w:r>
      <w:r w:rsidR="00E25C81">
        <w:t>.</w:t>
      </w:r>
      <w:r w:rsidR="00E25C81">
        <w:rPr>
          <w:rStyle w:val="Voetnootmarkering"/>
        </w:rPr>
        <w:footnoteReference w:id="72"/>
      </w:r>
      <w:r w:rsidR="00E25C81">
        <w:t xml:space="preserve"> Indien </w:t>
      </w:r>
      <w:r w:rsidR="00D97FF1">
        <w:t>uit de ingediende bewijsstukken duidelijk</w:t>
      </w:r>
      <w:r w:rsidR="00B40AAD">
        <w:t xml:space="preserve"> naar voren</w:t>
      </w:r>
      <w:r w:rsidR="00D97FF1">
        <w:t xml:space="preserve"> </w:t>
      </w:r>
      <w:r w:rsidR="00E25C81">
        <w:t xml:space="preserve">komt </w:t>
      </w:r>
      <w:r w:rsidR="00D97FF1">
        <w:t xml:space="preserve">dat </w:t>
      </w:r>
      <w:r w:rsidR="00B40AAD">
        <w:t xml:space="preserve">aan </w:t>
      </w:r>
      <w:r w:rsidR="0033210E">
        <w:t xml:space="preserve">de </w:t>
      </w:r>
      <w:r w:rsidR="00D97FF1">
        <w:t>werknemer geen</w:t>
      </w:r>
      <w:r w:rsidR="00B40AAD">
        <w:t xml:space="preserve"> </w:t>
      </w:r>
      <w:r w:rsidR="00AC7C62">
        <w:t>reëel</w:t>
      </w:r>
      <w:r w:rsidR="00B40AAD">
        <w:t xml:space="preserve"> verbeteringstraject is </w:t>
      </w:r>
      <w:r w:rsidR="0033210E">
        <w:t>aan</w:t>
      </w:r>
      <w:r w:rsidR="00B40AAD">
        <w:t>geboden, door bijvoorbeeld per e-mail te bevestigen dat de werkgever de verbazing van de werknemer op het ontbindingsverzoek</w:t>
      </w:r>
      <w:r w:rsidR="00ED4ACF" w:rsidRPr="00ED4ACF">
        <w:t xml:space="preserve"> </w:t>
      </w:r>
      <w:r w:rsidR="00ED4ACF">
        <w:t>begrijpt</w:t>
      </w:r>
      <w:r w:rsidR="00ED4ACF">
        <w:rPr>
          <w:rStyle w:val="Voetnootmarkering"/>
        </w:rPr>
        <w:footnoteReference w:id="73"/>
      </w:r>
      <w:r w:rsidR="00B40AAD">
        <w:t xml:space="preserve">, </w:t>
      </w:r>
      <w:r w:rsidR="001D0308">
        <w:t xml:space="preserve">dan wordt er </w:t>
      </w:r>
      <w:r w:rsidR="00D97FF1">
        <w:t>automatisch geconcludeerd</w:t>
      </w:r>
      <w:r w:rsidR="001D0308">
        <w:t xml:space="preserve"> dat er geen verbeteringstrajecten zijn ingezet, </w:t>
      </w:r>
      <w:r w:rsidR="008E6618">
        <w:t xml:space="preserve">geen </w:t>
      </w:r>
      <w:r w:rsidR="001D0308">
        <w:t>functioneringsgesprekken zijn gevoerd of deugdelijke begeleiding is aangeboden.</w:t>
      </w:r>
      <w:r w:rsidR="00E25C81">
        <w:t xml:space="preserve"> </w:t>
      </w:r>
    </w:p>
    <w:p w:rsidR="00436D8A" w:rsidRDefault="00436D8A" w:rsidP="008028F8">
      <w:pPr>
        <w:pStyle w:val="Geenafstand"/>
        <w:spacing w:line="360" w:lineRule="auto"/>
      </w:pPr>
    </w:p>
    <w:p w:rsidR="00B4318A" w:rsidRDefault="00B4318A" w:rsidP="00686131">
      <w:pPr>
        <w:pStyle w:val="Geenafstand"/>
        <w:spacing w:line="360" w:lineRule="auto"/>
      </w:pPr>
    </w:p>
    <w:p w:rsidR="00B4318A" w:rsidRDefault="00B4318A" w:rsidP="00686131">
      <w:pPr>
        <w:pStyle w:val="Geenafstand"/>
        <w:spacing w:line="360" w:lineRule="auto"/>
      </w:pPr>
    </w:p>
    <w:p w:rsidR="00B4318A" w:rsidRDefault="00B4318A" w:rsidP="00686131">
      <w:pPr>
        <w:pStyle w:val="Geenafstand"/>
        <w:spacing w:line="360" w:lineRule="auto"/>
      </w:pPr>
    </w:p>
    <w:p w:rsidR="00B4318A" w:rsidRDefault="00B4318A" w:rsidP="00686131">
      <w:pPr>
        <w:pStyle w:val="Geenafstand"/>
        <w:spacing w:line="360" w:lineRule="auto"/>
      </w:pPr>
    </w:p>
    <w:p w:rsidR="00B4318A" w:rsidRDefault="00B4318A" w:rsidP="00686131">
      <w:pPr>
        <w:pStyle w:val="Geenafstand"/>
        <w:spacing w:line="360" w:lineRule="auto"/>
      </w:pPr>
    </w:p>
    <w:p w:rsidR="00B4318A" w:rsidRDefault="00B4318A" w:rsidP="00686131">
      <w:pPr>
        <w:pStyle w:val="Geenafstand"/>
        <w:spacing w:line="360" w:lineRule="auto"/>
      </w:pPr>
    </w:p>
    <w:p w:rsidR="00B4318A" w:rsidRDefault="00B4318A" w:rsidP="00686131">
      <w:pPr>
        <w:pStyle w:val="Geenafstand"/>
        <w:spacing w:line="360" w:lineRule="auto"/>
      </w:pPr>
    </w:p>
    <w:p w:rsidR="00B07DF0" w:rsidRDefault="003744CB" w:rsidP="00686131">
      <w:pPr>
        <w:pStyle w:val="Geenafstand"/>
        <w:spacing w:line="360" w:lineRule="auto"/>
      </w:pPr>
      <w:r>
        <w:t xml:space="preserve">Ook is er geen sprake van een </w:t>
      </w:r>
      <w:r w:rsidR="00562766">
        <w:t>reëel</w:t>
      </w:r>
      <w:r>
        <w:t xml:space="preserve"> verbeteringstraject indien de werknemer</w:t>
      </w:r>
      <w:r w:rsidR="00F20399">
        <w:t xml:space="preserve"> niet</w:t>
      </w:r>
      <w:r w:rsidR="00D97FF1">
        <w:rPr>
          <w:rStyle w:val="Voetnootmarkering"/>
        </w:rPr>
        <w:footnoteReference w:id="74"/>
      </w:r>
      <w:r w:rsidR="00F20399">
        <w:t xml:space="preserve"> of op een on</w:t>
      </w:r>
      <w:r>
        <w:t>duidelijk</w:t>
      </w:r>
      <w:r w:rsidR="00E25C81">
        <w:t xml:space="preserve">e </w:t>
      </w:r>
      <w:r w:rsidR="00F20399">
        <w:t>manier</w:t>
      </w:r>
      <w:r>
        <w:t xml:space="preserve"> wordt aangesproken</w:t>
      </w:r>
      <w:r w:rsidR="00E8253E">
        <w:t xml:space="preserve"> op het vermeende gedrag</w:t>
      </w:r>
      <w:r w:rsidR="00C902D7">
        <w:t>.</w:t>
      </w:r>
      <w:r w:rsidR="008E6FF1">
        <w:rPr>
          <w:rStyle w:val="Voetnootmarkering"/>
        </w:rPr>
        <w:footnoteReference w:id="75"/>
      </w:r>
      <w:r w:rsidR="00BB5193">
        <w:t xml:space="preserve"> </w:t>
      </w:r>
    </w:p>
    <w:p w:rsidR="00D123D8" w:rsidRDefault="00F20399" w:rsidP="00686131">
      <w:pPr>
        <w:pStyle w:val="Geenafstand"/>
        <w:spacing w:line="360" w:lineRule="auto"/>
      </w:pPr>
      <w:r>
        <w:t>Onder het niet duidelijk aanspreken op h</w:t>
      </w:r>
      <w:r w:rsidR="00AC7C62">
        <w:t>et vermeende gedrag wordt onder</w:t>
      </w:r>
      <w:r>
        <w:t xml:space="preserve"> andere verstaan: </w:t>
      </w:r>
      <w:r w:rsidR="002F3273">
        <w:t xml:space="preserve">het slechts op </w:t>
      </w:r>
      <w:r w:rsidR="003E0C33">
        <w:t>onderdelen van</w:t>
      </w:r>
      <w:r w:rsidR="002F3273">
        <w:t xml:space="preserve"> het werk worden aangesproken en het </w:t>
      </w:r>
      <w:r>
        <w:t>ter plekke verbeteren</w:t>
      </w:r>
      <w:r w:rsidR="002F3273">
        <w:t xml:space="preserve"> </w:t>
      </w:r>
      <w:r>
        <w:t xml:space="preserve">van de </w:t>
      </w:r>
      <w:r>
        <w:lastRenderedPageBreak/>
        <w:t xml:space="preserve">fouten </w:t>
      </w:r>
      <w:r w:rsidR="002F3273">
        <w:t>van de werknemer</w:t>
      </w:r>
      <w:r w:rsidR="00ED4ACF">
        <w:rPr>
          <w:rStyle w:val="Voetnootmarkering"/>
        </w:rPr>
        <w:footnoteReference w:id="76"/>
      </w:r>
      <w:r w:rsidR="0033210E">
        <w:t>.</w:t>
      </w:r>
      <w:r w:rsidR="00E25C81">
        <w:t xml:space="preserve"> </w:t>
      </w:r>
      <w:r w:rsidR="0033210E">
        <w:t>V</w:t>
      </w:r>
      <w:r w:rsidR="00E25C81">
        <w:t xml:space="preserve">ervolgens hebben de fouten van de werknemer geleid tot een </w:t>
      </w:r>
      <w:r w:rsidR="0033210E">
        <w:t xml:space="preserve">op </w:t>
      </w:r>
      <w:r w:rsidR="00E25C81">
        <w:t>non-actiefstelling, zonder dat de werknemer een deugdelijke begeleiding aangeboden heeft gekregen</w:t>
      </w:r>
      <w:r>
        <w:t xml:space="preserve">. Ook wordt het </w:t>
      </w:r>
      <w:r w:rsidR="00C31A56">
        <w:t xml:space="preserve">per brief opmerken </w:t>
      </w:r>
      <w:r w:rsidR="00DC410A">
        <w:t xml:space="preserve">dat </w:t>
      </w:r>
      <w:r w:rsidR="0033210E">
        <w:t xml:space="preserve">de </w:t>
      </w:r>
      <w:r w:rsidR="00DC410A">
        <w:t>werknemer nog steeds onvoldoende</w:t>
      </w:r>
      <w:r w:rsidR="00B07DF0">
        <w:t xml:space="preserve"> functioneert en </w:t>
      </w:r>
      <w:r w:rsidR="00DC410A">
        <w:t xml:space="preserve">dat het vertrouwen in hem als persoon en in zijn functioneren </w:t>
      </w:r>
      <w:r w:rsidR="00B07DF0">
        <w:t xml:space="preserve">zo </w:t>
      </w:r>
      <w:r w:rsidR="00DC410A">
        <w:t>minima</w:t>
      </w:r>
      <w:r w:rsidR="00B07DF0">
        <w:t>al is dat dit vertrouwen</w:t>
      </w:r>
      <w:r w:rsidR="00DC410A">
        <w:t xml:space="preserve"> op korte termijn </w:t>
      </w:r>
      <w:r w:rsidR="00443914">
        <w:t xml:space="preserve">niet </w:t>
      </w:r>
      <w:r w:rsidR="00DC410A">
        <w:t>zal veranderen</w:t>
      </w:r>
      <w:r w:rsidR="00B07DF0">
        <w:t xml:space="preserve"> (</w:t>
      </w:r>
      <w:r>
        <w:t xml:space="preserve">zonder </w:t>
      </w:r>
      <w:r w:rsidR="004B25DC">
        <w:t>aan te kunnen tonen dat er een verbeter</w:t>
      </w:r>
      <w:r>
        <w:t xml:space="preserve">traject </w:t>
      </w:r>
      <w:r w:rsidR="004B25DC">
        <w:t>is aangeboden</w:t>
      </w:r>
      <w:r>
        <w:t>)</w:t>
      </w:r>
      <w:r w:rsidR="00B07DF0">
        <w:t xml:space="preserve">, </w:t>
      </w:r>
      <w:r w:rsidR="003E0C33">
        <w:t>gekwalificeerd</w:t>
      </w:r>
      <w:r w:rsidR="00B07DF0">
        <w:t xml:space="preserve"> als niet duidelijk aanspreken op het vermeende gedrag. Daarnaast is het op de hoogte stellen van de</w:t>
      </w:r>
      <w:r w:rsidR="004B25DC">
        <w:t xml:space="preserve"> werknemer per e-mail</w:t>
      </w:r>
      <w:r w:rsidR="008E6618">
        <w:t>,</w:t>
      </w:r>
      <w:r w:rsidR="004B25DC">
        <w:t xml:space="preserve"> </w:t>
      </w:r>
      <w:r w:rsidR="00B07DF0">
        <w:t xml:space="preserve">waarin duidelijk wordt gemaakt dat </w:t>
      </w:r>
      <w:r w:rsidR="006D005B">
        <w:t xml:space="preserve">het </w:t>
      </w:r>
      <w:r w:rsidR="00121C0D">
        <w:t xml:space="preserve">niet </w:t>
      </w:r>
      <w:r w:rsidR="00C158B4">
        <w:t xml:space="preserve">meer </w:t>
      </w:r>
      <w:r w:rsidR="00121C0D">
        <w:t xml:space="preserve">verantwoord </w:t>
      </w:r>
      <w:r w:rsidR="006D005B">
        <w:t xml:space="preserve">wordt </w:t>
      </w:r>
      <w:r w:rsidR="00121C0D">
        <w:t xml:space="preserve">geacht dat </w:t>
      </w:r>
      <w:r w:rsidR="00B07DF0">
        <w:t xml:space="preserve">de </w:t>
      </w:r>
      <w:r w:rsidR="00121C0D">
        <w:t>werknemer zijn functie volledig gaat uitoefenen</w:t>
      </w:r>
      <w:r w:rsidR="00C158B4">
        <w:t xml:space="preserve"> (demotie)</w:t>
      </w:r>
      <w:r w:rsidR="00B07DF0">
        <w:t>, geen duidelijke manier van aanspreken op het vermeende gedrag</w:t>
      </w:r>
      <w:r w:rsidR="00121C0D">
        <w:t>.</w:t>
      </w:r>
      <w:r w:rsidR="005F0E1C">
        <w:rPr>
          <w:rStyle w:val="Voetnootmarkering"/>
        </w:rPr>
        <w:footnoteReference w:id="77"/>
      </w:r>
      <w:r w:rsidR="00121C0D">
        <w:t xml:space="preserve"> </w:t>
      </w:r>
    </w:p>
    <w:p w:rsidR="00BB5193" w:rsidRDefault="0033210E" w:rsidP="00686131">
      <w:pPr>
        <w:pStyle w:val="Geenafstand"/>
        <w:spacing w:line="360" w:lineRule="auto"/>
      </w:pPr>
      <w:r>
        <w:t>Ook</w:t>
      </w:r>
      <w:r w:rsidR="005F0E1C">
        <w:t xml:space="preserve"> een dergelijke e-mail met </w:t>
      </w:r>
      <w:r w:rsidR="00C31A56">
        <w:t>een dreigende</w:t>
      </w:r>
      <w:r w:rsidR="008A5F26">
        <w:t xml:space="preserve"> </w:t>
      </w:r>
      <w:r w:rsidR="00C31A56">
        <w:t>toon</w:t>
      </w:r>
      <w:r w:rsidR="004B25DC">
        <w:rPr>
          <w:rStyle w:val="Voetnootmarkering"/>
        </w:rPr>
        <w:footnoteReference w:id="78"/>
      </w:r>
      <w:r w:rsidR="004B25DC">
        <w:t xml:space="preserve">  </w:t>
      </w:r>
      <w:r w:rsidR="00C31A56">
        <w:t>of een gesprek met forse kritiek</w:t>
      </w:r>
      <w:r w:rsidR="00C31A56">
        <w:rPr>
          <w:rStyle w:val="Voetnootmarkering"/>
        </w:rPr>
        <w:footnoteReference w:id="79"/>
      </w:r>
      <w:r w:rsidR="00C31A56">
        <w:t xml:space="preserve"> </w:t>
      </w:r>
      <w:r w:rsidR="005F0E1C">
        <w:t xml:space="preserve">wordt door de rechtspraak </w:t>
      </w:r>
      <w:r w:rsidR="008E6618">
        <w:t>niet beschouwd</w:t>
      </w:r>
      <w:r w:rsidR="00C31A56">
        <w:t xml:space="preserve"> als deugdelijk aanspreken op het vermeende gedrag of het bieden van een serieus verbetertraject.</w:t>
      </w:r>
    </w:p>
    <w:p w:rsidR="000A5B02" w:rsidRDefault="000A5B02"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EA6D81" w:rsidRDefault="00EA6D81" w:rsidP="007618D9">
      <w:pPr>
        <w:pStyle w:val="Geenafstand"/>
        <w:spacing w:line="276" w:lineRule="auto"/>
        <w:rPr>
          <w:b/>
          <w:i/>
        </w:rPr>
      </w:pPr>
    </w:p>
    <w:p w:rsidR="007618D9" w:rsidRDefault="00E935EF" w:rsidP="007618D9">
      <w:pPr>
        <w:pStyle w:val="Geenafstand"/>
        <w:spacing w:line="276" w:lineRule="auto"/>
        <w:rPr>
          <w:b/>
          <w:i/>
        </w:rPr>
      </w:pPr>
      <w:r w:rsidRPr="00E935EF">
        <w:rPr>
          <w:b/>
          <w:i/>
        </w:rPr>
        <w:t>3.1.2</w:t>
      </w:r>
      <w:r>
        <w:t xml:space="preserve"> </w:t>
      </w:r>
      <w:r w:rsidR="007618D9" w:rsidRPr="007618D9">
        <w:rPr>
          <w:b/>
          <w:i/>
        </w:rPr>
        <w:t>Onmiddellijk op non-actief zetten zonder duidelijke grond (zonder behoud van loon)</w:t>
      </w:r>
    </w:p>
    <w:p w:rsidR="007618D9" w:rsidRDefault="007618D9" w:rsidP="007618D9">
      <w:pPr>
        <w:pStyle w:val="Geenafstand"/>
        <w:spacing w:line="276" w:lineRule="auto"/>
        <w:rPr>
          <w:b/>
          <w:i/>
        </w:rPr>
      </w:pPr>
    </w:p>
    <w:p w:rsidR="007618D9" w:rsidRDefault="004B25DC" w:rsidP="008B491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r>
        <w:t xml:space="preserve">De werknemer op non-actief stellen, </w:t>
      </w:r>
      <w:r w:rsidR="007618D9">
        <w:t xml:space="preserve">zonder een </w:t>
      </w:r>
      <w:r w:rsidR="0031490A">
        <w:t>draag</w:t>
      </w:r>
      <w:r w:rsidR="007618D9">
        <w:t>kracht</w:t>
      </w:r>
      <w:r w:rsidR="0031490A">
        <w:t xml:space="preserve">ige of </w:t>
      </w:r>
      <w:r w:rsidR="00AC7C62">
        <w:t>gerechtvaardigde</w:t>
      </w:r>
      <w:r w:rsidR="0031490A">
        <w:t xml:space="preserve"> grondslag, met of zonder</w:t>
      </w:r>
      <w:r w:rsidR="00DD7AF1">
        <w:rPr>
          <w:rStyle w:val="Voetnootmarkering"/>
        </w:rPr>
        <w:footnoteReference w:id="80"/>
      </w:r>
      <w:r w:rsidR="0031490A">
        <w:t xml:space="preserve"> behoud van loon, is ernstig verwijtbaar aan de werkgever.</w:t>
      </w:r>
      <w:r w:rsidR="0031490A">
        <w:rPr>
          <w:rStyle w:val="Voetnootmarkering"/>
        </w:rPr>
        <w:footnoteReference w:id="81"/>
      </w:r>
      <w:r w:rsidR="0031490A">
        <w:t xml:space="preserve"> Wat bedoeld wordt met een draagkrachtige en </w:t>
      </w:r>
      <w:r w:rsidR="00AC7C62">
        <w:t>gerechtvaardigde</w:t>
      </w:r>
      <w:r w:rsidR="0031490A">
        <w:t xml:space="preserve"> grondslag wordt hieronder nader omschreven aan de hand van voorbeelden uit de relevante uitspraken. </w:t>
      </w:r>
    </w:p>
    <w:p w:rsidR="00072EC8" w:rsidRDefault="003E0C33" w:rsidP="008B491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r>
        <w:t xml:space="preserve">Indien de werkgever een loonstop invoert en/of de werknemer voortdurend op non-actief </w:t>
      </w:r>
      <w:r w:rsidR="008E6618">
        <w:t>stelt</w:t>
      </w:r>
      <w:r>
        <w:t>, zonder de werknemer eerst gehoord te hebben of aan te spreken op het vermeende gedrag, wordt er onmiddellijk gesproken van ernstig verwijtbaar handelen van de werkgever.</w:t>
      </w:r>
      <w:r w:rsidR="00072EC8">
        <w:rPr>
          <w:rStyle w:val="Voetnootmarkering"/>
        </w:rPr>
        <w:footnoteReference w:id="82"/>
      </w:r>
    </w:p>
    <w:p w:rsidR="008133CA" w:rsidRDefault="00CF0F84"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t xml:space="preserve">Wat wordt verstaan onder het aanspreken op het vermeende gedrag kan worden teruggelezen in de vorige </w:t>
      </w:r>
      <w:r w:rsidR="00AC7C62">
        <w:t>subparagraaf</w:t>
      </w:r>
      <w:r>
        <w:t xml:space="preserve">. </w:t>
      </w:r>
      <w:r w:rsidR="00223AB7">
        <w:t xml:space="preserve">Een </w:t>
      </w:r>
      <w:r>
        <w:t xml:space="preserve">voorbeeld van een onredelijke grond voor de </w:t>
      </w:r>
      <w:r w:rsidR="001A229A">
        <w:t xml:space="preserve">op </w:t>
      </w:r>
      <w:r>
        <w:t>non-actief</w:t>
      </w:r>
      <w:r w:rsidR="00223AB7">
        <w:t xml:space="preserve">stelling is de </w:t>
      </w:r>
      <w:r w:rsidR="00223AB7">
        <w:lastRenderedPageBreak/>
        <w:t xml:space="preserve">werknemer </w:t>
      </w:r>
      <w:r>
        <w:t xml:space="preserve">op non-actief stellen omdat hij </w:t>
      </w:r>
      <w:r w:rsidR="00223AB7">
        <w:t xml:space="preserve">handtekeningen </w:t>
      </w:r>
      <w:r>
        <w:t xml:space="preserve">heeft </w:t>
      </w:r>
      <w:r w:rsidR="004B25DC">
        <w:t>verzameld</w:t>
      </w:r>
      <w:r w:rsidR="00223AB7">
        <w:t xml:space="preserve"> om verandering </w:t>
      </w:r>
      <w:r w:rsidR="001A229A">
        <w:t xml:space="preserve">in het bedrijf </w:t>
      </w:r>
      <w:r w:rsidR="00223AB7">
        <w:t>te</w:t>
      </w:r>
      <w:r w:rsidR="001A229A">
        <w:t>weeg te</w:t>
      </w:r>
      <w:r w:rsidR="00223AB7">
        <w:t xml:space="preserve"> </w:t>
      </w:r>
      <w:r w:rsidR="00681BFF">
        <w:t>brengen</w:t>
      </w:r>
      <w:r w:rsidR="00223AB7">
        <w:rPr>
          <w:rStyle w:val="Voetnootmarkering"/>
        </w:rPr>
        <w:footnoteReference w:id="83"/>
      </w:r>
      <w:r w:rsidR="00E065D6">
        <w:t xml:space="preserve"> of indien de </w:t>
      </w:r>
      <w:r>
        <w:t xml:space="preserve">werkgever van mening is dat de </w:t>
      </w:r>
      <w:r w:rsidR="00E065D6">
        <w:t>w</w:t>
      </w:r>
      <w:r>
        <w:t xml:space="preserve">erknemer zich onvoldoende </w:t>
      </w:r>
      <w:r w:rsidR="00E065D6">
        <w:t>kan aanpassen aan een nieuwe werkwijze</w:t>
      </w:r>
      <w:r w:rsidR="008A5F26">
        <w:t xml:space="preserve"> maar deze gebreken van de werknemer niet kan concretiseren met specifieke voorbeelden</w:t>
      </w:r>
      <w:r w:rsidR="00E065D6">
        <w:t>.</w:t>
      </w:r>
      <w:r w:rsidR="00E065D6">
        <w:rPr>
          <w:rStyle w:val="Voetnootmarkering"/>
        </w:rPr>
        <w:footnoteReference w:id="84"/>
      </w:r>
      <w:r>
        <w:t xml:space="preserve"> </w:t>
      </w:r>
    </w:p>
    <w:p w:rsidR="00C902D7" w:rsidRDefault="00C902D7"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p>
    <w:p w:rsidR="00DD7AF1" w:rsidRDefault="00CF0F84"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t xml:space="preserve">Ook is het bezwaar maken </w:t>
      </w:r>
      <w:r w:rsidR="001A229A">
        <w:t>tegen</w:t>
      </w:r>
      <w:r>
        <w:t xml:space="preserve"> plotselinge loonvermindering</w:t>
      </w:r>
      <w:r>
        <w:rPr>
          <w:rStyle w:val="Voetnootmarkering"/>
        </w:rPr>
        <w:footnoteReference w:id="85"/>
      </w:r>
      <w:r w:rsidR="00DD7AF1">
        <w:t xml:space="preserve"> </w:t>
      </w:r>
      <w:r>
        <w:t xml:space="preserve">en vermindering van werkuren geen </w:t>
      </w:r>
      <w:r w:rsidR="004B25DC">
        <w:t>geldig</w:t>
      </w:r>
      <w:r>
        <w:t xml:space="preserve">e reden om over te gaan </w:t>
      </w:r>
      <w:r w:rsidR="001A229A">
        <w:t xml:space="preserve">tot </w:t>
      </w:r>
      <w:r>
        <w:t>op non-actiefstelling.</w:t>
      </w:r>
      <w:r>
        <w:rPr>
          <w:rStyle w:val="Voetnootmarkering"/>
        </w:rPr>
        <w:footnoteReference w:id="86"/>
      </w:r>
      <w:r w:rsidR="00DD7AF1">
        <w:t xml:space="preserve"> </w:t>
      </w:r>
    </w:p>
    <w:p w:rsidR="00C902D7" w:rsidRDefault="00C902D7"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p>
    <w:p w:rsidR="00DD7AF1" w:rsidRDefault="004A6C97"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t>Het maken van veel fouten door de werknemer</w:t>
      </w:r>
      <w:r w:rsidRPr="004A6C97">
        <w:t xml:space="preserve"> </w:t>
      </w:r>
      <w:r>
        <w:t xml:space="preserve">tijdens </w:t>
      </w:r>
      <w:r w:rsidR="008E6618">
        <w:t xml:space="preserve">zijn of </w:t>
      </w:r>
      <w:r>
        <w:t>haar werkzaamheden, zoals het verkeerd verwerken van klantgegevens in het computersysteem</w:t>
      </w:r>
      <w:r w:rsidR="00DD7AF1">
        <w:t>,</w:t>
      </w:r>
      <w:r>
        <w:t xml:space="preserve"> het niet juist invoeren van boekhoud</w:t>
      </w:r>
      <w:r w:rsidR="00FD1FA2">
        <w:t>kund</w:t>
      </w:r>
      <w:r>
        <w:t xml:space="preserve">ige gegevens en fouten in de communicatie met de klanten, </w:t>
      </w:r>
      <w:r w:rsidR="00DD7AF1">
        <w:t xml:space="preserve">is wederom geen grondige reden om over te gaan </w:t>
      </w:r>
      <w:r w:rsidR="001A229A">
        <w:t xml:space="preserve">tot </w:t>
      </w:r>
      <w:r w:rsidR="00DD7AF1">
        <w:t>op non-actiefstelling.</w:t>
      </w:r>
      <w:r w:rsidR="00DD7AF1">
        <w:rPr>
          <w:rStyle w:val="Voetnootmarkering"/>
        </w:rPr>
        <w:footnoteReference w:id="87"/>
      </w:r>
    </w:p>
    <w:p w:rsidR="00B4318A" w:rsidRDefault="00B4318A"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i/>
        </w:rPr>
      </w:pPr>
    </w:p>
    <w:p w:rsidR="008B4911" w:rsidRPr="00DD7AF1" w:rsidRDefault="007618D9"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sidRPr="007618D9">
        <w:rPr>
          <w:b/>
          <w:i/>
        </w:rPr>
        <w:t>3.1.3</w:t>
      </w:r>
      <w:r>
        <w:t xml:space="preserve"> </w:t>
      </w:r>
      <w:r w:rsidR="009701AC">
        <w:rPr>
          <w:b/>
          <w:i/>
          <w:lang w:eastAsia="nl-NL"/>
        </w:rPr>
        <w:t>Nalatigheid bij het verbeteren</w:t>
      </w:r>
      <w:r w:rsidR="006877E7" w:rsidRPr="006877E7">
        <w:rPr>
          <w:b/>
          <w:i/>
          <w:lang w:eastAsia="nl-NL"/>
        </w:rPr>
        <w:t xml:space="preserve"> </w:t>
      </w:r>
      <w:r w:rsidR="009701AC">
        <w:rPr>
          <w:b/>
          <w:i/>
          <w:lang w:eastAsia="nl-NL"/>
        </w:rPr>
        <w:t xml:space="preserve">van de </w:t>
      </w:r>
      <w:r w:rsidR="006877E7" w:rsidRPr="006877E7">
        <w:rPr>
          <w:b/>
          <w:i/>
          <w:lang w:eastAsia="nl-NL"/>
        </w:rPr>
        <w:t>arbeidsrelatie</w:t>
      </w:r>
    </w:p>
    <w:p w:rsidR="00C902D7" w:rsidRDefault="00C902D7"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lang w:eastAsia="nl-NL"/>
        </w:rPr>
      </w:pPr>
    </w:p>
    <w:p w:rsidR="006877E7" w:rsidRDefault="008B4911"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shd w:val="clear" w:color="auto" w:fill="FFFFFF"/>
        </w:rPr>
      </w:pPr>
      <w:r>
        <w:rPr>
          <w:lang w:eastAsia="nl-NL"/>
        </w:rPr>
        <w:t xml:space="preserve">Uit de uitspraken </w:t>
      </w:r>
      <w:r w:rsidR="00DD7AF1">
        <w:rPr>
          <w:lang w:eastAsia="nl-NL"/>
        </w:rPr>
        <w:t>blijkt</w:t>
      </w:r>
      <w:r>
        <w:rPr>
          <w:lang w:eastAsia="nl-NL"/>
        </w:rPr>
        <w:t xml:space="preserve"> dat </w:t>
      </w:r>
      <w:r w:rsidR="00BB355A">
        <w:rPr>
          <w:lang w:eastAsia="nl-NL"/>
        </w:rPr>
        <w:t>het erg bepalend is in hoeverre de werkgever zich inzet o</w:t>
      </w:r>
      <w:r>
        <w:rPr>
          <w:lang w:eastAsia="nl-NL"/>
        </w:rPr>
        <w:t>m de arbeidsrelatie te verbeteren</w:t>
      </w:r>
      <w:r w:rsidR="00BB355A">
        <w:rPr>
          <w:lang w:eastAsia="nl-NL"/>
        </w:rPr>
        <w:t>.</w:t>
      </w:r>
      <w:r w:rsidR="006877E7">
        <w:rPr>
          <w:rStyle w:val="Voetnootmarkering"/>
          <w:lang w:eastAsia="nl-NL"/>
        </w:rPr>
        <w:footnoteReference w:id="88"/>
      </w:r>
      <w:r w:rsidR="00E9497D">
        <w:rPr>
          <w:lang w:eastAsia="nl-NL"/>
        </w:rPr>
        <w:t xml:space="preserve"> </w:t>
      </w:r>
      <w:r w:rsidR="00FD1FA2">
        <w:rPr>
          <w:lang w:eastAsia="nl-NL"/>
        </w:rPr>
        <w:t xml:space="preserve">Rechtbank Noord-Nederland </w:t>
      </w:r>
      <w:r w:rsidR="00CB07D8">
        <w:rPr>
          <w:lang w:eastAsia="nl-NL"/>
        </w:rPr>
        <w:t xml:space="preserve">oordeelt het volgende in haar uitspraak: </w:t>
      </w:r>
      <w:r w:rsidR="008025B4">
        <w:t>“</w:t>
      </w:r>
      <w:r w:rsidR="008025B4" w:rsidRPr="00ED62EA">
        <w:rPr>
          <w:i/>
          <w:color w:val="000000"/>
          <w:shd w:val="clear" w:color="auto" w:fill="FFFFFF"/>
        </w:rPr>
        <w:t>Het ligt immers op de weg van de werkgever om zich ervan te vergewissen dat de werknemer, indien deze wordt aangesproken op - in de ogen van de werkgever - serieus en herhaald disfunctioneren, doordrongen is van de ernst van de situatie en het ligt voorts op de weg van de werkgever om daarbij tevens heldere afspraken te maken om te komen tot verbeteringen</w:t>
      </w:r>
      <w:r w:rsidR="008025B4">
        <w:rPr>
          <w:i/>
          <w:color w:val="000000"/>
          <w:shd w:val="clear" w:color="auto" w:fill="FFFFFF"/>
        </w:rPr>
        <w:t>”.</w:t>
      </w:r>
      <w:r w:rsidR="00FD1FA2">
        <w:rPr>
          <w:rStyle w:val="Voetnootmarkering"/>
          <w:i/>
          <w:color w:val="000000"/>
          <w:shd w:val="clear" w:color="auto" w:fill="FFFFFF"/>
        </w:rPr>
        <w:footnoteReference w:id="89"/>
      </w:r>
      <w:r w:rsidR="008025B4">
        <w:rPr>
          <w:i/>
          <w:color w:val="000000"/>
          <w:shd w:val="clear" w:color="auto" w:fill="FFFFFF"/>
        </w:rPr>
        <w:t xml:space="preserve"> </w:t>
      </w:r>
      <w:r w:rsidR="00DD7AF1">
        <w:rPr>
          <w:color w:val="000000"/>
          <w:shd w:val="clear" w:color="auto" w:fill="FFFFFF"/>
        </w:rPr>
        <w:t xml:space="preserve">Het ligt dus op de weg van de werkgever om bij vermeend disfunctioneren van de werknemer, </w:t>
      </w:r>
      <w:r w:rsidR="004C7DCE">
        <w:rPr>
          <w:color w:val="000000"/>
          <w:shd w:val="clear" w:color="auto" w:fill="FFFFFF"/>
        </w:rPr>
        <w:t xml:space="preserve">heldere afspraken te maken, </w:t>
      </w:r>
      <w:r w:rsidR="008E6618">
        <w:rPr>
          <w:color w:val="000000"/>
          <w:shd w:val="clear" w:color="auto" w:fill="FFFFFF"/>
        </w:rPr>
        <w:t xml:space="preserve">om </w:t>
      </w:r>
      <w:r w:rsidR="004C7DCE">
        <w:rPr>
          <w:color w:val="000000"/>
          <w:shd w:val="clear" w:color="auto" w:fill="FFFFFF"/>
        </w:rPr>
        <w:t>middels een traject daartoe</w:t>
      </w:r>
      <w:r w:rsidR="004C7DCE">
        <w:rPr>
          <w:rStyle w:val="Voetnootmarkering"/>
          <w:color w:val="000000"/>
          <w:shd w:val="clear" w:color="auto" w:fill="FFFFFF"/>
        </w:rPr>
        <w:footnoteReference w:id="90"/>
      </w:r>
      <w:r w:rsidR="008E6618">
        <w:rPr>
          <w:color w:val="000000"/>
          <w:shd w:val="clear" w:color="auto" w:fill="FFFFFF"/>
        </w:rPr>
        <w:t>,</w:t>
      </w:r>
      <w:r w:rsidR="00DD7AF1">
        <w:rPr>
          <w:color w:val="000000"/>
          <w:shd w:val="clear" w:color="auto" w:fill="FFFFFF"/>
        </w:rPr>
        <w:t xml:space="preserve"> tot een verbetering van de arbeidsrelatie te komen.</w:t>
      </w:r>
      <w:r w:rsidR="00DD7AF1">
        <w:rPr>
          <w:rStyle w:val="Voetnootmarkering"/>
          <w:color w:val="000000"/>
          <w:shd w:val="clear" w:color="auto" w:fill="FFFFFF"/>
        </w:rPr>
        <w:footnoteReference w:id="91"/>
      </w:r>
      <w:r w:rsidR="00DD7AF1">
        <w:rPr>
          <w:color w:val="000000"/>
          <w:shd w:val="clear" w:color="auto" w:fill="FFFFFF"/>
        </w:rPr>
        <w:t xml:space="preserve"> </w:t>
      </w:r>
      <w:r w:rsidR="00857885">
        <w:rPr>
          <w:color w:val="000000"/>
          <w:shd w:val="clear" w:color="auto" w:fill="FFFFFF"/>
        </w:rPr>
        <w:t>Wanneer is</w:t>
      </w:r>
      <w:r w:rsidR="00DD7AF1">
        <w:rPr>
          <w:color w:val="000000"/>
          <w:shd w:val="clear" w:color="auto" w:fill="FFFFFF"/>
        </w:rPr>
        <w:t xml:space="preserve"> er sprake van nalatigheid van</w:t>
      </w:r>
      <w:r w:rsidR="00857885">
        <w:rPr>
          <w:color w:val="000000"/>
          <w:shd w:val="clear" w:color="auto" w:fill="FFFFFF"/>
        </w:rPr>
        <w:t xml:space="preserve"> de werkgever om de arbeidsrelatie te verbeteren? Om</w:t>
      </w:r>
      <w:r w:rsidR="009701AC">
        <w:rPr>
          <w:color w:val="000000"/>
          <w:shd w:val="clear" w:color="auto" w:fill="FFFFFF"/>
        </w:rPr>
        <w:t xml:space="preserve"> dit </w:t>
      </w:r>
      <w:r w:rsidR="005D5024">
        <w:rPr>
          <w:color w:val="000000"/>
          <w:shd w:val="clear" w:color="auto" w:fill="FFFFFF"/>
        </w:rPr>
        <w:t>helder</w:t>
      </w:r>
      <w:r w:rsidR="009701AC">
        <w:rPr>
          <w:color w:val="000000"/>
          <w:shd w:val="clear" w:color="auto" w:fill="FFFFFF"/>
        </w:rPr>
        <w:t xml:space="preserve"> te maken volgen </w:t>
      </w:r>
      <w:r w:rsidR="00857885">
        <w:rPr>
          <w:color w:val="000000"/>
          <w:shd w:val="clear" w:color="auto" w:fill="FFFFFF"/>
        </w:rPr>
        <w:t xml:space="preserve">er hieronder een </w:t>
      </w:r>
      <w:r w:rsidR="009701AC">
        <w:rPr>
          <w:color w:val="000000"/>
          <w:shd w:val="clear" w:color="auto" w:fill="FFFFFF"/>
        </w:rPr>
        <w:t>aantal voorbeelden</w:t>
      </w:r>
      <w:r w:rsidR="00857885">
        <w:rPr>
          <w:color w:val="000000"/>
          <w:shd w:val="clear" w:color="auto" w:fill="FFFFFF"/>
        </w:rPr>
        <w:t xml:space="preserve"> </w:t>
      </w:r>
      <w:r w:rsidR="005D5024">
        <w:rPr>
          <w:color w:val="000000"/>
          <w:shd w:val="clear" w:color="auto" w:fill="FFFFFF"/>
        </w:rPr>
        <w:t>met de relevante uitspraken</w:t>
      </w:r>
      <w:r w:rsidR="009701AC">
        <w:rPr>
          <w:color w:val="000000"/>
          <w:shd w:val="clear" w:color="auto" w:fill="FFFFFF"/>
        </w:rPr>
        <w:t>.</w:t>
      </w:r>
    </w:p>
    <w:p w:rsidR="00C4692D" w:rsidRDefault="00BB5AAD" w:rsidP="002438E7">
      <w:pPr>
        <w:pStyle w:val="Geenafstand"/>
        <w:spacing w:line="360" w:lineRule="auto"/>
        <w:rPr>
          <w:color w:val="000000"/>
          <w:shd w:val="clear" w:color="auto" w:fill="FFFFFF"/>
        </w:rPr>
      </w:pPr>
      <w:r>
        <w:rPr>
          <w:color w:val="000000"/>
          <w:shd w:val="clear" w:color="auto" w:fill="FFFFFF"/>
        </w:rPr>
        <w:lastRenderedPageBreak/>
        <w:t xml:space="preserve">Zoals </w:t>
      </w:r>
      <w:r w:rsidR="00173B3E">
        <w:rPr>
          <w:color w:val="000000"/>
          <w:shd w:val="clear" w:color="auto" w:fill="FFFFFF"/>
        </w:rPr>
        <w:t xml:space="preserve">in sub paragraaf 3.1.1 is </w:t>
      </w:r>
      <w:r w:rsidR="00E60283">
        <w:rPr>
          <w:color w:val="000000"/>
          <w:shd w:val="clear" w:color="auto" w:fill="FFFFFF"/>
        </w:rPr>
        <w:t>beschreven</w:t>
      </w:r>
      <w:r w:rsidR="00173B3E">
        <w:rPr>
          <w:color w:val="000000"/>
          <w:shd w:val="clear" w:color="auto" w:fill="FFFFFF"/>
        </w:rPr>
        <w:t xml:space="preserve">, </w:t>
      </w:r>
      <w:r>
        <w:rPr>
          <w:color w:val="000000"/>
          <w:shd w:val="clear" w:color="auto" w:fill="FFFFFF"/>
        </w:rPr>
        <w:t xml:space="preserve">is het van </w:t>
      </w:r>
      <w:r w:rsidR="00E60283">
        <w:rPr>
          <w:color w:val="000000"/>
          <w:shd w:val="clear" w:color="auto" w:fill="FFFFFF"/>
        </w:rPr>
        <w:t xml:space="preserve">groot </w:t>
      </w:r>
      <w:r>
        <w:rPr>
          <w:color w:val="000000"/>
          <w:shd w:val="clear" w:color="auto" w:fill="FFFFFF"/>
        </w:rPr>
        <w:t xml:space="preserve">belang </w:t>
      </w:r>
      <w:r w:rsidR="00173B3E">
        <w:rPr>
          <w:color w:val="000000"/>
          <w:shd w:val="clear" w:color="auto" w:fill="FFFFFF"/>
        </w:rPr>
        <w:t>dat de werkgever kan aan</w:t>
      </w:r>
      <w:r>
        <w:rPr>
          <w:color w:val="000000"/>
          <w:shd w:val="clear" w:color="auto" w:fill="FFFFFF"/>
        </w:rPr>
        <w:t>tonen</w:t>
      </w:r>
      <w:r w:rsidR="00173B3E">
        <w:rPr>
          <w:rStyle w:val="Voetnootmarkering"/>
        </w:rPr>
        <w:footnoteReference w:id="92"/>
      </w:r>
      <w:r>
        <w:rPr>
          <w:color w:val="000000"/>
          <w:shd w:val="clear" w:color="auto" w:fill="FFFFFF"/>
        </w:rPr>
        <w:t xml:space="preserve"> dat </w:t>
      </w:r>
      <w:r w:rsidR="00173B3E">
        <w:rPr>
          <w:color w:val="000000"/>
          <w:shd w:val="clear" w:color="auto" w:fill="FFFFFF"/>
        </w:rPr>
        <w:t>er sprake is geweest van deugdelijke begeleiding</w:t>
      </w:r>
      <w:r w:rsidR="00173B3E">
        <w:rPr>
          <w:rStyle w:val="Voetnootmarkering"/>
        </w:rPr>
        <w:footnoteReference w:id="93"/>
      </w:r>
      <w:r w:rsidR="00173B3E">
        <w:rPr>
          <w:color w:val="000000"/>
          <w:shd w:val="clear" w:color="auto" w:fill="FFFFFF"/>
        </w:rPr>
        <w:t>, functioneringsgesprekken</w:t>
      </w:r>
      <w:r w:rsidR="00173B3E">
        <w:rPr>
          <w:rStyle w:val="Voetnootmarkering"/>
        </w:rPr>
        <w:footnoteReference w:id="94"/>
      </w:r>
      <w:r w:rsidR="00173B3E">
        <w:rPr>
          <w:color w:val="000000"/>
          <w:shd w:val="clear" w:color="auto" w:fill="FFFFFF"/>
        </w:rPr>
        <w:t xml:space="preserve"> en verbeterplannen</w:t>
      </w:r>
      <w:r w:rsidR="00173B3E">
        <w:rPr>
          <w:rStyle w:val="Voetnootmarkering"/>
        </w:rPr>
        <w:footnoteReference w:id="95"/>
      </w:r>
      <w:r w:rsidR="00173B3E">
        <w:rPr>
          <w:color w:val="000000"/>
          <w:shd w:val="clear" w:color="auto" w:fill="FFFFFF"/>
        </w:rPr>
        <w:t>.</w:t>
      </w:r>
      <w:r>
        <w:rPr>
          <w:color w:val="000000"/>
          <w:shd w:val="clear" w:color="auto" w:fill="FFFFFF"/>
        </w:rPr>
        <w:t xml:space="preserve"> </w:t>
      </w:r>
      <w:r w:rsidR="00173B3E">
        <w:t>Indien dit niet aangetoond kan worden dan wordt er van</w:t>
      </w:r>
      <w:r w:rsidR="00E60283">
        <w:t xml:space="preserve"> </w:t>
      </w:r>
      <w:r w:rsidR="00173B3E">
        <w:t xml:space="preserve">uitgegaan dat de werkgever zich nalatig heeft gedragen. </w:t>
      </w:r>
      <w:r w:rsidR="00173B3E">
        <w:rPr>
          <w:color w:val="000000"/>
          <w:shd w:val="clear" w:color="auto" w:fill="FFFFFF"/>
        </w:rPr>
        <w:t>Een voorbeeld van nalatig gedrag is het doen van</w:t>
      </w:r>
      <w:r w:rsidR="00EE318F">
        <w:rPr>
          <w:color w:val="000000"/>
          <w:shd w:val="clear" w:color="auto" w:fill="FFFFFF"/>
        </w:rPr>
        <w:t xml:space="preserve"> </w:t>
      </w:r>
      <w:r w:rsidR="00173B3E">
        <w:rPr>
          <w:color w:val="000000"/>
          <w:shd w:val="clear" w:color="auto" w:fill="FFFFFF"/>
        </w:rPr>
        <w:t>een ongeloofwaardige poging</w:t>
      </w:r>
      <w:r w:rsidR="00EE318F">
        <w:rPr>
          <w:color w:val="000000"/>
          <w:shd w:val="clear" w:color="auto" w:fill="FFFFFF"/>
        </w:rPr>
        <w:t xml:space="preserve"> tot het herstellen van de arbeidsrelatie.</w:t>
      </w:r>
      <w:r w:rsidR="00EE318F">
        <w:rPr>
          <w:rStyle w:val="Voetnootmarkering"/>
          <w:color w:val="000000"/>
          <w:shd w:val="clear" w:color="auto" w:fill="FFFFFF"/>
        </w:rPr>
        <w:footnoteReference w:id="96"/>
      </w:r>
    </w:p>
    <w:p w:rsidR="00B4318A" w:rsidRDefault="004C7DCE" w:rsidP="00562766">
      <w:pPr>
        <w:pStyle w:val="Geenafstand"/>
        <w:spacing w:line="360" w:lineRule="auto"/>
        <w:rPr>
          <w:color w:val="000000"/>
          <w:shd w:val="clear" w:color="auto" w:fill="FFFFFF"/>
        </w:rPr>
      </w:pPr>
      <w:r>
        <w:rPr>
          <w:color w:val="000000"/>
          <w:shd w:val="clear" w:color="auto" w:fill="FFFFFF"/>
        </w:rPr>
        <w:t>Met e</w:t>
      </w:r>
      <w:r w:rsidR="00185F81">
        <w:rPr>
          <w:color w:val="000000"/>
          <w:shd w:val="clear" w:color="auto" w:fill="FFFFFF"/>
        </w:rPr>
        <w:t xml:space="preserve">en ongeloofwaardige </w:t>
      </w:r>
      <w:r w:rsidR="00173B3E">
        <w:rPr>
          <w:color w:val="000000"/>
          <w:shd w:val="clear" w:color="auto" w:fill="FFFFFF"/>
        </w:rPr>
        <w:t xml:space="preserve">poging </w:t>
      </w:r>
      <w:r w:rsidR="00681BFF">
        <w:rPr>
          <w:color w:val="000000"/>
          <w:shd w:val="clear" w:color="auto" w:fill="FFFFFF"/>
        </w:rPr>
        <w:t>wordt bedoeld</w:t>
      </w:r>
      <w:r w:rsidR="00173B3E">
        <w:rPr>
          <w:color w:val="000000"/>
          <w:shd w:val="clear" w:color="auto" w:fill="FFFFFF"/>
        </w:rPr>
        <w:t xml:space="preserve"> het inzetten van een </w:t>
      </w:r>
      <w:r>
        <w:rPr>
          <w:color w:val="000000"/>
          <w:shd w:val="clear" w:color="auto" w:fill="FFFFFF"/>
        </w:rPr>
        <w:t>(</w:t>
      </w:r>
      <w:r w:rsidR="00D73E3C">
        <w:rPr>
          <w:color w:val="000000"/>
          <w:shd w:val="clear" w:color="auto" w:fill="FFFFFF"/>
        </w:rPr>
        <w:t>oneerlijk</w:t>
      </w:r>
      <w:r>
        <w:rPr>
          <w:rStyle w:val="Voetnootmarkering"/>
          <w:color w:val="000000"/>
          <w:shd w:val="clear" w:color="auto" w:fill="FFFFFF"/>
        </w:rPr>
        <w:footnoteReference w:id="97"/>
      </w:r>
      <w:r>
        <w:rPr>
          <w:color w:val="000000"/>
          <w:shd w:val="clear" w:color="auto" w:fill="FFFFFF"/>
        </w:rPr>
        <w:t xml:space="preserve">) </w:t>
      </w:r>
      <w:r w:rsidR="00173B3E">
        <w:rPr>
          <w:color w:val="000000"/>
          <w:shd w:val="clear" w:color="auto" w:fill="FFFFFF"/>
        </w:rPr>
        <w:t>traje</w:t>
      </w:r>
      <w:r>
        <w:rPr>
          <w:color w:val="000000"/>
          <w:shd w:val="clear" w:color="auto" w:fill="FFFFFF"/>
        </w:rPr>
        <w:t xml:space="preserve">ct, </w:t>
      </w:r>
      <w:r w:rsidR="00173B3E">
        <w:rPr>
          <w:color w:val="000000"/>
          <w:shd w:val="clear" w:color="auto" w:fill="FFFFFF"/>
        </w:rPr>
        <w:t>zoals medi</w:t>
      </w:r>
      <w:r w:rsidR="00185F81">
        <w:rPr>
          <w:color w:val="000000"/>
          <w:shd w:val="clear" w:color="auto" w:fill="FFFFFF"/>
        </w:rPr>
        <w:t>ati</w:t>
      </w:r>
      <w:r w:rsidR="00D73E3C">
        <w:rPr>
          <w:color w:val="000000"/>
          <w:shd w:val="clear" w:color="auto" w:fill="FFFFFF"/>
        </w:rPr>
        <w:t>on met een partijdige mediator en</w:t>
      </w:r>
      <w:r w:rsidR="00173B3E">
        <w:rPr>
          <w:color w:val="000000"/>
          <w:shd w:val="clear" w:color="auto" w:fill="FFFFFF"/>
        </w:rPr>
        <w:t xml:space="preserve"> zich </w:t>
      </w:r>
      <w:r w:rsidR="00185F81">
        <w:rPr>
          <w:color w:val="000000"/>
          <w:shd w:val="clear" w:color="auto" w:fill="FFFFFF"/>
        </w:rPr>
        <w:t>vervolgens ni</w:t>
      </w:r>
      <w:r w:rsidR="00173B3E">
        <w:rPr>
          <w:color w:val="000000"/>
          <w:shd w:val="clear" w:color="auto" w:fill="FFFFFF"/>
        </w:rPr>
        <w:t>e</w:t>
      </w:r>
      <w:r w:rsidR="00185F81">
        <w:rPr>
          <w:color w:val="000000"/>
          <w:shd w:val="clear" w:color="auto" w:fill="FFFFFF"/>
        </w:rPr>
        <w:t>t</w:t>
      </w:r>
      <w:r w:rsidR="00173B3E">
        <w:rPr>
          <w:color w:val="000000"/>
          <w:shd w:val="clear" w:color="auto" w:fill="FFFFFF"/>
        </w:rPr>
        <w:t xml:space="preserve"> houden aan de gemaakte afspraken</w:t>
      </w:r>
      <w:r w:rsidR="00173B3E">
        <w:rPr>
          <w:rStyle w:val="Voetnootmarkering"/>
          <w:color w:val="000000"/>
          <w:shd w:val="clear" w:color="auto" w:fill="FFFFFF"/>
        </w:rPr>
        <w:footnoteReference w:id="98"/>
      </w:r>
      <w:r w:rsidR="001256F6">
        <w:rPr>
          <w:color w:val="000000"/>
          <w:shd w:val="clear" w:color="auto" w:fill="FFFFFF"/>
        </w:rPr>
        <w:t xml:space="preserve"> </w:t>
      </w:r>
      <w:r w:rsidR="008A5F26">
        <w:rPr>
          <w:color w:val="000000"/>
          <w:shd w:val="clear" w:color="auto" w:fill="FFFFFF"/>
        </w:rPr>
        <w:t xml:space="preserve">of zich </w:t>
      </w:r>
      <w:r w:rsidR="002B1CB2">
        <w:rPr>
          <w:color w:val="000000"/>
          <w:shd w:val="clear" w:color="auto" w:fill="FFFFFF"/>
        </w:rPr>
        <w:t xml:space="preserve">niet </w:t>
      </w:r>
      <w:r w:rsidR="008A5F26">
        <w:rPr>
          <w:color w:val="000000"/>
          <w:shd w:val="clear" w:color="auto" w:fill="FFFFFF"/>
        </w:rPr>
        <w:t>houden aan de</w:t>
      </w:r>
      <w:r w:rsidR="00185F81">
        <w:rPr>
          <w:color w:val="000000"/>
          <w:shd w:val="clear" w:color="auto" w:fill="FFFFFF"/>
        </w:rPr>
        <w:t xml:space="preserve"> </w:t>
      </w:r>
      <w:r w:rsidR="001256F6">
        <w:rPr>
          <w:color w:val="000000"/>
          <w:shd w:val="clear" w:color="auto" w:fill="FFFFFF"/>
        </w:rPr>
        <w:t>voorstellen van de bedrijfsarts</w:t>
      </w:r>
      <w:r w:rsidR="00185F81">
        <w:rPr>
          <w:rStyle w:val="Voetnootmarkering"/>
          <w:color w:val="000000"/>
          <w:shd w:val="clear" w:color="auto" w:fill="FFFFFF"/>
        </w:rPr>
        <w:footnoteReference w:id="99"/>
      </w:r>
      <w:r w:rsidR="001256F6">
        <w:rPr>
          <w:color w:val="000000"/>
          <w:shd w:val="clear" w:color="auto" w:fill="FFFFFF"/>
        </w:rPr>
        <w:t>.</w:t>
      </w:r>
      <w:r w:rsidR="00173B3E">
        <w:rPr>
          <w:color w:val="000000"/>
          <w:shd w:val="clear" w:color="auto" w:fill="FFFFFF"/>
        </w:rPr>
        <w:t xml:space="preserve"> </w:t>
      </w:r>
      <w:r w:rsidR="001256F6">
        <w:rPr>
          <w:color w:val="000000"/>
          <w:shd w:val="clear" w:color="auto" w:fill="FFFFFF"/>
        </w:rPr>
        <w:t>Ook wordt onder een oneerlijke poging tot het herstellen van de arbeidsrelatie verstaan</w:t>
      </w:r>
      <w:r w:rsidR="00E60283">
        <w:rPr>
          <w:color w:val="000000"/>
          <w:shd w:val="clear" w:color="auto" w:fill="FFFFFF"/>
        </w:rPr>
        <w:t>,</w:t>
      </w:r>
      <w:r w:rsidR="001256F6">
        <w:rPr>
          <w:color w:val="000000"/>
          <w:shd w:val="clear" w:color="auto" w:fill="FFFFFF"/>
        </w:rPr>
        <w:t xml:space="preserve"> het </w:t>
      </w:r>
      <w:r w:rsidR="002B1CB2">
        <w:rPr>
          <w:color w:val="000000"/>
          <w:shd w:val="clear" w:color="auto" w:fill="FFFFFF"/>
        </w:rPr>
        <w:t>aan</w:t>
      </w:r>
      <w:r w:rsidR="001256F6">
        <w:rPr>
          <w:color w:val="000000"/>
          <w:shd w:val="clear" w:color="auto" w:fill="FFFFFF"/>
        </w:rPr>
        <w:t>bieden van een arbeidsovereenkomst en de werknemer vervolgens binnen vijf weken op non-actief stellen</w:t>
      </w:r>
      <w:r w:rsidR="008E6618">
        <w:rPr>
          <w:color w:val="000000"/>
          <w:shd w:val="clear" w:color="auto" w:fill="FFFFFF"/>
        </w:rPr>
        <w:t>,</w:t>
      </w:r>
      <w:r w:rsidR="001256F6">
        <w:rPr>
          <w:color w:val="000000"/>
          <w:shd w:val="clear" w:color="auto" w:fill="FFFFFF"/>
        </w:rPr>
        <w:t xml:space="preserve"> waarbij de werknemer is afgesloten van de server van het bedrijf.</w:t>
      </w:r>
      <w:r w:rsidR="00173B3E">
        <w:rPr>
          <w:rStyle w:val="Voetnootmarkering"/>
          <w:rFonts w:ascii="Verdana" w:hAnsi="Verdana"/>
          <w:color w:val="000000"/>
          <w:sz w:val="18"/>
          <w:szCs w:val="18"/>
          <w:shd w:val="clear" w:color="auto" w:fill="FFFFFF"/>
        </w:rPr>
        <w:footnoteReference w:id="100"/>
      </w:r>
    </w:p>
    <w:p w:rsidR="00E065D6" w:rsidRDefault="001256F6" w:rsidP="00562766">
      <w:pPr>
        <w:pStyle w:val="Geenafstand"/>
        <w:spacing w:line="360" w:lineRule="auto"/>
        <w:rPr>
          <w:color w:val="000000"/>
          <w:shd w:val="clear" w:color="auto" w:fill="FFFFFF"/>
        </w:rPr>
      </w:pPr>
      <w:r>
        <w:rPr>
          <w:color w:val="000000"/>
          <w:shd w:val="clear" w:color="auto" w:fill="FFFFFF"/>
        </w:rPr>
        <w:t xml:space="preserve">Onder nalatig gedrag van de werkgever </w:t>
      </w:r>
      <w:r w:rsidR="00562766">
        <w:rPr>
          <w:rFonts w:hint="eastAsia"/>
          <w:color w:val="000000"/>
          <w:shd w:val="clear" w:color="auto" w:fill="FFFFFF"/>
          <w:lang w:eastAsia="ja-JP"/>
        </w:rPr>
        <w:t>wordt</w:t>
      </w:r>
      <w:r>
        <w:rPr>
          <w:color w:val="000000"/>
          <w:shd w:val="clear" w:color="auto" w:fill="FFFFFF"/>
        </w:rPr>
        <w:t xml:space="preserve"> ook</w:t>
      </w:r>
      <w:r w:rsidR="00562766">
        <w:rPr>
          <w:rFonts w:hint="eastAsia"/>
          <w:color w:val="000000"/>
          <w:shd w:val="clear" w:color="auto" w:fill="FFFFFF"/>
          <w:lang w:eastAsia="ja-JP"/>
        </w:rPr>
        <w:t xml:space="preserve"> verstaan</w:t>
      </w:r>
      <w:r>
        <w:rPr>
          <w:color w:val="000000"/>
          <w:shd w:val="clear" w:color="auto" w:fill="FFFFFF"/>
        </w:rPr>
        <w:t xml:space="preserve"> het niet adequaat reageren op e-mails waaruit blijkt da</w:t>
      </w:r>
      <w:r w:rsidR="002B1CB2">
        <w:rPr>
          <w:color w:val="000000"/>
          <w:shd w:val="clear" w:color="auto" w:fill="FFFFFF"/>
        </w:rPr>
        <w:t>t er ge</w:t>
      </w:r>
      <w:r w:rsidR="00A3584B">
        <w:rPr>
          <w:color w:val="000000"/>
          <w:shd w:val="clear" w:color="auto" w:fill="FFFFFF"/>
        </w:rPr>
        <w:t>rezen irritaties bestaan, als</w:t>
      </w:r>
      <w:r w:rsidR="002B1CB2">
        <w:rPr>
          <w:color w:val="000000"/>
          <w:shd w:val="clear" w:color="auto" w:fill="FFFFFF"/>
        </w:rPr>
        <w:t xml:space="preserve"> </w:t>
      </w:r>
      <w:r w:rsidR="009B781B">
        <w:rPr>
          <w:color w:val="000000"/>
          <w:shd w:val="clear" w:color="auto" w:fill="FFFFFF"/>
        </w:rPr>
        <w:t xml:space="preserve">deze irritaties voorkomen </w:t>
      </w:r>
      <w:r w:rsidR="00E60283">
        <w:rPr>
          <w:color w:val="000000"/>
          <w:shd w:val="clear" w:color="auto" w:fill="FFFFFF"/>
        </w:rPr>
        <w:t xml:space="preserve">hadden </w:t>
      </w:r>
      <w:r w:rsidR="009B781B">
        <w:rPr>
          <w:color w:val="000000"/>
          <w:shd w:val="clear" w:color="auto" w:fill="FFFFFF"/>
        </w:rPr>
        <w:t>kunnen worden indien er op dat moment adequaat zou zijn gereageerd.</w:t>
      </w:r>
      <w:r w:rsidRPr="001256F6">
        <w:rPr>
          <w:rStyle w:val="Voetnootmarkering"/>
          <w:shd w:val="clear" w:color="auto" w:fill="FFFFFF"/>
        </w:rPr>
        <w:footnoteReference w:id="101"/>
      </w:r>
      <w:r w:rsidRPr="001256F6">
        <w:rPr>
          <w:shd w:val="clear" w:color="auto" w:fill="FFFFFF"/>
        </w:rPr>
        <w:t xml:space="preserve"> </w:t>
      </w:r>
      <w:r w:rsidR="009B781B">
        <w:rPr>
          <w:color w:val="000000"/>
          <w:shd w:val="clear" w:color="auto" w:fill="FFFFFF"/>
        </w:rPr>
        <w:t>Niets ondernemen tegen pesterijen, discriminatie en stelselmatige tegenwerkingen op de werkvloer, met als gevolg ziekte en een verslechtering van de arbeidsrelatie, valt ook onder de nalatigheid van de werkgever.</w:t>
      </w:r>
      <w:r w:rsidR="009B781B" w:rsidRPr="009B781B">
        <w:rPr>
          <w:rStyle w:val="Voetnootmarkering"/>
          <w:color w:val="FF0000"/>
          <w:shd w:val="clear" w:color="auto" w:fill="FFFFFF"/>
        </w:rPr>
        <w:t xml:space="preserve"> </w:t>
      </w:r>
      <w:r w:rsidR="009B781B" w:rsidRPr="009B781B">
        <w:rPr>
          <w:rStyle w:val="Voetnootmarkering"/>
          <w:shd w:val="clear" w:color="auto" w:fill="FFFFFF"/>
        </w:rPr>
        <w:footnoteReference w:id="102"/>
      </w:r>
    </w:p>
    <w:p w:rsidR="009B781B" w:rsidRPr="009B781B" w:rsidRDefault="009B781B" w:rsidP="009B781B">
      <w:pPr>
        <w:pStyle w:val="Geenafstand"/>
        <w:spacing w:line="360" w:lineRule="auto"/>
        <w:rPr>
          <w:color w:val="000000"/>
          <w:shd w:val="clear" w:color="auto" w:fill="FFFFFF"/>
        </w:rPr>
      </w:pPr>
    </w:p>
    <w:p w:rsidR="00E065D6" w:rsidRPr="00562766" w:rsidRDefault="00E065D6" w:rsidP="00E065D6">
      <w:pPr>
        <w:pStyle w:val="Geenafstand"/>
        <w:spacing w:line="276" w:lineRule="auto"/>
        <w:rPr>
          <w:b/>
          <w:i/>
          <w:lang w:eastAsia="nl-NL"/>
        </w:rPr>
      </w:pPr>
      <w:r w:rsidRPr="00562766">
        <w:rPr>
          <w:b/>
          <w:i/>
          <w:lang w:eastAsia="nl-NL"/>
        </w:rPr>
        <w:t>3.1.4</w:t>
      </w:r>
      <w:r w:rsidR="00502F6B" w:rsidRPr="00562766">
        <w:rPr>
          <w:b/>
          <w:i/>
          <w:lang w:eastAsia="nl-NL"/>
        </w:rPr>
        <w:t xml:space="preserve"> </w:t>
      </w:r>
      <w:r w:rsidR="008B4911" w:rsidRPr="00562766">
        <w:rPr>
          <w:b/>
          <w:i/>
          <w:lang w:eastAsia="nl-NL"/>
        </w:rPr>
        <w:t xml:space="preserve">Valse/geen </w:t>
      </w:r>
      <w:r w:rsidR="00AB2072" w:rsidRPr="00562766">
        <w:rPr>
          <w:b/>
          <w:i/>
          <w:lang w:eastAsia="nl-NL"/>
        </w:rPr>
        <w:t xml:space="preserve">rechtsgeldige </w:t>
      </w:r>
      <w:r w:rsidR="008B4911" w:rsidRPr="00562766">
        <w:rPr>
          <w:b/>
          <w:i/>
          <w:lang w:eastAsia="nl-NL"/>
        </w:rPr>
        <w:t>grond van ontslag</w:t>
      </w:r>
      <w:r w:rsidR="00582A21" w:rsidRPr="00562766">
        <w:rPr>
          <w:b/>
          <w:i/>
          <w:lang w:eastAsia="nl-NL"/>
        </w:rPr>
        <w:t xml:space="preserve"> (op staande voet)</w:t>
      </w:r>
      <w:r w:rsidR="008B4911" w:rsidRPr="00562766">
        <w:rPr>
          <w:b/>
          <w:i/>
          <w:lang w:eastAsia="nl-NL"/>
        </w:rPr>
        <w:t xml:space="preserve"> voeren</w:t>
      </w:r>
    </w:p>
    <w:p w:rsidR="00E065D6" w:rsidRPr="00825227" w:rsidRDefault="00E065D6" w:rsidP="00E065D6">
      <w:pPr>
        <w:pStyle w:val="Geenafstand"/>
        <w:spacing w:line="276" w:lineRule="auto"/>
        <w:rPr>
          <w:b/>
          <w:i/>
          <w:lang w:eastAsia="nl-NL"/>
        </w:rPr>
      </w:pPr>
    </w:p>
    <w:p w:rsidR="00AB2072" w:rsidRDefault="001A7AF9"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Uit</w:t>
      </w:r>
      <w:r w:rsidR="00562766">
        <w:rPr>
          <w:spacing w:val="-3"/>
          <w:lang w:eastAsia="nl-NL"/>
        </w:rPr>
        <w:t xml:space="preserve"> </w:t>
      </w:r>
      <w:r w:rsidR="00562766">
        <w:rPr>
          <w:rFonts w:hint="eastAsia"/>
          <w:spacing w:val="-3"/>
          <w:lang w:eastAsia="ja-JP"/>
        </w:rPr>
        <w:t>de jurisprudentie blijkt</w:t>
      </w:r>
      <w:r w:rsidR="00AB2072">
        <w:rPr>
          <w:spacing w:val="-3"/>
          <w:lang w:eastAsia="nl-NL"/>
        </w:rPr>
        <w:t xml:space="preserve"> dat het voeren van een valse of geen rechtsgeldige grond </w:t>
      </w:r>
      <w:r w:rsidR="00562766">
        <w:rPr>
          <w:rFonts w:hint="eastAsia"/>
          <w:spacing w:val="-3"/>
          <w:lang w:eastAsia="ja-JP"/>
        </w:rPr>
        <w:t xml:space="preserve">van ontslag, eventueel op staande voet, </w:t>
      </w:r>
      <w:r w:rsidR="00AB2072">
        <w:rPr>
          <w:spacing w:val="-3"/>
          <w:lang w:eastAsia="nl-NL"/>
        </w:rPr>
        <w:t xml:space="preserve">als ernstig verwijtbaar </w:t>
      </w:r>
      <w:r>
        <w:rPr>
          <w:spacing w:val="-3"/>
          <w:lang w:eastAsia="nl-NL"/>
        </w:rPr>
        <w:t xml:space="preserve">handelen zijdens de werkgever </w:t>
      </w:r>
      <w:r w:rsidR="00AB2072">
        <w:rPr>
          <w:spacing w:val="-3"/>
          <w:lang w:eastAsia="nl-NL"/>
        </w:rPr>
        <w:t xml:space="preserve">kan worden </w:t>
      </w:r>
      <w:r w:rsidR="00562766">
        <w:rPr>
          <w:spacing w:val="-3"/>
          <w:lang w:eastAsia="nl-NL"/>
        </w:rPr>
        <w:t>gekwalificeerd</w:t>
      </w:r>
      <w:r w:rsidR="00AB2072">
        <w:rPr>
          <w:spacing w:val="-3"/>
          <w:lang w:eastAsia="nl-NL"/>
        </w:rPr>
        <w:t>.</w:t>
      </w:r>
      <w:r w:rsidRPr="001A7AF9">
        <w:rPr>
          <w:rStyle w:val="Voetnootmarkering"/>
          <w:b/>
          <w:i/>
          <w:lang w:eastAsia="nl-NL"/>
        </w:rPr>
        <w:t xml:space="preserve"> </w:t>
      </w:r>
      <w:r w:rsidRPr="008B4911">
        <w:rPr>
          <w:rStyle w:val="Voetnootmarkering"/>
          <w:b/>
          <w:i/>
          <w:lang w:eastAsia="nl-NL"/>
        </w:rPr>
        <w:footnoteReference w:id="103"/>
      </w:r>
      <w:r w:rsidR="00AB2072">
        <w:rPr>
          <w:spacing w:val="-3"/>
          <w:lang w:eastAsia="nl-NL"/>
        </w:rPr>
        <w:t xml:space="preserve">  </w:t>
      </w:r>
      <w:r w:rsidR="002942ED">
        <w:rPr>
          <w:rFonts w:hint="eastAsia"/>
          <w:spacing w:val="-3"/>
          <w:lang w:eastAsia="ja-JP"/>
        </w:rPr>
        <w:t>Dit houdt in dat i</w:t>
      </w:r>
      <w:r w:rsidR="002942ED">
        <w:rPr>
          <w:spacing w:val="-3"/>
          <w:lang w:eastAsia="nl-NL"/>
        </w:rPr>
        <w:t>ndien er geen rechtsgeldige grond voor ontslag wordt gevoerd, de billijke vergoeding wordt toegekend</w:t>
      </w:r>
      <w:r w:rsidR="002942ED">
        <w:rPr>
          <w:rFonts w:hint="eastAsia"/>
          <w:spacing w:val="-3"/>
          <w:lang w:eastAsia="ja-JP"/>
        </w:rPr>
        <w:t>.</w:t>
      </w:r>
      <w:r w:rsidR="002942ED">
        <w:rPr>
          <w:spacing w:val="-3"/>
          <w:lang w:eastAsia="nl-NL"/>
        </w:rPr>
        <w:t xml:space="preserve"> </w:t>
      </w:r>
    </w:p>
    <w:p w:rsidR="00D472E8" w:rsidRDefault="00D158B1"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spacing w:val="-3"/>
          <w:lang w:eastAsia="nl-NL"/>
        </w:rPr>
        <w:lastRenderedPageBreak/>
        <w:t xml:space="preserve">Het </w:t>
      </w:r>
      <w:r w:rsidRPr="00355B4A">
        <w:rPr>
          <w:spacing w:val="-3"/>
          <w:lang w:eastAsia="nl-NL"/>
        </w:rPr>
        <w:t>niet</w:t>
      </w:r>
      <w:r w:rsidR="00AB711E">
        <w:rPr>
          <w:rFonts w:hint="eastAsia"/>
          <w:spacing w:val="-3"/>
          <w:lang w:eastAsia="ja-JP"/>
        </w:rPr>
        <w:t xml:space="preserve"> of </w:t>
      </w:r>
      <w:r w:rsidR="000452C8">
        <w:rPr>
          <w:spacing w:val="-3"/>
          <w:lang w:eastAsia="ja-JP"/>
        </w:rPr>
        <w:t xml:space="preserve">niet </w:t>
      </w:r>
      <w:r w:rsidR="00355B4A">
        <w:rPr>
          <w:rFonts w:hint="eastAsia"/>
          <w:spacing w:val="-3"/>
          <w:lang w:eastAsia="ja-JP"/>
        </w:rPr>
        <w:t xml:space="preserve">voldoende </w:t>
      </w:r>
      <w:r w:rsidRPr="00355B4A">
        <w:rPr>
          <w:spacing w:val="-3"/>
          <w:lang w:eastAsia="nl-NL"/>
        </w:rPr>
        <w:t>kunnen bewijzen</w:t>
      </w:r>
      <w:r>
        <w:rPr>
          <w:spacing w:val="-3"/>
          <w:lang w:eastAsia="nl-NL"/>
        </w:rPr>
        <w:t xml:space="preserve"> van </w:t>
      </w:r>
      <w:r w:rsidR="00AF1113">
        <w:rPr>
          <w:spacing w:val="-3"/>
          <w:lang w:eastAsia="nl-NL"/>
        </w:rPr>
        <w:t>een dringende reden</w:t>
      </w:r>
      <w:r w:rsidR="002942ED">
        <w:rPr>
          <w:rFonts w:hint="eastAsia"/>
          <w:spacing w:val="-3"/>
          <w:lang w:eastAsia="ja-JP"/>
        </w:rPr>
        <w:t xml:space="preserve"> van ontslag</w:t>
      </w:r>
      <w:r w:rsidR="00562766">
        <w:rPr>
          <w:spacing w:val="-3"/>
          <w:lang w:eastAsia="nl-NL"/>
        </w:rPr>
        <w:t xml:space="preserve">, zoals </w:t>
      </w:r>
      <w:r w:rsidR="00562766">
        <w:rPr>
          <w:rFonts w:hint="eastAsia"/>
          <w:spacing w:val="-3"/>
          <w:lang w:eastAsia="ja-JP"/>
        </w:rPr>
        <w:t>diefstal</w:t>
      </w:r>
      <w:r w:rsidR="005C5EBB">
        <w:rPr>
          <w:rStyle w:val="Voetnootmarkering"/>
          <w:spacing w:val="-3"/>
          <w:lang w:eastAsia="nl-NL"/>
        </w:rPr>
        <w:footnoteReference w:id="104"/>
      </w:r>
      <w:r w:rsidR="00355B4A">
        <w:rPr>
          <w:rFonts w:hint="eastAsia"/>
          <w:spacing w:val="-3"/>
          <w:lang w:eastAsia="ja-JP"/>
        </w:rPr>
        <w:t xml:space="preserve"> of </w:t>
      </w:r>
      <w:r w:rsidR="00AB711E">
        <w:rPr>
          <w:rFonts w:hint="eastAsia"/>
          <w:spacing w:val="-3"/>
          <w:lang w:eastAsia="ja-JP"/>
        </w:rPr>
        <w:t>het nuttigen van alcohol</w:t>
      </w:r>
      <w:r w:rsidR="00355B4A">
        <w:rPr>
          <w:rFonts w:hint="eastAsia"/>
          <w:spacing w:val="-3"/>
          <w:lang w:eastAsia="ja-JP"/>
        </w:rPr>
        <w:t xml:space="preserve"> op de werkvl</w:t>
      </w:r>
      <w:r w:rsidR="00AB711E">
        <w:rPr>
          <w:rFonts w:hint="eastAsia"/>
          <w:spacing w:val="-3"/>
          <w:lang w:eastAsia="ja-JP"/>
        </w:rPr>
        <w:t xml:space="preserve">oer en niet kunnen aantonen om hoeveel </w:t>
      </w:r>
      <w:r w:rsidR="00AB711E">
        <w:rPr>
          <w:spacing w:val="-3"/>
          <w:lang w:eastAsia="ja-JP"/>
        </w:rPr>
        <w:t>alcohol</w:t>
      </w:r>
      <w:r w:rsidR="00AB711E">
        <w:rPr>
          <w:rFonts w:hint="eastAsia"/>
          <w:spacing w:val="-3"/>
          <w:lang w:eastAsia="ja-JP"/>
        </w:rPr>
        <w:t xml:space="preserve"> het ging</w:t>
      </w:r>
      <w:r w:rsidR="00355B4A">
        <w:rPr>
          <w:rStyle w:val="Voetnootmarkering"/>
          <w:spacing w:val="-3"/>
          <w:lang w:eastAsia="ja-JP"/>
        </w:rPr>
        <w:footnoteReference w:id="105"/>
      </w:r>
      <w:r>
        <w:rPr>
          <w:spacing w:val="-3"/>
          <w:lang w:eastAsia="nl-NL"/>
        </w:rPr>
        <w:t>, brengt als gevolg met zich mee dat er geen rechtsgeldige gr</w:t>
      </w:r>
      <w:r w:rsidR="002942ED">
        <w:rPr>
          <w:spacing w:val="-3"/>
          <w:lang w:eastAsia="nl-NL"/>
        </w:rPr>
        <w:t>ond voor ontslag is gevoerd</w:t>
      </w:r>
      <w:r>
        <w:rPr>
          <w:spacing w:val="-3"/>
          <w:lang w:eastAsia="nl-NL"/>
        </w:rPr>
        <w:t>.</w:t>
      </w:r>
      <w:r w:rsidR="00E43E82">
        <w:rPr>
          <w:spacing w:val="-3"/>
          <w:lang w:eastAsia="nl-NL"/>
        </w:rPr>
        <w:t xml:space="preserve"> </w:t>
      </w:r>
    </w:p>
    <w:p w:rsidR="000452C8" w:rsidRDefault="000452C8"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p>
    <w:p w:rsidR="00D472E8" w:rsidRDefault="00897C56"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spacing w:val="-3"/>
          <w:lang w:eastAsia="ja-JP"/>
        </w:rPr>
        <w:t>H</w:t>
      </w:r>
      <w:r w:rsidR="00AB711E">
        <w:rPr>
          <w:rFonts w:hint="eastAsia"/>
          <w:spacing w:val="-3"/>
          <w:lang w:eastAsia="ja-JP"/>
        </w:rPr>
        <w:t>et</w:t>
      </w:r>
      <w:r>
        <w:rPr>
          <w:spacing w:val="-3"/>
          <w:lang w:eastAsia="ja-JP"/>
        </w:rPr>
        <w:t xml:space="preserve"> wordt</w:t>
      </w:r>
      <w:r w:rsidR="00AB711E">
        <w:rPr>
          <w:rFonts w:hint="eastAsia"/>
          <w:spacing w:val="-3"/>
          <w:lang w:eastAsia="ja-JP"/>
        </w:rPr>
        <w:t xml:space="preserve"> de werkgever ernstig verweten </w:t>
      </w:r>
      <w:r>
        <w:rPr>
          <w:spacing w:val="-3"/>
          <w:lang w:eastAsia="ja-JP"/>
        </w:rPr>
        <w:t>indien</w:t>
      </w:r>
      <w:r>
        <w:rPr>
          <w:rFonts w:hint="eastAsia"/>
          <w:spacing w:val="-3"/>
          <w:lang w:eastAsia="ja-JP"/>
        </w:rPr>
        <w:t xml:space="preserve"> </w:t>
      </w:r>
      <w:r>
        <w:rPr>
          <w:spacing w:val="-3"/>
          <w:lang w:eastAsia="ja-JP"/>
        </w:rPr>
        <w:t>h</w:t>
      </w:r>
      <w:r w:rsidR="00AB711E">
        <w:rPr>
          <w:rFonts w:hint="eastAsia"/>
          <w:spacing w:val="-3"/>
          <w:lang w:eastAsia="ja-JP"/>
        </w:rPr>
        <w:t xml:space="preserve">ij een valse </w:t>
      </w:r>
      <w:r w:rsidR="00D44A53">
        <w:rPr>
          <w:rFonts w:hint="eastAsia"/>
          <w:spacing w:val="-3"/>
          <w:lang w:eastAsia="ja-JP"/>
        </w:rPr>
        <w:t xml:space="preserve">en ongeloofwaardige </w:t>
      </w:r>
      <w:r w:rsidR="00AB711E">
        <w:rPr>
          <w:rFonts w:hint="eastAsia"/>
          <w:spacing w:val="-3"/>
          <w:lang w:eastAsia="ja-JP"/>
        </w:rPr>
        <w:t>g</w:t>
      </w:r>
      <w:r>
        <w:rPr>
          <w:rFonts w:hint="eastAsia"/>
          <w:spacing w:val="-3"/>
          <w:lang w:eastAsia="ja-JP"/>
        </w:rPr>
        <w:t>rond voert voor ontslag</w:t>
      </w:r>
      <w:r>
        <w:rPr>
          <w:spacing w:val="-3"/>
          <w:lang w:eastAsia="ja-JP"/>
        </w:rPr>
        <w:t xml:space="preserve">, </w:t>
      </w:r>
      <w:r>
        <w:rPr>
          <w:rFonts w:hint="eastAsia"/>
          <w:spacing w:val="-3"/>
          <w:lang w:eastAsia="ja-JP"/>
        </w:rPr>
        <w:t xml:space="preserve">waarin </w:t>
      </w:r>
      <w:r>
        <w:rPr>
          <w:spacing w:val="-3"/>
          <w:lang w:eastAsia="ja-JP"/>
        </w:rPr>
        <w:t>h</w:t>
      </w:r>
      <w:r w:rsidR="00AB711E">
        <w:rPr>
          <w:rFonts w:hint="eastAsia"/>
          <w:spacing w:val="-3"/>
          <w:lang w:eastAsia="ja-JP"/>
        </w:rPr>
        <w:t>ij aanvoert dat de werknemer</w:t>
      </w:r>
      <w:r w:rsidR="00D44A53">
        <w:rPr>
          <w:rFonts w:hint="eastAsia"/>
          <w:spacing w:val="-3"/>
          <w:lang w:eastAsia="ja-JP"/>
        </w:rPr>
        <w:t xml:space="preserve">, die ruim 31 jaar in dienst is en altijd dezelfde werkzaamheden heeft verricht, </w:t>
      </w:r>
      <w:r w:rsidR="00051F87">
        <w:rPr>
          <w:rFonts w:hint="eastAsia"/>
          <w:spacing w:val="-3"/>
          <w:lang w:eastAsia="ja-JP"/>
        </w:rPr>
        <w:t xml:space="preserve">na bedrijfsovername haar </w:t>
      </w:r>
      <w:r w:rsidR="00051F87">
        <w:rPr>
          <w:spacing w:val="-3"/>
          <w:lang w:eastAsia="ja-JP"/>
        </w:rPr>
        <w:t>werkzaamheden</w:t>
      </w:r>
      <w:r w:rsidR="00051F87">
        <w:rPr>
          <w:rFonts w:hint="eastAsia"/>
          <w:spacing w:val="-3"/>
          <w:lang w:eastAsia="ja-JP"/>
        </w:rPr>
        <w:t xml:space="preserve"> </w:t>
      </w:r>
      <w:r w:rsidR="00D44A53">
        <w:rPr>
          <w:rFonts w:hint="eastAsia"/>
          <w:spacing w:val="-3"/>
          <w:lang w:eastAsia="ja-JP"/>
        </w:rPr>
        <w:t xml:space="preserve">plotseling </w:t>
      </w:r>
      <w:r w:rsidR="00051F87">
        <w:rPr>
          <w:rFonts w:hint="eastAsia"/>
          <w:spacing w:val="-3"/>
          <w:lang w:eastAsia="ja-JP"/>
        </w:rPr>
        <w:t xml:space="preserve">niet meer goed </w:t>
      </w:r>
      <w:r w:rsidR="00903260">
        <w:rPr>
          <w:rFonts w:hint="eastAsia"/>
          <w:spacing w:val="-3"/>
          <w:lang w:eastAsia="ja-JP"/>
        </w:rPr>
        <w:t>uitvoert</w:t>
      </w:r>
      <w:r w:rsidR="00051F87">
        <w:rPr>
          <w:rFonts w:hint="eastAsia"/>
          <w:spacing w:val="-3"/>
          <w:lang w:eastAsia="ja-JP"/>
        </w:rPr>
        <w:t xml:space="preserve">, </w:t>
      </w:r>
      <w:r w:rsidR="00473E44">
        <w:rPr>
          <w:rFonts w:hint="eastAsia"/>
          <w:spacing w:val="-3"/>
          <w:lang w:eastAsia="ja-JP"/>
        </w:rPr>
        <w:t xml:space="preserve">zonder enige </w:t>
      </w:r>
      <w:r w:rsidR="00D44A53">
        <w:rPr>
          <w:rFonts w:hint="eastAsia"/>
          <w:spacing w:val="-3"/>
          <w:lang w:eastAsia="ja-JP"/>
        </w:rPr>
        <w:t>stukken waaruit dit blijkt</w:t>
      </w:r>
      <w:r w:rsidR="00E60283">
        <w:rPr>
          <w:spacing w:val="-3"/>
          <w:lang w:eastAsia="ja-JP"/>
        </w:rPr>
        <w:t>.</w:t>
      </w:r>
      <w:r w:rsidR="00473E44">
        <w:rPr>
          <w:rFonts w:hint="eastAsia"/>
          <w:spacing w:val="-3"/>
          <w:lang w:eastAsia="ja-JP"/>
        </w:rPr>
        <w:t xml:space="preserve"> </w:t>
      </w:r>
      <w:r w:rsidR="00E60283">
        <w:rPr>
          <w:spacing w:val="-3"/>
          <w:lang w:eastAsia="ja-JP"/>
        </w:rPr>
        <w:t>O</w:t>
      </w:r>
      <w:r w:rsidR="00D472E8">
        <w:rPr>
          <w:rFonts w:hint="eastAsia"/>
          <w:spacing w:val="-3"/>
          <w:lang w:eastAsia="ja-JP"/>
        </w:rPr>
        <w:t>ok blijkt dat</w:t>
      </w:r>
      <w:r w:rsidR="00D44A53">
        <w:rPr>
          <w:rFonts w:hint="eastAsia"/>
          <w:spacing w:val="-3"/>
          <w:lang w:eastAsia="ja-JP"/>
        </w:rPr>
        <w:t xml:space="preserve"> de werknemer alleen maar positieve feedback </w:t>
      </w:r>
      <w:r w:rsidR="00D472E8">
        <w:rPr>
          <w:rFonts w:hint="eastAsia"/>
          <w:spacing w:val="-3"/>
          <w:lang w:eastAsia="ja-JP"/>
        </w:rPr>
        <w:t xml:space="preserve">heeft </w:t>
      </w:r>
      <w:r w:rsidR="00D44A53">
        <w:rPr>
          <w:rFonts w:hint="eastAsia"/>
          <w:spacing w:val="-3"/>
          <w:lang w:eastAsia="ja-JP"/>
        </w:rPr>
        <w:t xml:space="preserve">gekregen van de werkgever en is </w:t>
      </w:r>
      <w:r w:rsidR="00E60283">
        <w:rPr>
          <w:spacing w:val="-3"/>
          <w:lang w:eastAsia="ja-JP"/>
        </w:rPr>
        <w:t xml:space="preserve">de werknemer </w:t>
      </w:r>
      <w:r w:rsidR="00D44A53">
        <w:rPr>
          <w:rFonts w:hint="eastAsia"/>
          <w:spacing w:val="-3"/>
          <w:lang w:eastAsia="ja-JP"/>
        </w:rPr>
        <w:t>nooit aangesproken op het vermeende gedrag.</w:t>
      </w:r>
      <w:r w:rsidR="00903260">
        <w:rPr>
          <w:rStyle w:val="Voetnootmarkering"/>
          <w:spacing w:val="-3"/>
          <w:lang w:eastAsia="ja-JP"/>
        </w:rPr>
        <w:footnoteReference w:id="106"/>
      </w:r>
    </w:p>
    <w:p w:rsidR="000452C8" w:rsidRDefault="000452C8"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p>
    <w:p w:rsidR="00B4318A" w:rsidRDefault="00E43E82"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spacing w:val="-3"/>
          <w:lang w:eastAsia="nl-NL"/>
        </w:rPr>
        <w:t>Tevens bepaalt het H</w:t>
      </w:r>
      <w:r w:rsidR="00897C56">
        <w:rPr>
          <w:spacing w:val="-3"/>
          <w:lang w:eastAsia="nl-NL"/>
        </w:rPr>
        <w:t>of te ‘s-Hertogenbosch dat werk</w:t>
      </w:r>
      <w:r>
        <w:rPr>
          <w:spacing w:val="-3"/>
          <w:lang w:eastAsia="nl-NL"/>
        </w:rPr>
        <w:t>weigering</w:t>
      </w:r>
      <w:r w:rsidR="00562766">
        <w:rPr>
          <w:rFonts w:hint="eastAsia"/>
          <w:spacing w:val="-3"/>
          <w:lang w:eastAsia="ja-JP"/>
        </w:rPr>
        <w:t xml:space="preserve"> te alle</w:t>
      </w:r>
      <w:r w:rsidR="00E60283">
        <w:rPr>
          <w:spacing w:val="-3"/>
          <w:lang w:eastAsia="ja-JP"/>
        </w:rPr>
        <w:t>n</w:t>
      </w:r>
      <w:r w:rsidR="00562766">
        <w:rPr>
          <w:rFonts w:hint="eastAsia"/>
          <w:spacing w:val="-3"/>
          <w:lang w:eastAsia="ja-JP"/>
        </w:rPr>
        <w:t xml:space="preserve"> tijde </w:t>
      </w:r>
      <w:r>
        <w:rPr>
          <w:spacing w:val="-3"/>
          <w:lang w:eastAsia="nl-NL"/>
        </w:rPr>
        <w:t>geen re</w:t>
      </w:r>
      <w:r w:rsidR="00A3584B">
        <w:rPr>
          <w:spacing w:val="-3"/>
          <w:lang w:eastAsia="nl-NL"/>
        </w:rPr>
        <w:t>den is om direct over te gaan tot</w:t>
      </w:r>
      <w:r>
        <w:rPr>
          <w:spacing w:val="-3"/>
          <w:lang w:eastAsia="nl-NL"/>
        </w:rPr>
        <w:t xml:space="preserve"> ontslag op staande voet.</w:t>
      </w:r>
      <w:r>
        <w:rPr>
          <w:rStyle w:val="Voetnootmarkering"/>
          <w:spacing w:val="-3"/>
          <w:lang w:eastAsia="nl-NL"/>
        </w:rPr>
        <w:footnoteReference w:id="107"/>
      </w:r>
      <w:r>
        <w:rPr>
          <w:spacing w:val="-3"/>
          <w:lang w:eastAsia="nl-NL"/>
        </w:rPr>
        <w:t xml:space="preserve">. </w:t>
      </w:r>
      <w:r w:rsidR="00582A21">
        <w:rPr>
          <w:spacing w:val="-3"/>
          <w:lang w:eastAsia="nl-NL"/>
        </w:rPr>
        <w:t>Gebrek aan discipline</w:t>
      </w:r>
      <w:r w:rsidR="00562766">
        <w:rPr>
          <w:rFonts w:hint="eastAsia"/>
          <w:spacing w:val="-3"/>
          <w:lang w:eastAsia="ja-JP"/>
        </w:rPr>
        <w:t xml:space="preserve"> op de werkvloer van de werknemer, door bijvoorbeel</w:t>
      </w:r>
      <w:r w:rsidR="002942ED">
        <w:rPr>
          <w:rFonts w:hint="eastAsia"/>
          <w:spacing w:val="-3"/>
          <w:lang w:eastAsia="ja-JP"/>
        </w:rPr>
        <w:t>d</w:t>
      </w:r>
      <w:r w:rsidR="005C5EBB">
        <w:rPr>
          <w:rFonts w:hint="eastAsia"/>
          <w:spacing w:val="-3"/>
          <w:lang w:eastAsia="ja-JP"/>
        </w:rPr>
        <w:t xml:space="preserve"> te vaak te laat te komen</w:t>
      </w:r>
      <w:r w:rsidR="002942ED">
        <w:rPr>
          <w:rStyle w:val="Voetnootmarkering"/>
          <w:spacing w:val="-3"/>
          <w:lang w:eastAsia="nl-NL"/>
        </w:rPr>
        <w:footnoteReference w:id="108"/>
      </w:r>
      <w:r w:rsidR="005C5EBB">
        <w:rPr>
          <w:rFonts w:hint="eastAsia"/>
          <w:spacing w:val="-3"/>
          <w:lang w:eastAsia="ja-JP"/>
        </w:rPr>
        <w:t xml:space="preserve">, niet </w:t>
      </w:r>
      <w:r w:rsidR="00E60283">
        <w:rPr>
          <w:spacing w:val="-3"/>
          <w:lang w:eastAsia="ja-JP"/>
        </w:rPr>
        <w:t xml:space="preserve">komen </w:t>
      </w:r>
      <w:r w:rsidR="005C5EBB">
        <w:rPr>
          <w:rFonts w:hint="eastAsia"/>
          <w:spacing w:val="-3"/>
          <w:lang w:eastAsia="ja-JP"/>
        </w:rPr>
        <w:t>opdagen</w:t>
      </w:r>
      <w:r w:rsidR="005C5EBB">
        <w:rPr>
          <w:rStyle w:val="Voetnootmarkering"/>
          <w:spacing w:val="-3"/>
          <w:lang w:eastAsia="nl-NL"/>
        </w:rPr>
        <w:footnoteReference w:id="109"/>
      </w:r>
      <w:r w:rsidR="005C5EBB">
        <w:rPr>
          <w:rFonts w:hint="eastAsia"/>
          <w:spacing w:val="-3"/>
          <w:lang w:eastAsia="ja-JP"/>
        </w:rPr>
        <w:t xml:space="preserve"> op de werkvloer en</w:t>
      </w:r>
      <w:r w:rsidR="00562766">
        <w:rPr>
          <w:rFonts w:hint="eastAsia"/>
          <w:spacing w:val="-3"/>
          <w:lang w:eastAsia="ja-JP"/>
        </w:rPr>
        <w:t xml:space="preserve"> niet op tijd zijn werk af krijgen</w:t>
      </w:r>
      <w:r w:rsidR="005C5EBB">
        <w:rPr>
          <w:rFonts w:hint="eastAsia"/>
          <w:spacing w:val="-3"/>
          <w:lang w:eastAsia="ja-JP"/>
        </w:rPr>
        <w:t>,</w:t>
      </w:r>
      <w:r w:rsidR="00562766">
        <w:rPr>
          <w:rFonts w:hint="eastAsia"/>
          <w:spacing w:val="-3"/>
          <w:lang w:eastAsia="ja-JP"/>
        </w:rPr>
        <w:t xml:space="preserve"> </w:t>
      </w:r>
      <w:r w:rsidR="00582A21">
        <w:rPr>
          <w:spacing w:val="-3"/>
          <w:lang w:eastAsia="nl-NL"/>
        </w:rPr>
        <w:t xml:space="preserve">is geen </w:t>
      </w:r>
      <w:r w:rsidR="005C5EBB">
        <w:rPr>
          <w:spacing w:val="-3"/>
          <w:lang w:eastAsia="ja-JP"/>
        </w:rPr>
        <w:t>rechtsgeldige</w:t>
      </w:r>
      <w:r w:rsidR="005C5EBB">
        <w:rPr>
          <w:rFonts w:hint="eastAsia"/>
          <w:spacing w:val="-3"/>
          <w:lang w:eastAsia="ja-JP"/>
        </w:rPr>
        <w:t xml:space="preserve"> grond</w:t>
      </w:r>
      <w:r w:rsidR="00582A21">
        <w:rPr>
          <w:spacing w:val="-3"/>
          <w:lang w:eastAsia="nl-NL"/>
        </w:rPr>
        <w:t xml:space="preserve"> om over te gaan </w:t>
      </w:r>
      <w:r w:rsidR="00E60283">
        <w:rPr>
          <w:spacing w:val="-3"/>
          <w:lang w:eastAsia="nl-NL"/>
        </w:rPr>
        <w:t>tot</w:t>
      </w:r>
      <w:r w:rsidR="00582A21">
        <w:rPr>
          <w:spacing w:val="-3"/>
          <w:lang w:eastAsia="nl-NL"/>
        </w:rPr>
        <w:t xml:space="preserve"> ontslag op staande voet. </w:t>
      </w:r>
    </w:p>
    <w:p w:rsidR="00AB2072" w:rsidRPr="00B4318A" w:rsidRDefault="00355B4A"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rFonts w:hint="eastAsia"/>
          <w:spacing w:val="-3"/>
          <w:lang w:eastAsia="ja-JP"/>
        </w:rPr>
        <w:t>Een a</w:t>
      </w:r>
      <w:r w:rsidR="002942ED">
        <w:rPr>
          <w:rFonts w:hint="eastAsia"/>
          <w:spacing w:val="-3"/>
          <w:lang w:eastAsia="ja-JP"/>
        </w:rPr>
        <w:t xml:space="preserve">nder </w:t>
      </w:r>
      <w:r>
        <w:rPr>
          <w:spacing w:val="-3"/>
          <w:lang w:eastAsia="ja-JP"/>
        </w:rPr>
        <w:t>voorbeeld</w:t>
      </w:r>
      <w:r w:rsidR="002942ED">
        <w:rPr>
          <w:spacing w:val="-3"/>
          <w:lang w:eastAsia="ja-JP"/>
        </w:rPr>
        <w:t xml:space="preserve"> van</w:t>
      </w:r>
      <w:r w:rsidR="002942ED">
        <w:rPr>
          <w:rFonts w:hint="eastAsia"/>
          <w:spacing w:val="-3"/>
          <w:lang w:eastAsia="ja-JP"/>
        </w:rPr>
        <w:t xml:space="preserve"> valse of niet rechtsgeldige gronden van </w:t>
      </w:r>
      <w:r w:rsidR="002942ED">
        <w:rPr>
          <w:spacing w:val="-3"/>
          <w:lang w:eastAsia="ja-JP"/>
        </w:rPr>
        <w:t>ontslag</w:t>
      </w:r>
      <w:r>
        <w:rPr>
          <w:rFonts w:hint="eastAsia"/>
          <w:spacing w:val="-3"/>
          <w:lang w:eastAsia="ja-JP"/>
        </w:rPr>
        <w:t xml:space="preserve"> is</w:t>
      </w:r>
      <w:r w:rsidR="002942ED">
        <w:rPr>
          <w:rFonts w:hint="eastAsia"/>
          <w:spacing w:val="-3"/>
          <w:lang w:eastAsia="ja-JP"/>
        </w:rPr>
        <w:t>:</w:t>
      </w:r>
      <w:r w:rsidR="006F7831">
        <w:rPr>
          <w:spacing w:val="-3"/>
          <w:lang w:eastAsia="nl-NL"/>
        </w:rPr>
        <w:t xml:space="preserve"> </w:t>
      </w:r>
      <w:r w:rsidR="002942ED">
        <w:rPr>
          <w:rFonts w:hint="eastAsia"/>
          <w:spacing w:val="-3"/>
          <w:lang w:eastAsia="ja-JP"/>
        </w:rPr>
        <w:t xml:space="preserve">de werknemer ontslaan op staande voet omdat zij niet </w:t>
      </w:r>
      <w:r>
        <w:rPr>
          <w:rFonts w:hint="eastAsia"/>
          <w:spacing w:val="-3"/>
          <w:lang w:eastAsia="ja-JP"/>
        </w:rPr>
        <w:t>ingaat</w:t>
      </w:r>
      <w:r w:rsidR="002942ED">
        <w:rPr>
          <w:rFonts w:hint="eastAsia"/>
          <w:spacing w:val="-3"/>
          <w:lang w:eastAsia="ja-JP"/>
        </w:rPr>
        <w:t xml:space="preserve"> op </w:t>
      </w:r>
      <w:r w:rsidR="006F7831">
        <w:rPr>
          <w:spacing w:val="-3"/>
          <w:lang w:eastAsia="nl-NL"/>
        </w:rPr>
        <w:t>liefdesverzoeken</w:t>
      </w:r>
      <w:r>
        <w:rPr>
          <w:rFonts w:hint="eastAsia"/>
          <w:spacing w:val="-3"/>
          <w:lang w:eastAsia="ja-JP"/>
        </w:rPr>
        <w:t xml:space="preserve"> van de werkgever</w:t>
      </w:r>
      <w:r>
        <w:rPr>
          <w:rStyle w:val="Voetnootmarkering"/>
          <w:spacing w:val="-3"/>
          <w:lang w:eastAsia="nl-NL"/>
        </w:rPr>
        <w:footnoteReference w:id="110"/>
      </w:r>
      <w:r>
        <w:rPr>
          <w:spacing w:val="-3"/>
          <w:lang w:eastAsia="nl-NL"/>
        </w:rPr>
        <w:t xml:space="preserve"> </w:t>
      </w:r>
      <w:r>
        <w:rPr>
          <w:rFonts w:hint="eastAsia"/>
          <w:spacing w:val="-3"/>
          <w:lang w:eastAsia="ja-JP"/>
        </w:rPr>
        <w:t xml:space="preserve">(voorstellen om samen te douchen, kaart versturen met de tekst: </w:t>
      </w:r>
      <w:r w:rsidR="00681BFF">
        <w:rPr>
          <w:spacing w:val="-3"/>
          <w:lang w:eastAsia="ja-JP"/>
        </w:rPr>
        <w:t>‘Welkom</w:t>
      </w:r>
      <w:r>
        <w:rPr>
          <w:rFonts w:hint="eastAsia"/>
          <w:spacing w:val="-3"/>
          <w:lang w:eastAsia="ja-JP"/>
        </w:rPr>
        <w:t xml:space="preserve"> mijn roosje, welkom in mijn hart.</w:t>
      </w:r>
      <w:r w:rsidR="00681BFF">
        <w:rPr>
          <w:spacing w:val="-3"/>
          <w:lang w:eastAsia="ja-JP"/>
        </w:rPr>
        <w:t>’)</w:t>
      </w:r>
      <w:r>
        <w:rPr>
          <w:rFonts w:hint="eastAsia"/>
          <w:spacing w:val="-3"/>
          <w:lang w:eastAsia="ja-JP"/>
        </w:rPr>
        <w:t xml:space="preserve"> Nog een voorbeeld van een valse grond voor ontslag is indien </w:t>
      </w:r>
      <w:r w:rsidR="006F7831">
        <w:rPr>
          <w:spacing w:val="-3"/>
          <w:lang w:eastAsia="nl-NL"/>
        </w:rPr>
        <w:t>er sprake is van demotie</w:t>
      </w:r>
      <w:r>
        <w:rPr>
          <w:rStyle w:val="Voetnootmarkering"/>
          <w:spacing w:val="-3"/>
          <w:lang w:eastAsia="nl-NL"/>
        </w:rPr>
        <w:footnoteReference w:id="111"/>
      </w:r>
      <w:r>
        <w:rPr>
          <w:spacing w:val="-3"/>
          <w:lang w:eastAsia="nl-NL"/>
        </w:rPr>
        <w:t xml:space="preserve"> </w:t>
      </w:r>
      <w:r w:rsidR="006F7831">
        <w:rPr>
          <w:spacing w:val="-3"/>
          <w:lang w:eastAsia="nl-NL"/>
        </w:rPr>
        <w:t>en de werknemer hier niet mee akkoord</w:t>
      </w:r>
      <w:r w:rsidRPr="00355B4A">
        <w:rPr>
          <w:spacing w:val="-3"/>
          <w:lang w:eastAsia="nl-NL"/>
        </w:rPr>
        <w:t xml:space="preserve"> </w:t>
      </w:r>
      <w:r>
        <w:rPr>
          <w:spacing w:val="-3"/>
          <w:lang w:eastAsia="nl-NL"/>
        </w:rPr>
        <w:t>gaat</w:t>
      </w:r>
      <w:r>
        <w:rPr>
          <w:rFonts w:hint="eastAsia"/>
          <w:spacing w:val="-3"/>
          <w:lang w:eastAsia="ja-JP"/>
        </w:rPr>
        <w:t>.</w:t>
      </w:r>
      <w:r>
        <w:rPr>
          <w:rStyle w:val="Voetnootmarkering"/>
          <w:spacing w:val="-3"/>
          <w:lang w:eastAsia="nl-NL"/>
        </w:rPr>
        <w:t xml:space="preserve"> </w:t>
      </w:r>
    </w:p>
    <w:p w:rsidR="00825227" w:rsidRDefault="00825227" w:rsidP="00825227">
      <w:pPr>
        <w:pStyle w:val="Geenafstand"/>
        <w:spacing w:line="360" w:lineRule="auto"/>
        <w:rPr>
          <w:b/>
          <w:bCs/>
          <w:i/>
          <w:color w:val="000000" w:themeColor="text1"/>
          <w:lang w:eastAsia="ja-JP"/>
        </w:rPr>
      </w:pPr>
    </w:p>
    <w:p w:rsidR="008E7FDA" w:rsidRPr="000B2C61" w:rsidRDefault="000B2C61" w:rsidP="00825227">
      <w:pPr>
        <w:pStyle w:val="Geenafstand"/>
        <w:spacing w:line="360" w:lineRule="auto"/>
        <w:rPr>
          <w:b/>
          <w:bCs/>
          <w:i/>
          <w:color w:val="000000" w:themeColor="text1"/>
        </w:rPr>
      </w:pPr>
      <w:r>
        <w:rPr>
          <w:rFonts w:hint="eastAsia"/>
          <w:b/>
          <w:bCs/>
          <w:i/>
          <w:color w:val="000000" w:themeColor="text1"/>
          <w:lang w:eastAsia="ja-JP"/>
        </w:rPr>
        <w:t xml:space="preserve">3.1.5 </w:t>
      </w:r>
      <w:r w:rsidR="008E7FDA" w:rsidRPr="000B2C61">
        <w:rPr>
          <w:b/>
          <w:bCs/>
          <w:i/>
          <w:color w:val="000000" w:themeColor="text1"/>
        </w:rPr>
        <w:t>Conclusie</w:t>
      </w:r>
    </w:p>
    <w:p w:rsidR="00825227" w:rsidRDefault="00825227" w:rsidP="00825227">
      <w:pPr>
        <w:pStyle w:val="Geenafstand"/>
        <w:spacing w:line="360" w:lineRule="auto"/>
        <w:rPr>
          <w:color w:val="000000" w:themeColor="text1"/>
          <w:lang w:eastAsia="ja-JP"/>
        </w:rPr>
      </w:pPr>
    </w:p>
    <w:p w:rsidR="00E935EF" w:rsidRDefault="00D123D8" w:rsidP="00825227">
      <w:pPr>
        <w:pStyle w:val="Geenafstand"/>
        <w:spacing w:line="360" w:lineRule="auto"/>
      </w:pPr>
      <w:r>
        <w:rPr>
          <w:rFonts w:hint="eastAsia"/>
          <w:color w:val="000000" w:themeColor="text1"/>
          <w:lang w:eastAsia="ja-JP"/>
        </w:rPr>
        <w:t>Uit het jurisprudentieonderzoek mag het volgende g</w:t>
      </w:r>
      <w:r w:rsidR="000B2C61">
        <w:rPr>
          <w:rFonts w:hint="eastAsia"/>
          <w:color w:val="000000" w:themeColor="text1"/>
          <w:lang w:eastAsia="ja-JP"/>
        </w:rPr>
        <w:t>econcludeerd</w:t>
      </w:r>
      <w:r>
        <w:rPr>
          <w:rFonts w:hint="eastAsia"/>
          <w:color w:val="000000" w:themeColor="text1"/>
          <w:lang w:eastAsia="ja-JP"/>
        </w:rPr>
        <w:t xml:space="preserve"> worden</w:t>
      </w:r>
      <w:r w:rsidR="00F104EB">
        <w:rPr>
          <w:color w:val="000000" w:themeColor="text1"/>
          <w:lang w:eastAsia="ja-JP"/>
        </w:rPr>
        <w:t xml:space="preserve"> met betrekking tot de kwalificatie van ernstig verwijtbaar handelen van de werkgever</w:t>
      </w:r>
      <w:r>
        <w:rPr>
          <w:rFonts w:hint="eastAsia"/>
          <w:color w:val="000000" w:themeColor="text1"/>
          <w:lang w:eastAsia="ja-JP"/>
        </w:rPr>
        <w:t xml:space="preserve">: </w:t>
      </w:r>
    </w:p>
    <w:p w:rsidR="00D123D8" w:rsidRDefault="00681BFF" w:rsidP="00825227">
      <w:pPr>
        <w:pStyle w:val="Geenafstand"/>
        <w:numPr>
          <w:ilvl w:val="0"/>
          <w:numId w:val="8"/>
        </w:numPr>
        <w:spacing w:line="360" w:lineRule="auto"/>
      </w:pPr>
      <w:r>
        <w:t>De</w:t>
      </w:r>
      <w:r w:rsidR="00D123D8">
        <w:t xml:space="preserve"> werkgever </w:t>
      </w:r>
      <w:r w:rsidR="00D123D8">
        <w:rPr>
          <w:rFonts w:hint="eastAsia"/>
          <w:lang w:eastAsia="ja-JP"/>
        </w:rPr>
        <w:t xml:space="preserve">dient </w:t>
      </w:r>
      <w:r w:rsidR="00F104EB">
        <w:rPr>
          <w:lang w:eastAsia="ja-JP"/>
        </w:rPr>
        <w:t xml:space="preserve">concrete </w:t>
      </w:r>
      <w:r w:rsidR="00D123D8">
        <w:t>verbeterplan</w:t>
      </w:r>
      <w:r w:rsidR="00D123D8">
        <w:rPr>
          <w:rFonts w:hint="eastAsia"/>
          <w:lang w:eastAsia="ja-JP"/>
        </w:rPr>
        <w:t>nen,</w:t>
      </w:r>
      <w:r w:rsidR="00D123D8">
        <w:t xml:space="preserve"> gespreksverslagen</w:t>
      </w:r>
      <w:r w:rsidR="00F104EB">
        <w:rPr>
          <w:rFonts w:hint="eastAsia"/>
          <w:lang w:eastAsia="ja-JP"/>
        </w:rPr>
        <w:t xml:space="preserve"> en </w:t>
      </w:r>
      <w:r w:rsidR="00D123D8">
        <w:rPr>
          <w:rFonts w:hint="eastAsia"/>
          <w:lang w:eastAsia="ja-JP"/>
        </w:rPr>
        <w:t xml:space="preserve">deugdelijke begeleidingen </w:t>
      </w:r>
      <w:r w:rsidR="00F104EB">
        <w:rPr>
          <w:lang w:eastAsia="ja-JP"/>
        </w:rPr>
        <w:t xml:space="preserve">te </w:t>
      </w:r>
      <w:r w:rsidR="00D123D8">
        <w:t>k</w:t>
      </w:r>
      <w:r w:rsidR="00D123D8">
        <w:rPr>
          <w:rFonts w:hint="eastAsia"/>
          <w:lang w:eastAsia="ja-JP"/>
        </w:rPr>
        <w:t>unnen</w:t>
      </w:r>
      <w:r w:rsidR="00D123D8">
        <w:t xml:space="preserve"> aantonen</w:t>
      </w:r>
      <w:r w:rsidR="00D123D8">
        <w:rPr>
          <w:rFonts w:hint="eastAsia"/>
          <w:lang w:eastAsia="ja-JP"/>
        </w:rPr>
        <w:t xml:space="preserve">. </w:t>
      </w:r>
    </w:p>
    <w:p w:rsidR="00D123D8" w:rsidRDefault="00681BFF" w:rsidP="00825227">
      <w:pPr>
        <w:pStyle w:val="Geenafstand"/>
        <w:numPr>
          <w:ilvl w:val="0"/>
          <w:numId w:val="8"/>
        </w:numPr>
        <w:spacing w:line="360" w:lineRule="auto"/>
      </w:pPr>
      <w:r>
        <w:rPr>
          <w:lang w:eastAsia="ja-JP"/>
        </w:rPr>
        <w:lastRenderedPageBreak/>
        <w:t>De</w:t>
      </w:r>
      <w:r w:rsidR="00D123D8">
        <w:t xml:space="preserve"> werkgever dient </w:t>
      </w:r>
      <w:r w:rsidR="00F104EB">
        <w:t xml:space="preserve">aan </w:t>
      </w:r>
      <w:r w:rsidR="00D123D8">
        <w:t>de geuite bezwaren van de werknemer tegemoet te komen en geen bewuste risico’s te nemen die leiden tot een verstoorde arbeidsverhouding.</w:t>
      </w:r>
    </w:p>
    <w:p w:rsidR="00D123D8" w:rsidRDefault="00681BFF" w:rsidP="00825227">
      <w:pPr>
        <w:pStyle w:val="Geenafstand"/>
        <w:numPr>
          <w:ilvl w:val="0"/>
          <w:numId w:val="8"/>
        </w:numPr>
        <w:spacing w:line="360" w:lineRule="auto"/>
        <w:rPr>
          <w:lang w:eastAsia="ja-JP"/>
        </w:rPr>
      </w:pPr>
      <w:r>
        <w:rPr>
          <w:lang w:eastAsia="ja-JP"/>
        </w:rPr>
        <w:t>De</w:t>
      </w:r>
      <w:r w:rsidR="00D123D8">
        <w:rPr>
          <w:rFonts w:hint="eastAsia"/>
          <w:lang w:eastAsia="ja-JP"/>
        </w:rPr>
        <w:t xml:space="preserve"> werkgever dient duidelijke (face-to-face) gesprekken (</w:t>
      </w:r>
      <w:r w:rsidR="00F104EB">
        <w:rPr>
          <w:lang w:eastAsia="ja-JP"/>
        </w:rPr>
        <w:t xml:space="preserve">op een </w:t>
      </w:r>
      <w:r w:rsidR="00D123D8">
        <w:rPr>
          <w:rFonts w:hint="eastAsia"/>
          <w:lang w:eastAsia="ja-JP"/>
        </w:rPr>
        <w:t xml:space="preserve">niet dreigende toon) te voeren met de werknemer en </w:t>
      </w:r>
      <w:r w:rsidR="00E60283">
        <w:rPr>
          <w:lang w:eastAsia="ja-JP"/>
        </w:rPr>
        <w:t>deze</w:t>
      </w:r>
      <w:r w:rsidR="00D123D8">
        <w:rPr>
          <w:rFonts w:hint="eastAsia"/>
          <w:lang w:eastAsia="ja-JP"/>
        </w:rPr>
        <w:t xml:space="preserve"> te wijzen op het vermeende gedrag. </w:t>
      </w:r>
    </w:p>
    <w:p w:rsidR="00D123D8" w:rsidRDefault="00681BFF" w:rsidP="00825227">
      <w:pPr>
        <w:pStyle w:val="Geenafstand"/>
        <w:numPr>
          <w:ilvl w:val="0"/>
          <w:numId w:val="8"/>
        </w:numPr>
        <w:spacing w:line="360" w:lineRule="auto"/>
        <w:rPr>
          <w:lang w:eastAsia="ja-JP"/>
        </w:rPr>
      </w:pPr>
      <w:r>
        <w:rPr>
          <w:lang w:eastAsia="ja-JP"/>
        </w:rPr>
        <w:t>De</w:t>
      </w:r>
      <w:r w:rsidR="00D123D8">
        <w:rPr>
          <w:rFonts w:hint="eastAsia"/>
          <w:lang w:eastAsia="ja-JP"/>
        </w:rPr>
        <w:t xml:space="preserve"> werkgever dient een </w:t>
      </w:r>
      <w:r w:rsidR="00D123D8">
        <w:t>reëel verbetertraject</w:t>
      </w:r>
      <w:r w:rsidR="00D123D8">
        <w:rPr>
          <w:rFonts w:hint="eastAsia"/>
          <w:lang w:eastAsia="ja-JP"/>
        </w:rPr>
        <w:t xml:space="preserve"> aan te bieden. </w:t>
      </w:r>
    </w:p>
    <w:p w:rsidR="00D123D8" w:rsidRDefault="00681BFF" w:rsidP="00825227">
      <w:pPr>
        <w:pStyle w:val="Geenafstand"/>
        <w:numPr>
          <w:ilvl w:val="0"/>
          <w:numId w:val="8"/>
        </w:numPr>
        <w:spacing w:line="360" w:lineRule="auto"/>
        <w:rPr>
          <w:lang w:eastAsia="ja-JP"/>
        </w:rPr>
      </w:pPr>
      <w:r>
        <w:rPr>
          <w:lang w:eastAsia="ja-JP"/>
        </w:rPr>
        <w:t>De</w:t>
      </w:r>
      <w:r w:rsidR="00D123D8">
        <w:rPr>
          <w:rFonts w:hint="eastAsia"/>
          <w:lang w:eastAsia="ja-JP"/>
        </w:rPr>
        <w:t xml:space="preserve"> werkgever dient </w:t>
      </w:r>
      <w:r w:rsidR="00711903">
        <w:rPr>
          <w:rFonts w:hint="eastAsia"/>
          <w:lang w:eastAsia="ja-JP"/>
        </w:rPr>
        <w:t>een</w:t>
      </w:r>
      <w:r w:rsidR="00D123D8">
        <w:rPr>
          <w:rFonts w:hint="eastAsia"/>
          <w:lang w:eastAsia="ja-JP"/>
        </w:rPr>
        <w:t xml:space="preserve"> </w:t>
      </w:r>
      <w:r w:rsidR="007330AE">
        <w:rPr>
          <w:lang w:eastAsia="ja-JP"/>
        </w:rPr>
        <w:t>geldige</w:t>
      </w:r>
      <w:r w:rsidR="00D123D8">
        <w:rPr>
          <w:rFonts w:hint="eastAsia"/>
          <w:lang w:eastAsia="ja-JP"/>
        </w:rPr>
        <w:t xml:space="preserve"> reden </w:t>
      </w:r>
      <w:r w:rsidR="00711903">
        <w:rPr>
          <w:rFonts w:hint="eastAsia"/>
          <w:lang w:eastAsia="ja-JP"/>
        </w:rPr>
        <w:t xml:space="preserve">te hebben om over te gaan op non-actiefstelling. </w:t>
      </w:r>
    </w:p>
    <w:p w:rsidR="00D123D8" w:rsidRDefault="00711903" w:rsidP="00825227">
      <w:pPr>
        <w:pStyle w:val="Geenafstand"/>
        <w:numPr>
          <w:ilvl w:val="0"/>
          <w:numId w:val="8"/>
        </w:numPr>
        <w:spacing w:line="360" w:lineRule="auto"/>
        <w:rPr>
          <w:lang w:eastAsia="ja-JP"/>
        </w:rPr>
      </w:pPr>
      <w:r>
        <w:rPr>
          <w:lang w:eastAsia="ja-JP"/>
        </w:rPr>
        <w:t>D</w:t>
      </w:r>
      <w:r>
        <w:rPr>
          <w:rFonts w:hint="eastAsia"/>
          <w:lang w:eastAsia="ja-JP"/>
        </w:rPr>
        <w:t xml:space="preserve">e werkgever dient zich te houden aan de voorstellen van de </w:t>
      </w:r>
      <w:r w:rsidR="00B4318A">
        <w:rPr>
          <w:lang w:eastAsia="ja-JP"/>
        </w:rPr>
        <w:t>a</w:t>
      </w:r>
      <w:r>
        <w:rPr>
          <w:lang w:eastAsia="ja-JP"/>
        </w:rPr>
        <w:t>rbo</w:t>
      </w:r>
      <w:r w:rsidR="00B4318A">
        <w:rPr>
          <w:lang w:eastAsia="ja-JP"/>
        </w:rPr>
        <w:t>-</w:t>
      </w:r>
      <w:r>
        <w:rPr>
          <w:lang w:eastAsia="ja-JP"/>
        </w:rPr>
        <w:t>arts</w:t>
      </w:r>
      <w:r>
        <w:rPr>
          <w:rFonts w:hint="eastAsia"/>
          <w:lang w:eastAsia="ja-JP"/>
        </w:rPr>
        <w:t>.</w:t>
      </w:r>
    </w:p>
    <w:p w:rsidR="00711903" w:rsidRDefault="00711903" w:rsidP="00825227">
      <w:pPr>
        <w:pStyle w:val="Geenafstand"/>
        <w:numPr>
          <w:ilvl w:val="0"/>
          <w:numId w:val="8"/>
        </w:numPr>
        <w:spacing w:line="360" w:lineRule="auto"/>
        <w:rPr>
          <w:lang w:eastAsia="ja-JP"/>
        </w:rPr>
      </w:pPr>
      <w:r>
        <w:rPr>
          <w:lang w:eastAsia="ja-JP"/>
        </w:rPr>
        <w:t>D</w:t>
      </w:r>
      <w:r>
        <w:rPr>
          <w:rFonts w:hint="eastAsia"/>
          <w:lang w:eastAsia="ja-JP"/>
        </w:rPr>
        <w:t>e werkgever dient zich niet nalatig te gedragen bij verstoorde arbeidsrelatie</w:t>
      </w:r>
      <w:r w:rsidR="00E60283">
        <w:rPr>
          <w:lang w:eastAsia="ja-JP"/>
        </w:rPr>
        <w:t>.</w:t>
      </w:r>
    </w:p>
    <w:p w:rsidR="00711903" w:rsidRDefault="00681BFF" w:rsidP="00825227">
      <w:pPr>
        <w:pStyle w:val="Geenafstand"/>
        <w:numPr>
          <w:ilvl w:val="0"/>
          <w:numId w:val="8"/>
        </w:numPr>
        <w:spacing w:line="360" w:lineRule="auto"/>
        <w:rPr>
          <w:lang w:eastAsia="ja-JP"/>
        </w:rPr>
      </w:pPr>
      <w:r>
        <w:t>De</w:t>
      </w:r>
      <w:r w:rsidR="00711903">
        <w:t xml:space="preserve"> werkgever</w:t>
      </w:r>
      <w:r w:rsidR="00711903">
        <w:rPr>
          <w:rFonts w:hint="eastAsia"/>
          <w:lang w:eastAsia="ja-JP"/>
        </w:rPr>
        <w:t xml:space="preserve"> dient </w:t>
      </w:r>
      <w:r w:rsidR="00711903">
        <w:t>bereidheid te tonen om tot een oplossing te komen.</w:t>
      </w:r>
    </w:p>
    <w:p w:rsidR="00711903" w:rsidRDefault="00711903" w:rsidP="00825227">
      <w:pPr>
        <w:pStyle w:val="Geenafstand"/>
        <w:numPr>
          <w:ilvl w:val="0"/>
          <w:numId w:val="8"/>
        </w:numPr>
        <w:spacing w:line="360" w:lineRule="auto"/>
        <w:rPr>
          <w:lang w:eastAsia="ja-JP"/>
        </w:rPr>
      </w:pPr>
      <w:r>
        <w:rPr>
          <w:rFonts w:hint="eastAsia"/>
          <w:lang w:eastAsia="ja-JP"/>
        </w:rPr>
        <w:t xml:space="preserve">De werkgever dient </w:t>
      </w:r>
      <w:r>
        <w:t>een geloofwaardige kans op verbetering</w:t>
      </w:r>
      <w:r>
        <w:rPr>
          <w:rFonts w:hint="eastAsia"/>
          <w:lang w:eastAsia="ja-JP"/>
        </w:rPr>
        <w:t xml:space="preserve"> te bieden</w:t>
      </w:r>
      <w:r w:rsidR="00E60283">
        <w:rPr>
          <w:lang w:eastAsia="ja-JP"/>
        </w:rPr>
        <w:t>.</w:t>
      </w:r>
    </w:p>
    <w:p w:rsidR="00B4318A" w:rsidRDefault="00711903" w:rsidP="00825227">
      <w:pPr>
        <w:pStyle w:val="Geenafstand"/>
        <w:numPr>
          <w:ilvl w:val="0"/>
          <w:numId w:val="8"/>
        </w:numPr>
        <w:spacing w:line="360" w:lineRule="auto"/>
        <w:rPr>
          <w:lang w:eastAsia="ja-JP"/>
        </w:rPr>
      </w:pPr>
      <w:r>
        <w:rPr>
          <w:lang w:eastAsia="ja-JP"/>
        </w:rPr>
        <w:t>D</w:t>
      </w:r>
      <w:r>
        <w:rPr>
          <w:rFonts w:hint="eastAsia"/>
          <w:lang w:eastAsia="ja-JP"/>
        </w:rPr>
        <w:t xml:space="preserve">e werkgever dient een </w:t>
      </w:r>
      <w:r w:rsidR="007330AE">
        <w:rPr>
          <w:lang w:eastAsia="ja-JP"/>
        </w:rPr>
        <w:t xml:space="preserve">geldige </w:t>
      </w:r>
      <w:r>
        <w:rPr>
          <w:rFonts w:hint="eastAsia"/>
          <w:lang w:eastAsia="ja-JP"/>
        </w:rPr>
        <w:t xml:space="preserve">reden met bewijsstukken te hebben voor </w:t>
      </w:r>
      <w:r>
        <w:rPr>
          <w:lang w:eastAsia="ja-JP"/>
        </w:rPr>
        <w:t>ontslag</w:t>
      </w:r>
      <w:r>
        <w:rPr>
          <w:rFonts w:hint="eastAsia"/>
          <w:lang w:eastAsia="ja-JP"/>
        </w:rPr>
        <w:t xml:space="preserve"> (op staande voet)</w:t>
      </w:r>
      <w:bookmarkStart w:id="13" w:name="_Toc472509270"/>
      <w:r w:rsidR="00B4318A">
        <w:rPr>
          <w:lang w:eastAsia="ja-JP"/>
        </w:rPr>
        <w:t>.</w:t>
      </w:r>
    </w:p>
    <w:p w:rsidR="00B4318A" w:rsidRDefault="00B4318A" w:rsidP="00B4318A">
      <w:pPr>
        <w:pStyle w:val="Geenafstand"/>
        <w:spacing w:line="360" w:lineRule="auto"/>
        <w:rPr>
          <w:lang w:eastAsia="ja-JP"/>
        </w:rPr>
      </w:pPr>
    </w:p>
    <w:p w:rsidR="00B4318A" w:rsidRDefault="00B4318A" w:rsidP="00B4318A">
      <w:pPr>
        <w:pStyle w:val="Geenafstand"/>
        <w:spacing w:line="360" w:lineRule="auto"/>
        <w:rPr>
          <w:lang w:eastAsia="ja-JP"/>
        </w:rPr>
      </w:pPr>
    </w:p>
    <w:p w:rsidR="00B4318A" w:rsidRDefault="00B4318A" w:rsidP="00B4318A">
      <w:pPr>
        <w:pStyle w:val="Geenafstand"/>
        <w:spacing w:line="360" w:lineRule="auto"/>
        <w:rPr>
          <w:lang w:eastAsia="ja-JP"/>
        </w:rPr>
      </w:pPr>
    </w:p>
    <w:p w:rsidR="00B4318A" w:rsidRDefault="00B4318A" w:rsidP="00B4318A">
      <w:pPr>
        <w:pStyle w:val="Geenafstand"/>
        <w:spacing w:line="360" w:lineRule="auto"/>
        <w:rPr>
          <w:lang w:eastAsia="ja-JP"/>
        </w:rPr>
      </w:pPr>
    </w:p>
    <w:p w:rsidR="00B4318A" w:rsidRDefault="00B4318A" w:rsidP="00B4318A">
      <w:pPr>
        <w:pStyle w:val="Geenafstand"/>
        <w:spacing w:line="360" w:lineRule="auto"/>
        <w:rPr>
          <w:lang w:eastAsia="ja-JP"/>
        </w:rPr>
      </w:pPr>
    </w:p>
    <w:p w:rsidR="00B4318A" w:rsidRDefault="00B4318A" w:rsidP="00B4318A">
      <w:pPr>
        <w:pStyle w:val="Geenafstand"/>
        <w:spacing w:line="360" w:lineRule="auto"/>
        <w:rPr>
          <w:lang w:eastAsia="ja-JP"/>
        </w:rPr>
      </w:pPr>
    </w:p>
    <w:p w:rsidR="00B4318A" w:rsidRPr="00B4318A" w:rsidRDefault="00B4318A" w:rsidP="00B4318A">
      <w:pPr>
        <w:pStyle w:val="Geenafstand"/>
        <w:spacing w:line="360" w:lineRule="auto"/>
        <w:rPr>
          <w:lang w:eastAsia="ja-JP"/>
        </w:rPr>
      </w:pPr>
    </w:p>
    <w:p w:rsidR="00956602" w:rsidRPr="004E4AFA" w:rsidRDefault="001A05E3" w:rsidP="00825227">
      <w:pPr>
        <w:pStyle w:val="Kop2"/>
        <w:spacing w:before="0" w:line="360" w:lineRule="auto"/>
        <w:rPr>
          <w:color w:val="auto"/>
          <w:sz w:val="24"/>
          <w:szCs w:val="24"/>
          <w:lang w:eastAsia="nl-NL"/>
        </w:rPr>
      </w:pPr>
      <w:r w:rsidRPr="004E4AFA">
        <w:rPr>
          <w:color w:val="auto"/>
          <w:sz w:val="24"/>
          <w:szCs w:val="24"/>
          <w:lang w:eastAsia="nl-NL"/>
        </w:rPr>
        <w:t xml:space="preserve">3.2 </w:t>
      </w:r>
      <w:r w:rsidR="00956602" w:rsidRPr="004E4AFA">
        <w:rPr>
          <w:color w:val="auto"/>
          <w:sz w:val="24"/>
          <w:szCs w:val="24"/>
          <w:lang w:eastAsia="nl-NL"/>
        </w:rPr>
        <w:t>G</w:t>
      </w:r>
      <w:r w:rsidRPr="004E4AFA">
        <w:rPr>
          <w:color w:val="auto"/>
          <w:sz w:val="24"/>
          <w:szCs w:val="24"/>
          <w:lang w:eastAsia="nl-NL"/>
        </w:rPr>
        <w:t>een sprake van ernstig verwijtbaar handelen van de werkgever</w:t>
      </w:r>
      <w:bookmarkEnd w:id="13"/>
      <w:r w:rsidRPr="004E4AFA">
        <w:rPr>
          <w:color w:val="auto"/>
          <w:sz w:val="24"/>
          <w:szCs w:val="24"/>
          <w:lang w:eastAsia="nl-NL"/>
        </w:rPr>
        <w:t xml:space="preserve"> </w:t>
      </w:r>
    </w:p>
    <w:p w:rsidR="001A05E3" w:rsidRDefault="00956602"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spacing w:val="-3"/>
          <w:lang w:eastAsia="nl-NL"/>
        </w:rPr>
        <w:t>Uit het jurisprudentie</w:t>
      </w:r>
      <w:r w:rsidR="001A05E3">
        <w:rPr>
          <w:spacing w:val="-3"/>
          <w:lang w:eastAsia="nl-NL"/>
        </w:rPr>
        <w:t xml:space="preserve">onderzoek is af te leiden onder welke omstandigheden er </w:t>
      </w:r>
      <w:r w:rsidR="001A05E3">
        <w:rPr>
          <w:i/>
          <w:spacing w:val="-3"/>
          <w:lang w:eastAsia="nl-NL"/>
        </w:rPr>
        <w:t>niet</w:t>
      </w:r>
      <w:r w:rsidR="001A05E3">
        <w:rPr>
          <w:spacing w:val="-3"/>
          <w:lang w:eastAsia="nl-NL"/>
        </w:rPr>
        <w:t xml:space="preserve"> wordt gesproken van ernstig verwijtbaar handelen van de werkgever. Hieronder worden deze omstandigheden met daarbij de relevante uitspraken</w:t>
      </w:r>
      <w:r w:rsidR="00207EB1">
        <w:rPr>
          <w:spacing w:val="-3"/>
          <w:lang w:eastAsia="nl-NL"/>
        </w:rPr>
        <w:t xml:space="preserve"> over het voetlicht gebracht</w:t>
      </w:r>
      <w:r w:rsidR="00A3584B">
        <w:rPr>
          <w:spacing w:val="-3"/>
          <w:lang w:eastAsia="nl-NL"/>
        </w:rPr>
        <w:t>.</w:t>
      </w:r>
    </w:p>
    <w:p w:rsidR="00F5597E" w:rsidRDefault="00F5597E" w:rsidP="0082522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i/>
          <w:iCs/>
          <w:spacing w:val="-3"/>
          <w:lang w:eastAsia="ja-JP"/>
        </w:rPr>
      </w:pPr>
    </w:p>
    <w:p w:rsidR="001A05E3"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nl-NL"/>
        </w:rPr>
      </w:pPr>
      <w:r>
        <w:rPr>
          <w:b/>
          <w:bCs/>
          <w:i/>
          <w:iCs/>
          <w:spacing w:val="-3"/>
          <w:lang w:eastAsia="ja-JP"/>
        </w:rPr>
        <w:t xml:space="preserve">3.2.1 </w:t>
      </w:r>
      <w:r w:rsidR="00956602">
        <w:rPr>
          <w:b/>
          <w:bCs/>
          <w:i/>
          <w:iCs/>
          <w:spacing w:val="-3"/>
          <w:lang w:eastAsia="nl-NL"/>
        </w:rPr>
        <w:t>G</w:t>
      </w:r>
      <w:r>
        <w:rPr>
          <w:b/>
          <w:bCs/>
          <w:i/>
          <w:iCs/>
          <w:spacing w:val="-3"/>
          <w:lang w:eastAsia="nl-NL"/>
        </w:rPr>
        <w:t xml:space="preserve">edrag/omstandigheden werkgever </w:t>
      </w:r>
    </w:p>
    <w:p w:rsidR="0082756D" w:rsidRDefault="0082756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p>
    <w:p w:rsidR="001A05E3"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r>
        <w:rPr>
          <w:bCs/>
          <w:iCs/>
          <w:spacing w:val="-3"/>
          <w:lang w:eastAsia="ja-JP"/>
        </w:rPr>
        <w:t>Uit de jurisprudentie blijkt dat het gedrag en de omstandigheden van de werkgever een grote rol spelen bij het bepalen of de billijke vergoeding moet worden toegekend of afgewezen.</w:t>
      </w:r>
      <w:r>
        <w:rPr>
          <w:rStyle w:val="Voetnootmarkering"/>
          <w:b/>
          <w:bCs/>
          <w:i/>
          <w:iCs/>
          <w:spacing w:val="-3"/>
          <w:lang w:eastAsia="nl-NL"/>
        </w:rPr>
        <w:footnoteReference w:id="112"/>
      </w:r>
      <w:r>
        <w:rPr>
          <w:bCs/>
          <w:iCs/>
          <w:spacing w:val="-3"/>
          <w:lang w:eastAsia="ja-JP"/>
        </w:rPr>
        <w:t xml:space="preserve"> De kantonrechter toetst of de werkgever genoeg middelen heeft ingezet om de arbeidsrelatie te verbeteren. Wat deze middelen inhouden, wordt aan de hand van voorbeelden uit de uitspraken toegelicht. </w:t>
      </w:r>
      <w:r w:rsidR="003E0C33">
        <w:rPr>
          <w:bCs/>
          <w:iCs/>
          <w:spacing w:val="-3"/>
          <w:lang w:eastAsia="ja-JP"/>
        </w:rPr>
        <w:t>Indien de werkgever diverse gesprekken heeft gevoerd met inzet van HRM en advocaten, coaching heeft aangeboden en daarnaast nog twee mediationtrajecten heeft gestart,</w:t>
      </w:r>
      <w:r w:rsidR="003E0C33">
        <w:rPr>
          <w:rStyle w:val="Voetnootmarkering"/>
          <w:bCs/>
          <w:iCs/>
          <w:spacing w:val="-3"/>
          <w:lang w:eastAsia="ja-JP"/>
        </w:rPr>
        <w:footnoteReference w:id="113"/>
      </w:r>
      <w:r w:rsidR="003E0C33">
        <w:rPr>
          <w:bCs/>
          <w:iCs/>
          <w:spacing w:val="-3"/>
          <w:lang w:eastAsia="ja-JP"/>
        </w:rPr>
        <w:t xml:space="preserve"> dan wordt er geconcludeerd dat de werkgever genoeg middelen heeft ingezet om de arbeidsrelatie te verbeteren en is er dus geen sprake van ernstig verwijtbaar handelen van de werkgever.</w:t>
      </w:r>
    </w:p>
    <w:p w:rsidR="001A05E3"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r>
        <w:rPr>
          <w:bCs/>
          <w:iCs/>
          <w:spacing w:val="-3"/>
          <w:lang w:eastAsia="ja-JP"/>
        </w:rPr>
        <w:lastRenderedPageBreak/>
        <w:t xml:space="preserve">Indien een bedrijf maar één opdrachtgever heeft en deze opdrachtgever </w:t>
      </w:r>
      <w:r w:rsidR="00207EB1">
        <w:rPr>
          <w:bCs/>
          <w:iCs/>
          <w:spacing w:val="-3"/>
          <w:lang w:eastAsia="ja-JP"/>
        </w:rPr>
        <w:t>geeft aan</w:t>
      </w:r>
      <w:r>
        <w:rPr>
          <w:bCs/>
          <w:iCs/>
          <w:spacing w:val="-3"/>
          <w:lang w:eastAsia="ja-JP"/>
        </w:rPr>
        <w:t xml:space="preserve"> geen samenwerking meer te willen met de werknemer, dan kan het de werkgever niet worden verweten dat er geen invulling meer kan worden gegeven aan de arbeidsovereenkomst. Het is in een dergelijk omstandigheid niet redelijk om de arbeidsovereenkomst te laten voortduren.</w:t>
      </w:r>
      <w:r>
        <w:rPr>
          <w:rStyle w:val="Voetnootmarkering"/>
          <w:bCs/>
          <w:iCs/>
          <w:spacing w:val="-3"/>
          <w:lang w:eastAsia="ja-JP"/>
        </w:rPr>
        <w:footnoteReference w:id="114"/>
      </w:r>
      <w:r>
        <w:rPr>
          <w:bCs/>
          <w:iCs/>
          <w:spacing w:val="-3"/>
          <w:lang w:eastAsia="ja-JP"/>
        </w:rPr>
        <w:t xml:space="preserve"> Indien de werkgever stukken </w:t>
      </w:r>
      <w:r w:rsidR="00956602">
        <w:rPr>
          <w:bCs/>
          <w:iCs/>
          <w:spacing w:val="-3"/>
          <w:lang w:eastAsia="ja-JP"/>
        </w:rPr>
        <w:t xml:space="preserve">kan aantonen </w:t>
      </w:r>
      <w:r>
        <w:rPr>
          <w:bCs/>
          <w:iCs/>
          <w:spacing w:val="-3"/>
          <w:lang w:eastAsia="ja-JP"/>
        </w:rPr>
        <w:t xml:space="preserve">waaruit blijkt dat er sprake is van een afnemende omzet van het bedrijf </w:t>
      </w:r>
      <w:r w:rsidR="00956602">
        <w:rPr>
          <w:bCs/>
          <w:iCs/>
          <w:spacing w:val="-3"/>
          <w:lang w:eastAsia="ja-JP"/>
        </w:rPr>
        <w:t>en</w:t>
      </w:r>
      <w:r>
        <w:rPr>
          <w:bCs/>
          <w:iCs/>
          <w:spacing w:val="-3"/>
          <w:lang w:eastAsia="ja-JP"/>
        </w:rPr>
        <w:t xml:space="preserve"> een slechter wordende financiële situatie, </w:t>
      </w:r>
      <w:r w:rsidR="00D52E6B">
        <w:rPr>
          <w:bCs/>
          <w:iCs/>
          <w:spacing w:val="-3"/>
          <w:lang w:eastAsia="ja-JP"/>
        </w:rPr>
        <w:t xml:space="preserve">dan </w:t>
      </w:r>
      <w:r>
        <w:rPr>
          <w:bCs/>
          <w:iCs/>
          <w:spacing w:val="-3"/>
          <w:lang w:eastAsia="ja-JP"/>
        </w:rPr>
        <w:t>wordt er niet van</w:t>
      </w:r>
      <w:r w:rsidR="00020CF3">
        <w:rPr>
          <w:bCs/>
          <w:iCs/>
          <w:spacing w:val="-3"/>
          <w:lang w:eastAsia="ja-JP"/>
        </w:rPr>
        <w:t xml:space="preserve"> uit</w:t>
      </w:r>
      <w:r>
        <w:rPr>
          <w:bCs/>
          <w:iCs/>
          <w:spacing w:val="-3"/>
          <w:lang w:eastAsia="ja-JP"/>
        </w:rPr>
        <w:t xml:space="preserve">gegaan dat de werkgever bewust een té negatief beeld </w:t>
      </w:r>
      <w:r w:rsidR="00207EB1">
        <w:rPr>
          <w:bCs/>
          <w:iCs/>
          <w:spacing w:val="-3"/>
          <w:lang w:eastAsia="ja-JP"/>
        </w:rPr>
        <w:t xml:space="preserve">van de financiële situatie </w:t>
      </w:r>
      <w:r>
        <w:rPr>
          <w:bCs/>
          <w:iCs/>
          <w:spacing w:val="-3"/>
          <w:lang w:eastAsia="ja-JP"/>
        </w:rPr>
        <w:t>sch</w:t>
      </w:r>
      <w:r w:rsidR="00956602">
        <w:rPr>
          <w:bCs/>
          <w:iCs/>
          <w:spacing w:val="-3"/>
          <w:lang w:eastAsia="ja-JP"/>
        </w:rPr>
        <w:t xml:space="preserve">etst met als doel </w:t>
      </w:r>
      <w:r>
        <w:rPr>
          <w:bCs/>
          <w:iCs/>
          <w:spacing w:val="-3"/>
          <w:lang w:eastAsia="ja-JP"/>
        </w:rPr>
        <w:t>de werknemer</w:t>
      </w:r>
      <w:r w:rsidR="00956602">
        <w:rPr>
          <w:bCs/>
          <w:iCs/>
          <w:spacing w:val="-3"/>
          <w:lang w:eastAsia="ja-JP"/>
        </w:rPr>
        <w:t xml:space="preserve"> te ontslaan</w:t>
      </w:r>
      <w:r>
        <w:rPr>
          <w:bCs/>
          <w:iCs/>
          <w:spacing w:val="-3"/>
          <w:lang w:eastAsia="ja-JP"/>
        </w:rPr>
        <w:t xml:space="preserve"> zonder het uitke</w:t>
      </w:r>
      <w:r w:rsidR="00956602">
        <w:rPr>
          <w:bCs/>
          <w:iCs/>
          <w:spacing w:val="-3"/>
          <w:lang w:eastAsia="ja-JP"/>
        </w:rPr>
        <w:t>ren van een transitievergoeding</w:t>
      </w:r>
      <w:r>
        <w:rPr>
          <w:bCs/>
          <w:iCs/>
          <w:spacing w:val="-3"/>
          <w:lang w:eastAsia="ja-JP"/>
        </w:rPr>
        <w:t>.</w:t>
      </w:r>
      <w:r>
        <w:rPr>
          <w:rStyle w:val="Voetnootmarkering"/>
          <w:bCs/>
          <w:iCs/>
          <w:spacing w:val="-3"/>
          <w:lang w:eastAsia="ja-JP"/>
        </w:rPr>
        <w:footnoteReference w:id="115"/>
      </w:r>
      <w:r w:rsidR="00FD61A1">
        <w:rPr>
          <w:bCs/>
          <w:iCs/>
          <w:spacing w:val="-3"/>
          <w:lang w:eastAsia="ja-JP"/>
        </w:rPr>
        <w:t xml:space="preserve"> </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nl-NL"/>
        </w:rPr>
      </w:pPr>
    </w:p>
    <w:p w:rsid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nl-NL"/>
        </w:rPr>
      </w:pPr>
    </w:p>
    <w:p w:rsid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nl-NL"/>
        </w:rPr>
      </w:pPr>
    </w:p>
    <w:p w:rsid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nl-NL"/>
        </w:rPr>
      </w:pPr>
    </w:p>
    <w:p w:rsidR="001A05E3"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nl-NL"/>
        </w:rPr>
      </w:pPr>
      <w:r>
        <w:rPr>
          <w:bCs/>
          <w:iCs/>
          <w:spacing w:val="-3"/>
          <w:lang w:eastAsia="nl-NL"/>
        </w:rPr>
        <w:t xml:space="preserve">Het staken van loonbetaling is ernstig verwijtbaar. Loonbetaling is een van de hoofdverplichtingen van de werkgever. Ondanks deze ernstig verwijtbare handeling, kan de billijke vergoeding worden afgewezen en worden </w:t>
      </w:r>
      <w:r w:rsidR="00681BFF">
        <w:rPr>
          <w:bCs/>
          <w:iCs/>
          <w:spacing w:val="-3"/>
          <w:lang w:eastAsia="nl-NL"/>
        </w:rPr>
        <w:t>verdisconteerd</w:t>
      </w:r>
      <w:r w:rsidR="00D52E6B">
        <w:rPr>
          <w:bCs/>
          <w:iCs/>
          <w:spacing w:val="-3"/>
          <w:lang w:eastAsia="nl-NL"/>
        </w:rPr>
        <w:t xml:space="preserve"> in de transitievergoeding.</w:t>
      </w:r>
      <w:r>
        <w:rPr>
          <w:bCs/>
          <w:iCs/>
          <w:spacing w:val="-3"/>
          <w:lang w:eastAsia="nl-NL"/>
        </w:rPr>
        <w:t xml:space="preserve"> </w:t>
      </w:r>
      <w:r w:rsidR="00D52E6B">
        <w:rPr>
          <w:bCs/>
          <w:iCs/>
          <w:spacing w:val="-3"/>
          <w:lang w:eastAsia="nl-NL"/>
        </w:rPr>
        <w:t xml:space="preserve">Indien er sprake is van een slechte financiële situatie waarbij </w:t>
      </w:r>
      <w:r>
        <w:rPr>
          <w:bCs/>
          <w:iCs/>
          <w:spacing w:val="-3"/>
          <w:lang w:eastAsia="nl-NL"/>
        </w:rPr>
        <w:t>de ondernemer nauwelijks</w:t>
      </w:r>
      <w:r w:rsidR="00D52E6B">
        <w:rPr>
          <w:bCs/>
          <w:iCs/>
          <w:spacing w:val="-3"/>
          <w:lang w:eastAsia="nl-NL"/>
        </w:rPr>
        <w:t xml:space="preserve"> in</w:t>
      </w:r>
      <w:r w:rsidR="00D97CEA">
        <w:rPr>
          <w:bCs/>
          <w:iCs/>
          <w:spacing w:val="-3"/>
          <w:lang w:eastAsia="nl-NL"/>
        </w:rPr>
        <w:t xml:space="preserve"> staat is iets te betalen, dan wordt de billijke vergoeding afgewezen</w:t>
      </w:r>
      <w:r>
        <w:rPr>
          <w:bCs/>
          <w:iCs/>
          <w:spacing w:val="-3"/>
          <w:lang w:eastAsia="nl-NL"/>
        </w:rPr>
        <w:t>.</w:t>
      </w:r>
      <w:r>
        <w:rPr>
          <w:rStyle w:val="Voetnootmarkering"/>
          <w:bCs/>
          <w:iCs/>
          <w:spacing w:val="-3"/>
          <w:lang w:eastAsia="nl-NL"/>
        </w:rPr>
        <w:footnoteReference w:id="116"/>
      </w:r>
      <w:r>
        <w:rPr>
          <w:bCs/>
          <w:iCs/>
          <w:spacing w:val="-3"/>
          <w:lang w:eastAsia="nl-NL"/>
        </w:rPr>
        <w:t xml:space="preserve"> </w:t>
      </w:r>
    </w:p>
    <w:p w:rsidR="0082756D" w:rsidRDefault="0082756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i/>
          <w:iCs/>
          <w:spacing w:val="-3"/>
          <w:lang w:eastAsia="ja-JP"/>
        </w:rPr>
      </w:pPr>
    </w:p>
    <w:p w:rsidR="001A05E3"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i/>
          <w:iCs/>
          <w:spacing w:val="-3"/>
          <w:lang w:eastAsia="ja-JP"/>
        </w:rPr>
      </w:pPr>
      <w:r>
        <w:rPr>
          <w:b/>
          <w:bCs/>
          <w:i/>
          <w:iCs/>
          <w:spacing w:val="-3"/>
          <w:lang w:eastAsia="ja-JP"/>
        </w:rPr>
        <w:t>3.2.2 Wel verwijtbaar maar niet ernstig verwijtbaar</w:t>
      </w:r>
    </w:p>
    <w:p w:rsidR="0082756D" w:rsidRDefault="0082756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p>
    <w:p w:rsidR="001A05E3" w:rsidRPr="00644FB4" w:rsidRDefault="00D97CE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sidRPr="00644FB4">
        <w:rPr>
          <w:bCs/>
          <w:iCs/>
          <w:spacing w:val="-3"/>
          <w:lang w:eastAsia="ja-JP"/>
        </w:rPr>
        <w:t xml:space="preserve">Indien de werkgever verwijtbaar handelt maar niet ernstig verwijtbaar, dan wordt de billijke vergoeding afgewezen. </w:t>
      </w:r>
      <w:r w:rsidR="00644FB4" w:rsidRPr="00644FB4">
        <w:rPr>
          <w:bCs/>
          <w:iCs/>
          <w:spacing w:val="-3"/>
          <w:lang w:eastAsia="ja-JP"/>
        </w:rPr>
        <w:t>Dat de werkgever op enkele momenten heeft gehandeld in strijd met goed werkgeverschap, betekent nog niet dat er sprake is van ernstig verwijtbaar handelen</w:t>
      </w:r>
      <w:r w:rsidR="00644FB4">
        <w:rPr>
          <w:spacing w:val="-3"/>
          <w:lang w:eastAsia="ja-JP"/>
        </w:rPr>
        <w:t xml:space="preserve">. </w:t>
      </w:r>
      <w:r>
        <w:rPr>
          <w:bCs/>
          <w:iCs/>
          <w:spacing w:val="-3"/>
          <w:lang w:eastAsia="ja-JP"/>
        </w:rPr>
        <w:t xml:space="preserve">Als </w:t>
      </w:r>
      <w:r w:rsidR="001A05E3">
        <w:rPr>
          <w:bCs/>
          <w:iCs/>
          <w:spacing w:val="-3"/>
          <w:lang w:eastAsia="ja-JP"/>
        </w:rPr>
        <w:t xml:space="preserve">de werknemer zich gepasseerd voelt door het handelen van de werkgever, door bijvoorbeeld het niet uitnodigen van de werknemer voor een bijeenkomst, wordt </w:t>
      </w:r>
      <w:r w:rsidR="00207EB1">
        <w:rPr>
          <w:bCs/>
          <w:iCs/>
          <w:spacing w:val="-3"/>
          <w:lang w:eastAsia="ja-JP"/>
        </w:rPr>
        <w:t xml:space="preserve">dit </w:t>
      </w:r>
      <w:r w:rsidR="001A05E3">
        <w:rPr>
          <w:bCs/>
          <w:iCs/>
          <w:spacing w:val="-3"/>
          <w:lang w:eastAsia="ja-JP"/>
        </w:rPr>
        <w:t xml:space="preserve">niet gekwalificeerd als ernstig verwijtbaar handelen. Ondanks dat het verwijt van de werknemer wel terecht is, bepaalt de kantonrechter dat er geen sprake is van ernstig verwijtbaar handelen van de werkgever aangezien er niet is gebleken dat de werkgever hem bewust heeft genegeerd. De werkgever heeft meerdere malen zijn excuses aangeboden en de werknemer heeft </w:t>
      </w:r>
      <w:r>
        <w:rPr>
          <w:bCs/>
          <w:iCs/>
          <w:spacing w:val="-3"/>
          <w:lang w:eastAsia="ja-JP"/>
        </w:rPr>
        <w:t xml:space="preserve">zelfs </w:t>
      </w:r>
      <w:r w:rsidR="001A05E3">
        <w:rPr>
          <w:bCs/>
          <w:iCs/>
          <w:spacing w:val="-3"/>
          <w:lang w:eastAsia="ja-JP"/>
        </w:rPr>
        <w:t>een kerstpakket ontvangen.</w:t>
      </w:r>
      <w:r w:rsidR="001A05E3">
        <w:rPr>
          <w:rStyle w:val="Voetnootmarkering"/>
          <w:bCs/>
          <w:iCs/>
          <w:spacing w:val="-3"/>
          <w:lang w:eastAsia="ja-JP"/>
        </w:rPr>
        <w:footnoteReference w:id="117"/>
      </w:r>
      <w:r w:rsidR="001A05E3">
        <w:rPr>
          <w:bCs/>
          <w:iCs/>
          <w:spacing w:val="-3"/>
          <w:lang w:eastAsia="ja-JP"/>
        </w:rPr>
        <w:t xml:space="preserve"> De werkgever overschrijdt een grens, maar handelt niet ernstig verwijtbaar, indien zij privé e-mails, zonder de werknemer </w:t>
      </w:r>
      <w:r w:rsidR="00D451CA">
        <w:rPr>
          <w:bCs/>
          <w:iCs/>
          <w:spacing w:val="-3"/>
          <w:lang w:eastAsia="ja-JP"/>
        </w:rPr>
        <w:t>hierover</w:t>
      </w:r>
      <w:r w:rsidR="001A05E3">
        <w:rPr>
          <w:bCs/>
          <w:iCs/>
          <w:spacing w:val="-3"/>
          <w:lang w:eastAsia="ja-JP"/>
        </w:rPr>
        <w:t xml:space="preserve"> te informeren, </w:t>
      </w:r>
      <w:r w:rsidR="00020CF3">
        <w:rPr>
          <w:bCs/>
          <w:iCs/>
          <w:spacing w:val="-3"/>
          <w:lang w:eastAsia="ja-JP"/>
        </w:rPr>
        <w:t>tijdens</w:t>
      </w:r>
      <w:r w:rsidR="00207EB1">
        <w:rPr>
          <w:bCs/>
          <w:iCs/>
          <w:spacing w:val="-3"/>
          <w:lang w:eastAsia="ja-JP"/>
        </w:rPr>
        <w:t xml:space="preserve"> een ontslagprocedure </w:t>
      </w:r>
      <w:r w:rsidR="001A05E3">
        <w:rPr>
          <w:bCs/>
          <w:iCs/>
          <w:spacing w:val="-3"/>
          <w:lang w:eastAsia="ja-JP"/>
        </w:rPr>
        <w:t>indient bij het UWV.</w:t>
      </w:r>
      <w:r w:rsidR="001A05E3">
        <w:rPr>
          <w:rStyle w:val="Voetnootmarkering"/>
          <w:bCs/>
          <w:iCs/>
          <w:spacing w:val="-3"/>
          <w:lang w:eastAsia="ja-JP"/>
        </w:rPr>
        <w:footnoteReference w:id="118"/>
      </w:r>
    </w:p>
    <w:p w:rsidR="007801B6"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r>
        <w:rPr>
          <w:bCs/>
          <w:iCs/>
          <w:spacing w:val="-3"/>
          <w:lang w:eastAsia="ja-JP"/>
        </w:rPr>
        <w:lastRenderedPageBreak/>
        <w:t xml:space="preserve">Het uitoefenen van forse druk om met beëindiging van het arbeidscontract in te stemmen is wel verwijtbaar maar niet ernstig verwijtbaar indien de werkgever dit gedrag niet voortzet nadat de werknemer weigert om het arbeidscontract te beëindigen. </w:t>
      </w:r>
      <w:r>
        <w:rPr>
          <w:rStyle w:val="Voetnootmarkering"/>
          <w:bCs/>
          <w:iCs/>
          <w:spacing w:val="-3"/>
          <w:lang w:eastAsia="ja-JP"/>
        </w:rPr>
        <w:footnoteReference w:id="119"/>
      </w:r>
      <w:r>
        <w:rPr>
          <w:bCs/>
          <w:iCs/>
          <w:spacing w:val="-3"/>
          <w:lang w:eastAsia="ja-JP"/>
        </w:rPr>
        <w:t xml:space="preserve"> </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p>
    <w:p w:rsidR="001A05E3" w:rsidRDefault="007801B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i/>
          <w:iCs/>
          <w:spacing w:val="-3"/>
          <w:lang w:eastAsia="ja-JP"/>
        </w:rPr>
      </w:pPr>
      <w:r>
        <w:rPr>
          <w:bCs/>
          <w:iCs/>
          <w:spacing w:val="-3"/>
          <w:lang w:eastAsia="ja-JP"/>
        </w:rPr>
        <w:t>Dat werkgever op enkele momenten heeft gehandeld in strijd met goed werkgeverschap, zoals het niet opvolgen van een advies van de bedrijfsarts, betekent nog niet dat er sprake is van ernstig verwijtbaar handelen.</w:t>
      </w:r>
      <w:r>
        <w:rPr>
          <w:rStyle w:val="Voetnootmarkering"/>
          <w:bCs/>
          <w:iCs/>
          <w:spacing w:val="-3"/>
          <w:lang w:eastAsia="ja-JP"/>
        </w:rPr>
        <w:footnoteReference w:id="120"/>
      </w:r>
      <w:r>
        <w:rPr>
          <w:bCs/>
          <w:iCs/>
          <w:spacing w:val="-3"/>
          <w:lang w:eastAsia="ja-JP"/>
        </w:rPr>
        <w:t xml:space="preserve"> </w:t>
      </w:r>
    </w:p>
    <w:p w:rsidR="000452C8" w:rsidRDefault="000452C8"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1A05E3" w:rsidRDefault="001A05E3"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color w:val="000000"/>
          <w:shd w:val="clear" w:color="auto" w:fill="FFFFFF"/>
        </w:rPr>
      </w:pPr>
      <w:r>
        <w:rPr>
          <w:rStyle w:val="apple-converted-space"/>
          <w:b/>
          <w:bCs/>
          <w:i/>
          <w:iCs/>
          <w:color w:val="000000"/>
          <w:shd w:val="clear" w:color="auto" w:fill="FFFFFF"/>
          <w:lang w:eastAsia="ja-JP"/>
        </w:rPr>
        <w:t xml:space="preserve">3.2.3 </w:t>
      </w:r>
      <w:r>
        <w:rPr>
          <w:rStyle w:val="apple-converted-space"/>
          <w:b/>
          <w:bCs/>
          <w:i/>
          <w:iCs/>
          <w:color w:val="000000"/>
          <w:shd w:val="clear" w:color="auto" w:fill="FFFFFF"/>
        </w:rPr>
        <w:t xml:space="preserve">Gedrag/omstandigheden werknemer </w:t>
      </w:r>
    </w:p>
    <w:p w:rsidR="0082756D" w:rsidRDefault="0082756D"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Cs/>
          <w:iCs/>
          <w:color w:val="000000"/>
          <w:shd w:val="clear" w:color="auto" w:fill="FFFFFF"/>
        </w:rPr>
      </w:pPr>
    </w:p>
    <w:p w:rsidR="001A05E3" w:rsidRDefault="001A05E3"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Cs/>
          <w:iCs/>
          <w:color w:val="000000"/>
          <w:shd w:val="clear" w:color="auto" w:fill="FFFFFF"/>
        </w:rPr>
      </w:pPr>
      <w:r>
        <w:rPr>
          <w:rStyle w:val="apple-converted-space"/>
          <w:bCs/>
          <w:iCs/>
          <w:color w:val="000000"/>
          <w:shd w:val="clear" w:color="auto" w:fill="FFFFFF"/>
        </w:rPr>
        <w:t>Uit de jurisprudentie blijkt dat het gedrag van de werknemer</w:t>
      </w:r>
      <w:r w:rsidR="00D97CEA" w:rsidRPr="00D97CEA">
        <w:rPr>
          <w:rStyle w:val="Voetnootmarkering"/>
          <w:bCs/>
          <w:iCs/>
          <w:color w:val="000000"/>
          <w:shd w:val="clear" w:color="auto" w:fill="FFFFFF"/>
        </w:rPr>
        <w:footnoteReference w:id="121"/>
      </w:r>
      <w:r>
        <w:rPr>
          <w:rStyle w:val="apple-converted-space"/>
          <w:bCs/>
          <w:iCs/>
          <w:color w:val="000000"/>
          <w:shd w:val="clear" w:color="auto" w:fill="FFFFFF"/>
        </w:rPr>
        <w:t xml:space="preserve"> een grote invloed heeft op het afwijzen van de billijke vergoeding. Indien de werkgever een onterechte loopstop invoert, is dit ernstig te verwijten aan de werkg</w:t>
      </w:r>
      <w:r w:rsidR="00644FB4">
        <w:rPr>
          <w:rStyle w:val="apple-converted-space"/>
          <w:bCs/>
          <w:iCs/>
          <w:color w:val="000000"/>
          <w:shd w:val="clear" w:color="auto" w:fill="FFFFFF"/>
        </w:rPr>
        <w:t xml:space="preserve">ever en moet er </w:t>
      </w:r>
      <w:r>
        <w:rPr>
          <w:rStyle w:val="apple-converted-space"/>
          <w:bCs/>
          <w:iCs/>
          <w:color w:val="000000"/>
          <w:shd w:val="clear" w:color="auto" w:fill="FFFFFF"/>
        </w:rPr>
        <w:t>een billijke vergoeding aan de werknemer worden uitgekeerd. Indien de werknemer niet ingaat op herplaatsingsmogelijkheden na een verstoorde arbeidsrelatie en weigert te komen werken</w:t>
      </w:r>
      <w:r>
        <w:rPr>
          <w:rStyle w:val="Voetnootmarkering"/>
          <w:bCs/>
          <w:iCs/>
          <w:color w:val="000000"/>
          <w:shd w:val="clear" w:color="auto" w:fill="FFFFFF"/>
        </w:rPr>
        <w:footnoteReference w:id="122"/>
      </w:r>
      <w:r>
        <w:rPr>
          <w:rStyle w:val="apple-converted-space"/>
          <w:bCs/>
          <w:iCs/>
          <w:color w:val="000000"/>
          <w:shd w:val="clear" w:color="auto" w:fill="FFFFFF"/>
        </w:rPr>
        <w:t xml:space="preserve">, wordt de billijke vergoeding, ondanks de loonstop, niet toegekend. </w:t>
      </w:r>
    </w:p>
    <w:p w:rsidR="001A05E3" w:rsidRDefault="001A05E3" w:rsidP="001A05E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lang w:eastAsia="ja-JP"/>
        </w:rPr>
      </w:pPr>
      <w:r>
        <w:rPr>
          <w:rStyle w:val="apple-converted-space"/>
          <w:bCs/>
          <w:iCs/>
          <w:color w:val="000000"/>
          <w:shd w:val="clear" w:color="auto" w:fill="FFFFFF"/>
        </w:rPr>
        <w:t xml:space="preserve">Ook is het gebruiken van ongepast taalgebruik door de werknemer jegens haar collega’s zoals “vuile kuthoer”, “Gerben is een lul, watje, mietje”, “Kijk die neger, ik haat hem”, een aanleiding voor de kantonrechter om geen billijke vergoeding toe te kennen ondanks het onterecht op non-actief stellen en het uitoefenen van forse druk om met </w:t>
      </w:r>
      <w:r>
        <w:rPr>
          <w:bCs/>
          <w:iCs/>
          <w:spacing w:val="-3"/>
          <w:lang w:eastAsia="ja-JP"/>
        </w:rPr>
        <w:t>beëindiging van het arbeidscontract in te stemmen.</w:t>
      </w:r>
      <w:r>
        <w:rPr>
          <w:rStyle w:val="Voetnootmarkering"/>
          <w:bCs/>
          <w:iCs/>
          <w:spacing w:val="-3"/>
          <w:lang w:eastAsia="ja-JP"/>
        </w:rPr>
        <w:footnoteReference w:id="123"/>
      </w:r>
      <w:r>
        <w:rPr>
          <w:bCs/>
          <w:iCs/>
          <w:spacing w:val="-3"/>
          <w:lang w:eastAsia="ja-JP"/>
        </w:rPr>
        <w:t xml:space="preserve"> </w:t>
      </w:r>
    </w:p>
    <w:p w:rsidR="00020CF3"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r>
        <w:rPr>
          <w:bCs/>
          <w:iCs/>
          <w:spacing w:val="-3"/>
          <w:lang w:eastAsia="ja-JP"/>
        </w:rPr>
        <w:t xml:space="preserve">De kantonrechter wijst de billijke vergoeding af, ondanks </w:t>
      </w:r>
      <w:r w:rsidR="009E5063">
        <w:rPr>
          <w:bCs/>
          <w:iCs/>
          <w:spacing w:val="-3"/>
          <w:lang w:eastAsia="ja-JP"/>
        </w:rPr>
        <w:t xml:space="preserve">dat er sprake is </w:t>
      </w:r>
      <w:r>
        <w:rPr>
          <w:bCs/>
          <w:iCs/>
          <w:spacing w:val="-3"/>
          <w:lang w:eastAsia="ja-JP"/>
        </w:rPr>
        <w:t>van onterecht ontslag op staande voet door de werkgever, omdat de werknemer tijdens een gesprek met een collega zegt: “dan meld ik mij wel ziek”. Uit deze opmerking wordt verstaan dat de werknemer niet ziek is maar zich wel ziek meldt.</w:t>
      </w:r>
      <w:r>
        <w:rPr>
          <w:rStyle w:val="Voetnootmarkering"/>
          <w:bCs/>
          <w:iCs/>
          <w:spacing w:val="-3"/>
          <w:lang w:eastAsia="ja-JP"/>
        </w:rPr>
        <w:footnoteReference w:id="124"/>
      </w:r>
      <w:r w:rsidR="00594E70">
        <w:rPr>
          <w:bCs/>
          <w:iCs/>
          <w:spacing w:val="-3"/>
          <w:lang w:eastAsia="ja-JP"/>
        </w:rPr>
        <w:t xml:space="preserve"> </w:t>
      </w:r>
    </w:p>
    <w:p w:rsidR="00B4318A" w:rsidRP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p>
    <w:p w:rsidR="00594E70" w:rsidRDefault="001A05E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r>
        <w:rPr>
          <w:b/>
          <w:bCs/>
          <w:i/>
          <w:iCs/>
          <w:spacing w:val="-3"/>
          <w:lang w:eastAsia="ja-JP"/>
        </w:rPr>
        <w:lastRenderedPageBreak/>
        <w:t xml:space="preserve">3.2.4 </w:t>
      </w:r>
      <w:r>
        <w:rPr>
          <w:b/>
          <w:bCs/>
          <w:i/>
          <w:iCs/>
          <w:spacing w:val="-3"/>
          <w:lang w:eastAsia="nl-NL"/>
        </w:rPr>
        <w:t xml:space="preserve">Ernstig verwijtbare handeling is niet vast komen te staan </w:t>
      </w:r>
      <w:r>
        <w:rPr>
          <w:rStyle w:val="Voetnootmarkering"/>
          <w:b/>
          <w:bCs/>
          <w:i/>
          <w:iCs/>
          <w:spacing w:val="-3"/>
          <w:lang w:eastAsia="nl-NL"/>
        </w:rPr>
        <w:footnoteReference w:id="125"/>
      </w:r>
      <w:r w:rsidR="00594E70" w:rsidRPr="00594E70">
        <w:rPr>
          <w:bCs/>
          <w:iCs/>
          <w:spacing w:val="-3"/>
          <w:lang w:eastAsia="ja-JP"/>
        </w:rPr>
        <w:t xml:space="preserve"> </w:t>
      </w:r>
    </w:p>
    <w:p w:rsidR="0082756D" w:rsidRDefault="0082756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iCs/>
          <w:spacing w:val="-3"/>
          <w:lang w:eastAsia="ja-JP"/>
        </w:rPr>
      </w:pPr>
    </w:p>
    <w:p w:rsidR="007971A6" w:rsidRPr="00D54CB7" w:rsidRDefault="00594E70"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Cs/>
          <w:iCs/>
          <w:spacing w:val="-3"/>
          <w:lang w:eastAsia="ja-JP"/>
        </w:rPr>
      </w:pPr>
      <w:r>
        <w:rPr>
          <w:bCs/>
          <w:iCs/>
          <w:spacing w:val="-3"/>
          <w:lang w:eastAsia="ja-JP"/>
        </w:rPr>
        <w:t>Indien de werknemer onvoldoende invulling geeft op een verweer waarin</w:t>
      </w:r>
      <w:r w:rsidR="00F805E2">
        <w:rPr>
          <w:bCs/>
          <w:iCs/>
          <w:spacing w:val="-3"/>
          <w:lang w:eastAsia="ja-JP"/>
        </w:rPr>
        <w:t xml:space="preserve"> bijvoorbeeld wordt</w:t>
      </w:r>
      <w:r>
        <w:rPr>
          <w:bCs/>
          <w:iCs/>
          <w:spacing w:val="-3"/>
          <w:lang w:eastAsia="ja-JP"/>
        </w:rPr>
        <w:t xml:space="preserve"> </w:t>
      </w:r>
      <w:r w:rsidR="00F805E2">
        <w:rPr>
          <w:bCs/>
          <w:iCs/>
          <w:spacing w:val="-3"/>
          <w:lang w:eastAsia="ja-JP"/>
        </w:rPr>
        <w:t>gesteld</w:t>
      </w:r>
      <w:r>
        <w:rPr>
          <w:bCs/>
          <w:iCs/>
          <w:spacing w:val="-3"/>
          <w:lang w:eastAsia="ja-JP"/>
        </w:rPr>
        <w:t xml:space="preserve"> dat de werkgever onvoldoende rekening heeft gehouden met </w:t>
      </w:r>
      <w:r w:rsidR="00F805E2">
        <w:rPr>
          <w:bCs/>
          <w:iCs/>
          <w:spacing w:val="-3"/>
          <w:lang w:eastAsia="ja-JP"/>
        </w:rPr>
        <w:t>de</w:t>
      </w:r>
      <w:r>
        <w:rPr>
          <w:bCs/>
          <w:iCs/>
          <w:spacing w:val="-3"/>
          <w:lang w:eastAsia="ja-JP"/>
        </w:rPr>
        <w:t xml:space="preserve"> autistische stoornis</w:t>
      </w:r>
      <w:r w:rsidR="00F805E2">
        <w:rPr>
          <w:bCs/>
          <w:iCs/>
          <w:spacing w:val="-3"/>
          <w:lang w:eastAsia="ja-JP"/>
        </w:rPr>
        <w:t xml:space="preserve"> van werknemer of dat de werkgever een </w:t>
      </w:r>
      <w:r w:rsidR="00F92067">
        <w:rPr>
          <w:bCs/>
          <w:iCs/>
          <w:spacing w:val="-3"/>
          <w:lang w:eastAsia="ja-JP"/>
        </w:rPr>
        <w:t>Verklaring Omtrent het Gedrag (</w:t>
      </w:r>
      <w:r w:rsidR="00F805E2">
        <w:rPr>
          <w:bCs/>
          <w:iCs/>
          <w:spacing w:val="-3"/>
          <w:lang w:eastAsia="ja-JP"/>
        </w:rPr>
        <w:t>VOG</w:t>
      </w:r>
      <w:r w:rsidR="00F92067">
        <w:rPr>
          <w:bCs/>
          <w:iCs/>
          <w:spacing w:val="-3"/>
          <w:lang w:eastAsia="ja-JP"/>
        </w:rPr>
        <w:t>)</w:t>
      </w:r>
      <w:r w:rsidR="00F805E2">
        <w:rPr>
          <w:bCs/>
          <w:iCs/>
          <w:spacing w:val="-3"/>
          <w:lang w:eastAsia="ja-JP"/>
        </w:rPr>
        <w:t xml:space="preserve"> heeft vervalst ten behoeve van het dossier van de werknemer</w:t>
      </w:r>
      <w:r w:rsidR="00020CF3">
        <w:rPr>
          <w:bCs/>
          <w:iCs/>
          <w:spacing w:val="-3"/>
          <w:lang w:eastAsia="ja-JP"/>
        </w:rPr>
        <w:t>,</w:t>
      </w:r>
      <w:r>
        <w:rPr>
          <w:bCs/>
          <w:iCs/>
          <w:spacing w:val="-3"/>
          <w:lang w:eastAsia="ja-JP"/>
        </w:rPr>
        <w:t xml:space="preserve"> dan wordt de billijke vergoeding niet toegewezen omdat er geen ernstig verwijtbare feiten zijn vastgesteld.</w:t>
      </w:r>
      <w:r>
        <w:rPr>
          <w:rStyle w:val="Voetnootmarkering"/>
          <w:bCs/>
          <w:iCs/>
          <w:spacing w:val="-3"/>
          <w:lang w:eastAsia="ja-JP"/>
        </w:rPr>
        <w:footnoteReference w:id="126"/>
      </w:r>
      <w:r w:rsidR="007971A6">
        <w:rPr>
          <w:bCs/>
          <w:iCs/>
          <w:spacing w:val="-3"/>
          <w:lang w:eastAsia="ja-JP"/>
        </w:rPr>
        <w:t xml:space="preserve"> </w:t>
      </w:r>
    </w:p>
    <w:p w:rsidR="0082756D" w:rsidRDefault="0082756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B4318A" w:rsidRDefault="00B4318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rStyle w:val="apple-converted-space"/>
          <w:b/>
          <w:bCs/>
          <w:i/>
          <w:iCs/>
          <w:color w:val="000000"/>
          <w:shd w:val="clear" w:color="auto" w:fill="FFFFFF"/>
          <w:lang w:eastAsia="ja-JP"/>
        </w:rPr>
      </w:pPr>
    </w:p>
    <w:p w:rsidR="001A05E3" w:rsidRDefault="00C45DC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i/>
          <w:iCs/>
          <w:spacing w:val="-3"/>
          <w:lang w:eastAsia="ja-JP"/>
        </w:rPr>
      </w:pPr>
      <w:r>
        <w:rPr>
          <w:rStyle w:val="apple-converted-space"/>
          <w:b/>
          <w:bCs/>
          <w:i/>
          <w:iCs/>
          <w:color w:val="000000"/>
          <w:shd w:val="clear" w:color="auto" w:fill="FFFFFF"/>
          <w:lang w:eastAsia="ja-JP"/>
        </w:rPr>
        <w:t>3.2.5</w:t>
      </w:r>
      <w:r w:rsidR="001A05E3">
        <w:rPr>
          <w:rStyle w:val="apple-converted-space"/>
          <w:b/>
          <w:bCs/>
          <w:i/>
          <w:iCs/>
          <w:color w:val="000000"/>
          <w:shd w:val="clear" w:color="auto" w:fill="FFFFFF"/>
          <w:lang w:eastAsia="ja-JP"/>
        </w:rPr>
        <w:t xml:space="preserve"> Conclusie</w:t>
      </w:r>
    </w:p>
    <w:p w:rsidR="0082756D" w:rsidRDefault="0082756D" w:rsidP="0082756D">
      <w:pPr>
        <w:pStyle w:val="Geenafstand"/>
        <w:spacing w:line="360" w:lineRule="auto"/>
        <w:rPr>
          <w:color w:val="000000" w:themeColor="text1"/>
          <w:lang w:eastAsia="ja-JP"/>
        </w:rPr>
      </w:pPr>
    </w:p>
    <w:p w:rsidR="007971A6" w:rsidRDefault="007971A6" w:rsidP="0082756D">
      <w:pPr>
        <w:pStyle w:val="Geenafstand"/>
        <w:spacing w:line="360" w:lineRule="auto"/>
      </w:pPr>
      <w:r>
        <w:rPr>
          <w:rFonts w:hint="eastAsia"/>
          <w:color w:val="000000" w:themeColor="text1"/>
          <w:lang w:eastAsia="ja-JP"/>
        </w:rPr>
        <w:t xml:space="preserve">Uit het jurisprudentieonderzoek mag </w:t>
      </w:r>
      <w:r w:rsidR="009E5063">
        <w:rPr>
          <w:color w:val="000000" w:themeColor="text1"/>
          <w:lang w:eastAsia="ja-JP"/>
        </w:rPr>
        <w:t>met betrekking tot het afwijzen van de billijke vergoeding</w:t>
      </w:r>
      <w:r w:rsidR="009E5063">
        <w:rPr>
          <w:rFonts w:hint="eastAsia"/>
          <w:color w:val="000000" w:themeColor="text1"/>
          <w:lang w:eastAsia="ja-JP"/>
        </w:rPr>
        <w:t xml:space="preserve"> </w:t>
      </w:r>
      <w:r>
        <w:rPr>
          <w:rFonts w:hint="eastAsia"/>
          <w:color w:val="000000" w:themeColor="text1"/>
          <w:lang w:eastAsia="ja-JP"/>
        </w:rPr>
        <w:t xml:space="preserve">het volgende </w:t>
      </w:r>
      <w:r w:rsidR="009E5063">
        <w:rPr>
          <w:color w:val="000000" w:themeColor="text1"/>
          <w:lang w:eastAsia="ja-JP"/>
        </w:rPr>
        <w:t xml:space="preserve">worden </w:t>
      </w:r>
      <w:r w:rsidR="00D451CA">
        <w:rPr>
          <w:color w:val="000000" w:themeColor="text1"/>
          <w:lang w:eastAsia="ja-JP"/>
        </w:rPr>
        <w:t>geconcludeerd:</w:t>
      </w:r>
      <w:r>
        <w:rPr>
          <w:rFonts w:hint="eastAsia"/>
          <w:color w:val="000000" w:themeColor="text1"/>
          <w:lang w:eastAsia="ja-JP"/>
        </w:rPr>
        <w:t xml:space="preserve"> </w:t>
      </w:r>
    </w:p>
    <w:p w:rsidR="001A05E3" w:rsidRDefault="007971A6" w:rsidP="0082756D">
      <w:pPr>
        <w:pStyle w:val="Lijstalinea"/>
        <w:numPr>
          <w:ilvl w:val="0"/>
          <w:numId w:val="9"/>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spacing w:val="-3"/>
          <w:lang w:eastAsia="ja-JP"/>
        </w:rPr>
        <w:t>De werkgever dient aan te kunnen tonen dat er sprake is van een slechte of dalende financiële situatie van de onderneming</w:t>
      </w:r>
      <w:r w:rsidR="006E17D4">
        <w:rPr>
          <w:spacing w:val="-3"/>
          <w:lang w:eastAsia="ja-JP"/>
        </w:rPr>
        <w:t>.</w:t>
      </w:r>
      <w:r>
        <w:rPr>
          <w:spacing w:val="-3"/>
          <w:lang w:eastAsia="ja-JP"/>
        </w:rPr>
        <w:t xml:space="preserve"> </w:t>
      </w:r>
    </w:p>
    <w:p w:rsidR="00272B93" w:rsidRDefault="007971A6" w:rsidP="0082756D">
      <w:pPr>
        <w:pStyle w:val="Lijstalinea"/>
        <w:numPr>
          <w:ilvl w:val="0"/>
          <w:numId w:val="9"/>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spacing w:val="-3"/>
          <w:lang w:eastAsia="ja-JP"/>
        </w:rPr>
        <w:t xml:space="preserve">De werkgever dient </w:t>
      </w:r>
      <w:r w:rsidR="006E17D4">
        <w:rPr>
          <w:spacing w:val="-3"/>
          <w:lang w:eastAsia="ja-JP"/>
        </w:rPr>
        <w:t xml:space="preserve">middels verslagen </w:t>
      </w:r>
      <w:r>
        <w:rPr>
          <w:spacing w:val="-3"/>
          <w:lang w:eastAsia="ja-JP"/>
        </w:rPr>
        <w:t>aan te kunnen tonen</w:t>
      </w:r>
      <w:r w:rsidR="00272B93">
        <w:rPr>
          <w:spacing w:val="-3"/>
          <w:lang w:eastAsia="ja-JP"/>
        </w:rPr>
        <w:t xml:space="preserve"> </w:t>
      </w:r>
      <w:r>
        <w:rPr>
          <w:spacing w:val="-3"/>
          <w:lang w:eastAsia="ja-JP"/>
        </w:rPr>
        <w:t xml:space="preserve">dat er genoeg middelen zijn ingezet om </w:t>
      </w:r>
      <w:r w:rsidR="00272B93">
        <w:rPr>
          <w:spacing w:val="-3"/>
          <w:lang w:eastAsia="ja-JP"/>
        </w:rPr>
        <w:t>de arbeidsrelatie te verbeteren</w:t>
      </w:r>
      <w:r w:rsidR="006E17D4">
        <w:rPr>
          <w:spacing w:val="-3"/>
          <w:lang w:eastAsia="ja-JP"/>
        </w:rPr>
        <w:t>.</w:t>
      </w:r>
    </w:p>
    <w:p w:rsidR="001A05E3" w:rsidRPr="00272B93" w:rsidRDefault="00272B93" w:rsidP="0082756D">
      <w:pPr>
        <w:pStyle w:val="Lijstalinea"/>
        <w:numPr>
          <w:ilvl w:val="0"/>
          <w:numId w:val="9"/>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sidRPr="00272B93">
        <w:rPr>
          <w:bCs/>
          <w:iCs/>
          <w:spacing w:val="-3"/>
          <w:lang w:eastAsia="ja-JP"/>
        </w:rPr>
        <w:t xml:space="preserve">Dat </w:t>
      </w:r>
      <w:r w:rsidR="00644FB4">
        <w:rPr>
          <w:bCs/>
          <w:iCs/>
          <w:spacing w:val="-3"/>
          <w:lang w:eastAsia="ja-JP"/>
        </w:rPr>
        <w:t xml:space="preserve">de </w:t>
      </w:r>
      <w:r w:rsidRPr="00272B93">
        <w:rPr>
          <w:bCs/>
          <w:iCs/>
          <w:spacing w:val="-3"/>
          <w:lang w:eastAsia="ja-JP"/>
        </w:rPr>
        <w:t>werkgever op enkele momenten heeft gehandeld in strijd met goed werkgeverschap</w:t>
      </w:r>
      <w:r>
        <w:rPr>
          <w:bCs/>
          <w:iCs/>
          <w:spacing w:val="-3"/>
          <w:lang w:eastAsia="ja-JP"/>
        </w:rPr>
        <w:t xml:space="preserve">, </w:t>
      </w:r>
      <w:r w:rsidRPr="00272B93">
        <w:rPr>
          <w:bCs/>
          <w:iCs/>
          <w:spacing w:val="-3"/>
          <w:lang w:eastAsia="ja-JP"/>
        </w:rPr>
        <w:t>betekent nog niet dat er sprake is van ernstig verwijtbaar handelen</w:t>
      </w:r>
      <w:r w:rsidR="006E17D4">
        <w:rPr>
          <w:bCs/>
          <w:iCs/>
          <w:spacing w:val="-3"/>
          <w:lang w:eastAsia="ja-JP"/>
        </w:rPr>
        <w:t>.</w:t>
      </w:r>
    </w:p>
    <w:p w:rsidR="00272B93" w:rsidRPr="00A85168" w:rsidRDefault="00272B93" w:rsidP="0082756D">
      <w:pPr>
        <w:pStyle w:val="Lijstalinea"/>
        <w:numPr>
          <w:ilvl w:val="0"/>
          <w:numId w:val="9"/>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bCs/>
          <w:iCs/>
          <w:spacing w:val="-3"/>
          <w:lang w:eastAsia="ja-JP"/>
        </w:rPr>
        <w:t xml:space="preserve">Indien het storende gedrag van de werknemer de oorzaak is van het </w:t>
      </w:r>
      <w:r w:rsidR="00A85168">
        <w:rPr>
          <w:bCs/>
          <w:iCs/>
          <w:spacing w:val="-3"/>
          <w:lang w:eastAsia="ja-JP"/>
        </w:rPr>
        <w:t>ernstig verwijtbaar handelen</w:t>
      </w:r>
      <w:r>
        <w:rPr>
          <w:bCs/>
          <w:iCs/>
          <w:spacing w:val="-3"/>
          <w:lang w:eastAsia="ja-JP"/>
        </w:rPr>
        <w:t xml:space="preserve"> </w:t>
      </w:r>
      <w:r w:rsidR="00A85168">
        <w:rPr>
          <w:bCs/>
          <w:iCs/>
          <w:spacing w:val="-3"/>
          <w:lang w:eastAsia="ja-JP"/>
        </w:rPr>
        <w:t>van de werkgever, dan</w:t>
      </w:r>
      <w:r>
        <w:rPr>
          <w:bCs/>
          <w:iCs/>
          <w:spacing w:val="-3"/>
          <w:lang w:eastAsia="ja-JP"/>
        </w:rPr>
        <w:t xml:space="preserve"> hoeft </w:t>
      </w:r>
      <w:r w:rsidR="00A85168">
        <w:rPr>
          <w:bCs/>
          <w:iCs/>
          <w:spacing w:val="-3"/>
          <w:lang w:eastAsia="ja-JP"/>
        </w:rPr>
        <w:t>er geen billijke vergoeding te worden betaal</w:t>
      </w:r>
      <w:r w:rsidR="00324D18">
        <w:rPr>
          <w:bCs/>
          <w:iCs/>
          <w:spacing w:val="-3"/>
          <w:lang w:eastAsia="ja-JP"/>
        </w:rPr>
        <w:t>d</w:t>
      </w:r>
      <w:r w:rsidR="006E17D4">
        <w:rPr>
          <w:bCs/>
          <w:iCs/>
          <w:spacing w:val="-3"/>
          <w:lang w:eastAsia="ja-JP"/>
        </w:rPr>
        <w:t>.</w:t>
      </w:r>
    </w:p>
    <w:p w:rsidR="00A85168" w:rsidRPr="004E506A" w:rsidRDefault="00A85168" w:rsidP="0082756D">
      <w:pPr>
        <w:pStyle w:val="Lijstalinea"/>
        <w:numPr>
          <w:ilvl w:val="0"/>
          <w:numId w:val="9"/>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r>
        <w:rPr>
          <w:bCs/>
          <w:iCs/>
          <w:spacing w:val="-3"/>
          <w:lang w:eastAsia="ja-JP"/>
        </w:rPr>
        <w:t xml:space="preserve">Indien de werknemer zijn stellingen over de ernstig verwijtbare handelingen van de werkgever niet kan onderbouwen, dan wordt de billijke vergoeding afgewezen omdat er geen ernstig verwijtbare feiten zijn vastgesteld. </w:t>
      </w:r>
    </w:p>
    <w:p w:rsidR="004E506A" w:rsidRPr="00272B93" w:rsidRDefault="004E506A" w:rsidP="0082756D">
      <w:pPr>
        <w:pStyle w:val="Lijstalinea"/>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spacing w:val="-3"/>
          <w:lang w:eastAsia="ja-JP"/>
        </w:rPr>
      </w:pPr>
    </w:p>
    <w:p w:rsidR="009A01E2" w:rsidRPr="00C45DCD" w:rsidRDefault="002C581A" w:rsidP="0082756D">
      <w:pPr>
        <w:pStyle w:val="Kop2"/>
        <w:spacing w:before="0" w:line="360" w:lineRule="auto"/>
        <w:rPr>
          <w:color w:val="auto"/>
          <w:sz w:val="24"/>
          <w:szCs w:val="24"/>
          <w:lang w:eastAsia="nl-NL"/>
        </w:rPr>
      </w:pPr>
      <w:bookmarkStart w:id="14" w:name="_Toc472509271"/>
      <w:r w:rsidRPr="00C45DCD">
        <w:rPr>
          <w:color w:val="auto"/>
          <w:sz w:val="24"/>
          <w:szCs w:val="24"/>
          <w:lang w:eastAsia="nl-NL"/>
        </w:rPr>
        <w:t xml:space="preserve">3.3 </w:t>
      </w:r>
      <w:r w:rsidR="00C45DCD" w:rsidRPr="00C45DCD">
        <w:rPr>
          <w:color w:val="auto"/>
          <w:sz w:val="24"/>
          <w:szCs w:val="24"/>
          <w:lang w:eastAsia="nl-NL"/>
        </w:rPr>
        <w:t>Bepalen h</w:t>
      </w:r>
      <w:r w:rsidR="003E0C33" w:rsidRPr="00C45DCD">
        <w:rPr>
          <w:color w:val="auto"/>
          <w:sz w:val="24"/>
          <w:szCs w:val="24"/>
          <w:lang w:eastAsia="nl-NL"/>
        </w:rPr>
        <w:t xml:space="preserve">oogte </w:t>
      </w:r>
      <w:r w:rsidR="00906358" w:rsidRPr="00C45DCD">
        <w:rPr>
          <w:color w:val="auto"/>
          <w:sz w:val="24"/>
          <w:szCs w:val="24"/>
          <w:lang w:eastAsia="nl-NL"/>
        </w:rPr>
        <w:t>billijke vergoeding</w:t>
      </w:r>
      <w:bookmarkEnd w:id="14"/>
    </w:p>
    <w:p w:rsidR="004E4AFA" w:rsidRDefault="004E4AFA" w:rsidP="0082756D">
      <w:pPr>
        <w:pStyle w:val="Geenafstand"/>
        <w:spacing w:line="360" w:lineRule="auto"/>
        <w:rPr>
          <w:bCs/>
          <w:spacing w:val="-3"/>
          <w:lang w:eastAsia="nl-NL"/>
        </w:rPr>
      </w:pPr>
    </w:p>
    <w:p w:rsidR="00934B5E" w:rsidRDefault="00783C3B" w:rsidP="0082756D">
      <w:pPr>
        <w:pStyle w:val="Geenafstand"/>
        <w:spacing w:line="360" w:lineRule="auto"/>
      </w:pPr>
      <w:r>
        <w:rPr>
          <w:bCs/>
          <w:spacing w:val="-3"/>
          <w:lang w:eastAsia="nl-NL"/>
        </w:rPr>
        <w:t>Om een</w:t>
      </w:r>
      <w:r w:rsidR="00E36706">
        <w:rPr>
          <w:bCs/>
          <w:spacing w:val="-3"/>
          <w:lang w:eastAsia="nl-NL"/>
        </w:rPr>
        <w:t xml:space="preserve"> duidelijk</w:t>
      </w:r>
      <w:r>
        <w:rPr>
          <w:bCs/>
          <w:spacing w:val="-3"/>
          <w:lang w:eastAsia="nl-NL"/>
        </w:rPr>
        <w:t xml:space="preserve"> beeld te krijgen </w:t>
      </w:r>
      <w:r w:rsidR="00E36706">
        <w:rPr>
          <w:bCs/>
          <w:spacing w:val="-3"/>
          <w:lang w:eastAsia="nl-NL"/>
        </w:rPr>
        <w:t xml:space="preserve">van </w:t>
      </w:r>
      <w:r>
        <w:rPr>
          <w:bCs/>
          <w:spacing w:val="-3"/>
          <w:lang w:eastAsia="nl-NL"/>
        </w:rPr>
        <w:t xml:space="preserve">wat de kantonrechters overwegen bij het </w:t>
      </w:r>
      <w:r w:rsidR="00E36706">
        <w:rPr>
          <w:bCs/>
          <w:spacing w:val="-3"/>
          <w:lang w:eastAsia="nl-NL"/>
        </w:rPr>
        <w:t>bepalen van de</w:t>
      </w:r>
      <w:r>
        <w:rPr>
          <w:bCs/>
          <w:spacing w:val="-3"/>
          <w:lang w:eastAsia="nl-NL"/>
        </w:rPr>
        <w:t xml:space="preserve"> hoogte van de billijke vergoeding</w:t>
      </w:r>
      <w:r w:rsidR="00E36706">
        <w:rPr>
          <w:bCs/>
          <w:spacing w:val="-3"/>
          <w:lang w:eastAsia="nl-NL"/>
        </w:rPr>
        <w:t>,</w:t>
      </w:r>
      <w:r>
        <w:rPr>
          <w:bCs/>
          <w:spacing w:val="-3"/>
          <w:lang w:eastAsia="nl-NL"/>
        </w:rPr>
        <w:t xml:space="preserve"> </w:t>
      </w:r>
      <w:r w:rsidR="00E36706">
        <w:rPr>
          <w:bCs/>
          <w:spacing w:val="-3"/>
          <w:lang w:eastAsia="nl-NL"/>
        </w:rPr>
        <w:t xml:space="preserve">wordt </w:t>
      </w:r>
      <w:r>
        <w:rPr>
          <w:bCs/>
          <w:spacing w:val="-3"/>
          <w:lang w:eastAsia="nl-NL"/>
        </w:rPr>
        <w:t xml:space="preserve">er per uitspraak gekeken naar </w:t>
      </w:r>
      <w:r w:rsidR="00D16839">
        <w:rPr>
          <w:bCs/>
          <w:spacing w:val="-3"/>
          <w:lang w:eastAsia="nl-NL"/>
        </w:rPr>
        <w:t>de omstandigheden van de zaak</w:t>
      </w:r>
      <w:r>
        <w:rPr>
          <w:bCs/>
          <w:spacing w:val="-3"/>
          <w:lang w:eastAsia="nl-NL"/>
        </w:rPr>
        <w:t xml:space="preserve"> en het bedrag aan billijke vergoeding dat is toegekend. </w:t>
      </w:r>
      <w:r w:rsidR="00D16839">
        <w:rPr>
          <w:bCs/>
          <w:spacing w:val="-3"/>
          <w:lang w:eastAsia="nl-NL"/>
        </w:rPr>
        <w:t xml:space="preserve">Hieronder volgen een aantal factoren </w:t>
      </w:r>
      <w:r w:rsidR="00E36706">
        <w:rPr>
          <w:bCs/>
          <w:spacing w:val="-3"/>
          <w:lang w:eastAsia="nl-NL"/>
        </w:rPr>
        <w:t>die kantonrechters meewegen</w:t>
      </w:r>
      <w:r w:rsidR="00D16839">
        <w:rPr>
          <w:bCs/>
          <w:spacing w:val="-3"/>
          <w:lang w:eastAsia="nl-NL"/>
        </w:rPr>
        <w:t xml:space="preserve"> in h</w:t>
      </w:r>
      <w:r w:rsidR="00E36706">
        <w:rPr>
          <w:bCs/>
          <w:spacing w:val="-3"/>
          <w:lang w:eastAsia="nl-NL"/>
        </w:rPr>
        <w:t>un</w:t>
      </w:r>
      <w:r w:rsidR="00D16839">
        <w:rPr>
          <w:bCs/>
          <w:spacing w:val="-3"/>
          <w:lang w:eastAsia="nl-NL"/>
        </w:rPr>
        <w:t xml:space="preserve"> besluit </w:t>
      </w:r>
      <w:r w:rsidR="00E36706">
        <w:rPr>
          <w:bCs/>
          <w:spacing w:val="-3"/>
          <w:lang w:eastAsia="nl-NL"/>
        </w:rPr>
        <w:t xml:space="preserve">omtrent de hoogte van de </w:t>
      </w:r>
      <w:r w:rsidR="00D16839">
        <w:rPr>
          <w:bCs/>
          <w:spacing w:val="-3"/>
          <w:lang w:eastAsia="nl-NL"/>
        </w:rPr>
        <w:t>billijke vergoeding.</w:t>
      </w:r>
      <w:r w:rsidR="00934B5E" w:rsidRPr="00934B5E">
        <w:t xml:space="preserve"> </w:t>
      </w:r>
      <w:r w:rsidR="00934B5E">
        <w:t>Om het zo duidelijk mogelijk te formulere</w:t>
      </w:r>
      <w:r w:rsidR="00E36706">
        <w:t>n worden de uits</w:t>
      </w:r>
      <w:r w:rsidR="00906358">
        <w:t>praken behandeld</w:t>
      </w:r>
      <w:r w:rsidR="00934B5E">
        <w:t xml:space="preserve"> </w:t>
      </w:r>
      <w:r w:rsidR="00156C6F">
        <w:t>in</w:t>
      </w:r>
      <w:r w:rsidR="00934B5E">
        <w:t xml:space="preserve"> volgorde van de hoogte van de vergoedingen. </w:t>
      </w:r>
    </w:p>
    <w:p w:rsidR="00783C3B" w:rsidRPr="00783C3B" w:rsidRDefault="00783C3B"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Cs/>
          <w:spacing w:val="-3"/>
          <w:lang w:eastAsia="nl-NL"/>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DF373F" w:rsidRDefault="00DF373F" w:rsidP="0082756D">
      <w:pPr>
        <w:pStyle w:val="Geenafstand"/>
        <w:spacing w:line="360" w:lineRule="auto"/>
        <w:rPr>
          <w:b/>
          <w:i/>
        </w:rPr>
      </w:pPr>
    </w:p>
    <w:p w:rsidR="00783C3B" w:rsidRDefault="009D1E2D" w:rsidP="0082756D">
      <w:pPr>
        <w:pStyle w:val="Geenafstand"/>
        <w:spacing w:line="360" w:lineRule="auto"/>
      </w:pPr>
      <w:r>
        <w:rPr>
          <w:b/>
          <w:i/>
        </w:rPr>
        <w:t>3.3.1</w:t>
      </w:r>
      <w:r w:rsidR="00783C3B" w:rsidRPr="00783C3B">
        <w:rPr>
          <w:b/>
          <w:i/>
        </w:rPr>
        <w:t xml:space="preserve"> Duur </w:t>
      </w:r>
      <w:r w:rsidR="00783C3B" w:rsidRPr="00783C3B">
        <w:rPr>
          <w:rFonts w:hint="eastAsia"/>
          <w:b/>
          <w:i/>
          <w:lang w:eastAsia="ja-JP"/>
        </w:rPr>
        <w:t>dienstverband</w:t>
      </w:r>
      <w:r w:rsidR="00783C3B">
        <w:t xml:space="preserve"> </w:t>
      </w:r>
    </w:p>
    <w:p w:rsidR="000452C8" w:rsidRDefault="000452C8" w:rsidP="0082756D">
      <w:pPr>
        <w:pStyle w:val="Geenafstand"/>
        <w:spacing w:line="360" w:lineRule="auto"/>
      </w:pPr>
    </w:p>
    <w:p w:rsidR="009D1E2D" w:rsidRDefault="004854F0" w:rsidP="0082756D">
      <w:pPr>
        <w:pStyle w:val="Geenafstand"/>
        <w:spacing w:line="360" w:lineRule="auto"/>
      </w:pPr>
      <w:r>
        <w:t>In elk arrest wordt opgenomen dat d</w:t>
      </w:r>
      <w:r w:rsidRPr="004854F0">
        <w:rPr>
          <w:rFonts w:cstheme="minorHAnsi"/>
          <w:color w:val="000000"/>
          <w:shd w:val="clear" w:color="auto" w:fill="FFFFFF"/>
        </w:rPr>
        <w:t xml:space="preserve">e hoogte van de billijke vergoeding moet worden bepaald op een wijze </w:t>
      </w:r>
      <w:r w:rsidR="00156C6F">
        <w:rPr>
          <w:rFonts w:cstheme="minorHAnsi"/>
          <w:color w:val="000000"/>
          <w:shd w:val="clear" w:color="auto" w:fill="FFFFFF"/>
        </w:rPr>
        <w:t xml:space="preserve">die </w:t>
      </w:r>
      <w:r w:rsidRPr="004854F0">
        <w:rPr>
          <w:rFonts w:cstheme="minorHAnsi"/>
          <w:color w:val="000000"/>
          <w:shd w:val="clear" w:color="auto" w:fill="FFFFFF"/>
        </w:rPr>
        <w:t>en op het niveau d</w:t>
      </w:r>
      <w:r w:rsidR="00156C6F">
        <w:rPr>
          <w:rFonts w:cstheme="minorHAnsi"/>
          <w:color w:val="000000"/>
          <w:shd w:val="clear" w:color="auto" w:fill="FFFFFF"/>
        </w:rPr>
        <w:t>at</w:t>
      </w:r>
      <w:r w:rsidRPr="004854F0">
        <w:rPr>
          <w:rFonts w:cstheme="minorHAnsi"/>
          <w:color w:val="000000"/>
          <w:shd w:val="clear" w:color="auto" w:fill="FFFFFF"/>
        </w:rPr>
        <w:t xml:space="preserve"> aansluit bij de uitzonderlijke omstandigheden van het geval, waarbij criteria als loon en lengte van het dienstverband geen rol hoeven te spelen</w:t>
      </w:r>
      <w:r>
        <w:rPr>
          <w:rFonts w:cstheme="minorHAnsi"/>
          <w:color w:val="000000"/>
          <w:shd w:val="clear" w:color="auto" w:fill="FFFFFF"/>
        </w:rPr>
        <w:t>. Ondanks dat wordt b</w:t>
      </w:r>
      <w:r w:rsidR="00C01DAF">
        <w:t>ij het bepalen van de hoogte van de billijke vergoeding de duur van het dienstverband meegewogen</w:t>
      </w:r>
      <w:r w:rsidR="0032588D">
        <w:t>.</w:t>
      </w:r>
      <w:r>
        <w:rPr>
          <w:rStyle w:val="Voetnootmarkering"/>
          <w:color w:val="000000"/>
        </w:rPr>
        <w:footnoteReference w:id="127"/>
      </w:r>
      <w:r w:rsidR="0032588D">
        <w:t xml:space="preserve"> </w:t>
      </w:r>
      <w:r w:rsidR="00FE2A69">
        <w:t>Er wordt</w:t>
      </w:r>
      <w:r w:rsidR="00C57EF5">
        <w:t xml:space="preserve"> een lage billijke vergoeding</w:t>
      </w:r>
      <w:r w:rsidR="00660634">
        <w:rPr>
          <w:rStyle w:val="Voetnootmarkering"/>
        </w:rPr>
        <w:footnoteReference w:id="128"/>
      </w:r>
      <w:r w:rsidR="00C57EF5">
        <w:t xml:space="preserve"> toegekend </w:t>
      </w:r>
      <w:r w:rsidR="00FE2A69">
        <w:t xml:space="preserve">indien </w:t>
      </w:r>
      <w:r w:rsidR="00C57EF5">
        <w:t xml:space="preserve">de arbeidsrelatie </w:t>
      </w:r>
      <w:r w:rsidR="00660634">
        <w:t>slechts</w:t>
      </w:r>
      <w:r w:rsidR="00C57EF5">
        <w:t xml:space="preserve"> een </w:t>
      </w:r>
      <w:r w:rsidR="00D6028B">
        <w:t>aantal</w:t>
      </w:r>
      <w:r w:rsidR="00C57EF5">
        <w:t xml:space="preserve"> maanden</w:t>
      </w:r>
      <w:r w:rsidR="00D6028B">
        <w:t xml:space="preserve"> of een aantal weken</w:t>
      </w:r>
      <w:r w:rsidR="00C57EF5">
        <w:t xml:space="preserve"> heeft geduurd</w:t>
      </w:r>
      <w:r w:rsidR="00660634">
        <w:t>.</w:t>
      </w:r>
      <w:r w:rsidR="00660634">
        <w:rPr>
          <w:rStyle w:val="Voetnootmarkering"/>
        </w:rPr>
        <w:footnoteReference w:id="129"/>
      </w:r>
      <w:r w:rsidR="00FE2A69">
        <w:t xml:space="preserve"> </w:t>
      </w:r>
      <w:r w:rsidR="000F11D3">
        <w:t xml:space="preserve">Indien er </w:t>
      </w:r>
      <w:r w:rsidR="00906358">
        <w:t>sprake is van een kort</w:t>
      </w:r>
      <w:r w:rsidR="00FB1C89">
        <w:t xml:space="preserve"> dienstve</w:t>
      </w:r>
      <w:r w:rsidR="00E36706">
        <w:t>rband van nog geen 12 maanden en</w:t>
      </w:r>
      <w:r w:rsidR="00FB1C89">
        <w:t xml:space="preserve"> er </w:t>
      </w:r>
      <w:r w:rsidR="00E36706">
        <w:t xml:space="preserve">is sprake van ander ernstig verwijtbaar handelen naast </w:t>
      </w:r>
      <w:r w:rsidR="000F11D3">
        <w:t xml:space="preserve">het in strijd </w:t>
      </w:r>
      <w:r w:rsidR="00156C6F">
        <w:t xml:space="preserve">met </w:t>
      </w:r>
      <w:r w:rsidR="000F11D3">
        <w:t xml:space="preserve">artikel 7:671 BW </w:t>
      </w:r>
      <w:r w:rsidR="00156C6F">
        <w:t xml:space="preserve">opzeggen en er is sprake van </w:t>
      </w:r>
      <w:r w:rsidR="00FB1C89">
        <w:t>andere factoren, zoals het wijzigen van de arbeidsovereenkomst zonder dat er in de overeenkomst een</w:t>
      </w:r>
      <w:r w:rsidR="00906358">
        <w:t xml:space="preserve"> wijzigingsbeding</w:t>
      </w:r>
      <w:r w:rsidR="00FB1C89">
        <w:t xml:space="preserve"> is opgenomen, dan wordt er een hogere billijke vergoeding</w:t>
      </w:r>
      <w:r w:rsidR="00906358">
        <w:t xml:space="preserve"> </w:t>
      </w:r>
      <w:r w:rsidR="00FB1C89">
        <w:t>toegekend</w:t>
      </w:r>
      <w:r w:rsidR="00906358">
        <w:t>.</w:t>
      </w:r>
      <w:r w:rsidR="00FB1C89">
        <w:rPr>
          <w:rStyle w:val="Voetnootmarkering"/>
        </w:rPr>
        <w:footnoteReference w:id="130"/>
      </w:r>
      <w:r w:rsidR="00906358">
        <w:t xml:space="preserve"> </w:t>
      </w:r>
      <w:r w:rsidR="00934B5E">
        <w:t xml:space="preserve">Indien er een langer dienstverband </w:t>
      </w:r>
      <w:r w:rsidR="000B1491">
        <w:t>heeft bestaan, dan</w:t>
      </w:r>
      <w:r w:rsidR="00934B5E">
        <w:t xml:space="preserve"> wordt er voor een dezelfd</w:t>
      </w:r>
      <w:r w:rsidR="000B1491">
        <w:t>e ernstig verwijtbare handeling,</w:t>
      </w:r>
      <w:r w:rsidR="00934B5E">
        <w:t xml:space="preserve"> </w:t>
      </w:r>
      <w:r w:rsidR="007E418F">
        <w:t xml:space="preserve">namelijk opzegging in strijd met artikel 7:671 BW, </w:t>
      </w:r>
      <w:r w:rsidR="00934B5E">
        <w:t>een middelhoge billijke vergoeding</w:t>
      </w:r>
      <w:r w:rsidR="00906358">
        <w:t xml:space="preserve"> </w:t>
      </w:r>
      <w:r w:rsidR="00934B5E">
        <w:t>toegekend.</w:t>
      </w:r>
      <w:r w:rsidR="00934B5E">
        <w:rPr>
          <w:rStyle w:val="Voetnootmarkering"/>
        </w:rPr>
        <w:footnoteReference w:id="131"/>
      </w:r>
      <w:r w:rsidR="00934B5E">
        <w:t xml:space="preserve"> </w:t>
      </w:r>
      <w:r w:rsidR="00A33370">
        <w:t>Uiteraard worden er meerdere factoren bij het bepalen van de hoogte van de billijke vergoeding</w:t>
      </w:r>
      <w:r w:rsidR="00156C6F" w:rsidRPr="00156C6F">
        <w:t xml:space="preserve"> </w:t>
      </w:r>
      <w:r w:rsidR="00156C6F">
        <w:t>betrokken</w:t>
      </w:r>
      <w:r w:rsidR="00A33370">
        <w:t>. Zo kan het ook voorkomen dat de werknemer e</w:t>
      </w:r>
      <w:r w:rsidR="00E36706">
        <w:t>en billijke vergoeding toegekend</w:t>
      </w:r>
      <w:r w:rsidR="00A33370">
        <w:t xml:space="preserve"> krijgt van € 60.000,00 i</w:t>
      </w:r>
      <w:r w:rsidR="00934B5E">
        <w:t xml:space="preserve">ndien </w:t>
      </w:r>
      <w:r w:rsidR="000F79CA">
        <w:t>deze</w:t>
      </w:r>
      <w:r w:rsidR="00934B5E">
        <w:t xml:space="preserve"> al </w:t>
      </w:r>
      <w:r w:rsidR="00A33370">
        <w:t>31</w:t>
      </w:r>
      <w:r w:rsidR="00FB1C89">
        <w:t xml:space="preserve"> </w:t>
      </w:r>
      <w:r w:rsidR="00934B5E">
        <w:t xml:space="preserve">jaar in dienst is </w:t>
      </w:r>
      <w:r w:rsidR="00A33370">
        <w:t>en de werkgever zich jegens de werknemer ernstig verwijtbaar heeft gedragen</w:t>
      </w:r>
      <w:r w:rsidR="000B1491">
        <w:t xml:space="preserve"> door bijvoorbeeld de werknemer nooit aan te spreken op </w:t>
      </w:r>
      <w:r w:rsidR="000F79CA">
        <w:t xml:space="preserve">diens </w:t>
      </w:r>
      <w:r w:rsidR="000B1491">
        <w:t xml:space="preserve">vermeende gedrag en </w:t>
      </w:r>
      <w:r w:rsidR="000F79CA">
        <w:t>de werknemer</w:t>
      </w:r>
      <w:r w:rsidR="000B1491">
        <w:t xml:space="preserve"> zonder te horen op non-actief te stellen</w:t>
      </w:r>
      <w:r w:rsidR="00A33370">
        <w:t>.</w:t>
      </w:r>
      <w:r w:rsidR="00A33370">
        <w:rPr>
          <w:rStyle w:val="Voetnootmarkering"/>
        </w:rPr>
        <w:footnoteReference w:id="132"/>
      </w:r>
      <w:r w:rsidR="00A33370">
        <w:t xml:space="preserve"> </w:t>
      </w:r>
    </w:p>
    <w:p w:rsidR="000452C8" w:rsidRDefault="000452C8" w:rsidP="0082756D">
      <w:pPr>
        <w:pStyle w:val="Geenafstand"/>
        <w:spacing w:line="360" w:lineRule="auto"/>
      </w:pPr>
    </w:p>
    <w:p w:rsidR="00660634" w:rsidRDefault="009D1E2D" w:rsidP="0082756D">
      <w:pPr>
        <w:pStyle w:val="Geenafstand"/>
        <w:spacing w:line="360" w:lineRule="auto"/>
      </w:pPr>
      <w:r>
        <w:t>In een ander geval kent de kantonrechter voor het onterecht ontslaan op staande voet een lage billijke vergoeding toe</w:t>
      </w:r>
      <w:r w:rsidR="00906358">
        <w:t xml:space="preserve"> </w:t>
      </w:r>
      <w:r>
        <w:t>met</w:t>
      </w:r>
      <w:r w:rsidR="00906358">
        <w:t xml:space="preserve"> als motivering dat er een kort</w:t>
      </w:r>
      <w:r>
        <w:t xml:space="preserve"> dienstverband heeft bestaan</w:t>
      </w:r>
      <w:r w:rsidR="00BD3E8D">
        <w:t xml:space="preserve"> van minder dan 12 maanden</w:t>
      </w:r>
      <w:r>
        <w:t>.</w:t>
      </w:r>
      <w:r>
        <w:rPr>
          <w:rStyle w:val="Voetnootmarkering"/>
        </w:rPr>
        <w:footnoteReference w:id="133"/>
      </w:r>
      <w:r w:rsidR="00BD3E8D">
        <w:t xml:space="preserve"> </w:t>
      </w:r>
      <w:r w:rsidR="00D60E6D">
        <w:t>Ondanks dat de duur van het dienstv</w:t>
      </w:r>
      <w:r w:rsidR="00906358">
        <w:t xml:space="preserve">erband niet meegewogen hoeft </w:t>
      </w:r>
      <w:r w:rsidR="00D60E6D">
        <w:t>te worden, betrekken</w:t>
      </w:r>
      <w:r w:rsidR="00A33370">
        <w:t xml:space="preserve"> kantonrechter</w:t>
      </w:r>
      <w:r w:rsidR="00D60E6D">
        <w:t>s de duur van</w:t>
      </w:r>
      <w:r w:rsidR="00E36706">
        <w:t xml:space="preserve"> dienstverband </w:t>
      </w:r>
      <w:r w:rsidR="00156C6F">
        <w:t xml:space="preserve">er </w:t>
      </w:r>
      <w:r w:rsidR="00D60E6D">
        <w:t>in sommige gevallen wel</w:t>
      </w:r>
      <w:r w:rsidR="00156C6F">
        <w:t xml:space="preserve"> bij</w:t>
      </w:r>
      <w:r w:rsidR="00D60E6D">
        <w:t>.</w:t>
      </w:r>
    </w:p>
    <w:p w:rsidR="009D1E2D" w:rsidRDefault="009D1E2D" w:rsidP="0082756D">
      <w:pPr>
        <w:pStyle w:val="Geenafstand"/>
        <w:spacing w:line="360" w:lineRule="auto"/>
      </w:pPr>
    </w:p>
    <w:p w:rsidR="00B4318A" w:rsidRDefault="00B4318A" w:rsidP="0082756D">
      <w:pPr>
        <w:pStyle w:val="Geenafstand"/>
        <w:spacing w:line="360" w:lineRule="auto"/>
        <w:rPr>
          <w:b/>
          <w:i/>
        </w:rPr>
      </w:pPr>
    </w:p>
    <w:p w:rsidR="00783C3B" w:rsidRDefault="009D1E2D" w:rsidP="0082756D">
      <w:pPr>
        <w:pStyle w:val="Geenafstand"/>
        <w:spacing w:line="360" w:lineRule="auto"/>
        <w:rPr>
          <w:b/>
          <w:i/>
        </w:rPr>
      </w:pPr>
      <w:r>
        <w:rPr>
          <w:b/>
          <w:i/>
        </w:rPr>
        <w:t>3.3.2</w:t>
      </w:r>
      <w:r w:rsidR="00D16839" w:rsidRPr="0032588D">
        <w:rPr>
          <w:b/>
          <w:i/>
        </w:rPr>
        <w:t xml:space="preserve"> </w:t>
      </w:r>
      <w:r w:rsidR="00783C3B" w:rsidRPr="0032588D">
        <w:rPr>
          <w:b/>
          <w:i/>
        </w:rPr>
        <w:t>Punitief karakter</w:t>
      </w:r>
      <w:r w:rsidR="00783C3B" w:rsidRPr="0032588D">
        <w:rPr>
          <w:rFonts w:hint="eastAsia"/>
          <w:b/>
          <w:i/>
          <w:lang w:eastAsia="ja-JP"/>
        </w:rPr>
        <w:t xml:space="preserve"> en de ernst van het ernstig verwijtbaar handelen</w:t>
      </w:r>
      <w:r w:rsidR="00783C3B" w:rsidRPr="0032588D">
        <w:rPr>
          <w:b/>
          <w:i/>
        </w:rPr>
        <w:t xml:space="preserve"> </w:t>
      </w:r>
      <w:r w:rsidR="00783C3B" w:rsidRPr="0032588D">
        <w:rPr>
          <w:rStyle w:val="Voetnootmarkering"/>
          <w:b/>
          <w:i/>
        </w:rPr>
        <w:footnoteReference w:id="134"/>
      </w:r>
    </w:p>
    <w:p w:rsidR="00D60E6D" w:rsidRDefault="00D60E6D" w:rsidP="0082756D">
      <w:pPr>
        <w:pStyle w:val="Geenafstand"/>
        <w:spacing w:line="360" w:lineRule="auto"/>
      </w:pPr>
    </w:p>
    <w:p w:rsidR="0041587D" w:rsidRDefault="008222D0" w:rsidP="0082756D">
      <w:pPr>
        <w:pStyle w:val="Geenafstand"/>
        <w:spacing w:line="360" w:lineRule="auto"/>
      </w:pPr>
      <w:r>
        <w:t xml:space="preserve">Een onterecht gegeven ontslag op staande voet, het op non-actief stellen zonder de werknemer eerst gehoord te hebben en het niet kunnen aantonen van het disfunctioneren van </w:t>
      </w:r>
      <w:r w:rsidR="00C46FD3">
        <w:t xml:space="preserve">de </w:t>
      </w:r>
      <w:r>
        <w:t>werknemer wordt zo ernstig verwijtbaar geacht</w:t>
      </w:r>
      <w:r w:rsidR="00C46FD3">
        <w:t>,</w:t>
      </w:r>
      <w:r>
        <w:t xml:space="preserve"> dat de kantonrechter onder zulke omstandigheden een hoge billijke vergoeding toekent van € 60.000</w:t>
      </w:r>
      <w:r w:rsidR="000F79CA">
        <w:t>,00</w:t>
      </w:r>
      <w:r>
        <w:t>.</w:t>
      </w:r>
      <w:r>
        <w:rPr>
          <w:rStyle w:val="Voetnootmarkering"/>
        </w:rPr>
        <w:footnoteReference w:id="135"/>
      </w:r>
      <w:r w:rsidR="00DD3B2F">
        <w:t xml:space="preserve"> Deze vergoeding dient een prikkel te geven zodat de werkgever niet hetzelfde herhaalt bij andere werknemers.</w:t>
      </w:r>
      <w:r>
        <w:t xml:space="preserve"> </w:t>
      </w:r>
      <w:r w:rsidR="00B06C72">
        <w:t xml:space="preserve">Indien de werkgever zodanig ernstig verwijtbaar heeft gehandeld, </w:t>
      </w:r>
      <w:r w:rsidR="00280500">
        <w:t xml:space="preserve">zoals bijvoorbeeld het op non-actief stellen zonder behoud van loon </w:t>
      </w:r>
      <w:r w:rsidR="008A5BEC">
        <w:t>en zonder een deugdelijke motivering</w:t>
      </w:r>
      <w:r w:rsidR="002A670A">
        <w:t xml:space="preserve">, </w:t>
      </w:r>
      <w:r w:rsidR="00B06C72">
        <w:t>dan dient de billijke vergoeding een zekere omvang</w:t>
      </w:r>
      <w:r>
        <w:t xml:space="preserve"> </w:t>
      </w:r>
      <w:r w:rsidR="00226B36">
        <w:rPr>
          <w:rStyle w:val="Voetnootmarkering"/>
        </w:rPr>
        <w:footnoteReference w:id="136"/>
      </w:r>
      <w:r w:rsidR="00226B36">
        <w:t xml:space="preserve"> </w:t>
      </w:r>
      <w:r w:rsidR="00B06C72">
        <w:t>te hebben, omdat anders het risico bestaat dat een relatief lage vergoeding voor lief wordt genomen. De hoogte van billijke vergoeding dient ook als een civielrechtelijke sanctie voor het ernstig verwijtbaar gedrag van de werkgever.</w:t>
      </w:r>
      <w:r w:rsidR="00B06C72">
        <w:rPr>
          <w:rStyle w:val="Voetnootmarkering"/>
        </w:rPr>
        <w:footnoteReference w:id="137"/>
      </w:r>
      <w:r w:rsidR="00B06C72">
        <w:t xml:space="preserve"> </w:t>
      </w:r>
      <w:r w:rsidR="00225692">
        <w:t xml:space="preserve">Wat </w:t>
      </w:r>
      <w:r>
        <w:t>opvalt is dat</w:t>
      </w:r>
      <w:r w:rsidR="00225692">
        <w:t xml:space="preserve"> k</w:t>
      </w:r>
      <w:r>
        <w:t>antonrechters</w:t>
      </w:r>
      <w:r w:rsidR="008A5BEC">
        <w:t xml:space="preserve"> in</w:t>
      </w:r>
      <w:r>
        <w:t xml:space="preserve"> andere zaken</w:t>
      </w:r>
      <w:r w:rsidR="00225692">
        <w:t xml:space="preserve">, </w:t>
      </w:r>
      <w:r w:rsidR="00226B36">
        <w:t xml:space="preserve">waarin </w:t>
      </w:r>
      <w:r w:rsidR="00C46FD3">
        <w:t xml:space="preserve">de </w:t>
      </w:r>
      <w:r w:rsidR="00225692">
        <w:t xml:space="preserve">werkgever </w:t>
      </w:r>
      <w:r w:rsidR="000847F9">
        <w:t xml:space="preserve">opzettelijk een onwerkbare situatie heeft gecreëerd, </w:t>
      </w:r>
      <w:r w:rsidR="000F79CA">
        <w:t>meerdere malen</w:t>
      </w:r>
      <w:r w:rsidR="00731CFA">
        <w:t xml:space="preserve"> is </w:t>
      </w:r>
      <w:r w:rsidR="00C46FD3">
        <w:t>over</w:t>
      </w:r>
      <w:r w:rsidR="00731CFA">
        <w:t xml:space="preserve">gegaan </w:t>
      </w:r>
      <w:r w:rsidR="00C46FD3">
        <w:t>tot</w:t>
      </w:r>
      <w:r w:rsidR="00731CFA">
        <w:t xml:space="preserve"> een loonstop en een ontslag op staande voet, zonder de werknemer omtrent dat voornemen tevoren te horen of hem uitleg te geven over zijn situatie</w:t>
      </w:r>
      <w:r w:rsidR="00225692">
        <w:t xml:space="preserve">, een billijke vergoeding toekent van € </w:t>
      </w:r>
      <w:r w:rsidR="00731CFA">
        <w:t>15</w:t>
      </w:r>
      <w:r w:rsidR="00225692">
        <w:t>.000</w:t>
      </w:r>
      <w:r w:rsidR="00C45DCD">
        <w:t>,00</w:t>
      </w:r>
      <w:r w:rsidR="00225692">
        <w:t>.</w:t>
      </w:r>
      <w:r w:rsidR="00225692">
        <w:rPr>
          <w:rStyle w:val="Voetnootmarkering"/>
        </w:rPr>
        <w:footnoteReference w:id="138"/>
      </w:r>
      <w:r w:rsidR="008A5BEC">
        <w:t xml:space="preserve"> </w:t>
      </w:r>
      <w:r w:rsidR="0041587D">
        <w:t>H</w:t>
      </w:r>
      <w:r w:rsidR="00B54A19">
        <w:t xml:space="preserve">et dienstverband van deze zaken </w:t>
      </w:r>
      <w:r w:rsidR="0041587D">
        <w:t xml:space="preserve">is echter </w:t>
      </w:r>
      <w:r w:rsidR="00B54A19">
        <w:t xml:space="preserve">minder lang en het bruto maandsalaris </w:t>
      </w:r>
      <w:r w:rsidR="00C46FD3">
        <w:t xml:space="preserve">ligt </w:t>
      </w:r>
      <w:r w:rsidR="00B54A19">
        <w:t xml:space="preserve">hoger. </w:t>
      </w:r>
      <w:r w:rsidR="00A7675F" w:rsidRPr="00BC3059">
        <w:t xml:space="preserve">In een vrij recente zaak </w:t>
      </w:r>
      <w:r w:rsidR="00A7675F">
        <w:t xml:space="preserve">bepaalt het Hof dat het ontslag op staande voet, gelet op de persoonlijke omstandigheden van de werknemer een te zwaar ingezet middel is geweest. </w:t>
      </w:r>
      <w:r w:rsidR="0041587D">
        <w:t xml:space="preserve">Eerder is al duidelijk geworden dat te zwaar ingezette middelen ernstig verwijtbare handelingen zijn van de werkgever. Het zou, gezien de voorbeelden hierboven, verklaarbaar zijn geweest, als de werknemer een hoge billijke vergoeding toegekend zou krijgen. </w:t>
      </w:r>
    </w:p>
    <w:p w:rsidR="0041587D" w:rsidRDefault="00A7675F" w:rsidP="0082756D">
      <w:pPr>
        <w:pStyle w:val="Geenafstand"/>
        <w:spacing w:line="360" w:lineRule="auto"/>
      </w:pPr>
      <w:r>
        <w:t>Desondanks krijgt de werknemer een lage billijke vergoeding</w:t>
      </w:r>
      <w:r>
        <w:rPr>
          <w:rStyle w:val="Voetnootmarkering"/>
        </w:rPr>
        <w:footnoteReference w:id="139"/>
      </w:r>
      <w:r>
        <w:t xml:space="preserve"> toegekend omdat de </w:t>
      </w:r>
      <w:r w:rsidR="00D451CA">
        <w:t>aangevoerde redenen</w:t>
      </w:r>
      <w:r>
        <w:t xml:space="preserve"> voor het ontslag op staande voet aanleiding hadden kunnen zijn om </w:t>
      </w:r>
      <w:r w:rsidR="00C46FD3">
        <w:t xml:space="preserve">om </w:t>
      </w:r>
      <w:r>
        <w:t xml:space="preserve">een ontbinding van de arbeidsovereenkomst te verzoeken. </w:t>
      </w:r>
    </w:p>
    <w:p w:rsidR="00371F0E" w:rsidRDefault="00A7675F" w:rsidP="0082756D">
      <w:pPr>
        <w:pStyle w:val="Geenafstand"/>
        <w:spacing w:line="360" w:lineRule="auto"/>
      </w:pPr>
      <w:r>
        <w:t xml:space="preserve">De kantonrechter kent een bedrag toe van 3 maandsalarissen omdat naar zijn schatting de arbeidsrelatie nog 3 maanden geduurd zou hebben indien er een verzoek </w:t>
      </w:r>
      <w:r w:rsidR="00C46FD3">
        <w:t xml:space="preserve">tot het ontbinden van de arbeidsovereenkomst </w:t>
      </w:r>
      <w:r>
        <w:t>zou zijn geweest.</w:t>
      </w:r>
      <w:r>
        <w:rPr>
          <w:rStyle w:val="Voetnootmarkering"/>
        </w:rPr>
        <w:footnoteReference w:id="140"/>
      </w:r>
      <w:r>
        <w:t xml:space="preserve">  </w:t>
      </w:r>
    </w:p>
    <w:p w:rsidR="00783C3B" w:rsidRPr="00371F0E" w:rsidRDefault="0082756D" w:rsidP="0082756D">
      <w:pPr>
        <w:pStyle w:val="Geenafstand"/>
        <w:spacing w:line="360" w:lineRule="auto"/>
      </w:pPr>
      <w:r>
        <w:rPr>
          <w:b/>
          <w:i/>
          <w:lang w:eastAsia="ja-JP"/>
        </w:rPr>
        <w:t>3.3.3</w:t>
      </w:r>
      <w:r w:rsidR="00D16839" w:rsidRPr="0032588D">
        <w:rPr>
          <w:b/>
          <w:i/>
          <w:lang w:eastAsia="ja-JP"/>
        </w:rPr>
        <w:t xml:space="preserve"> </w:t>
      </w:r>
      <w:r w:rsidR="00783C3B" w:rsidRPr="0032588D">
        <w:rPr>
          <w:rFonts w:hint="eastAsia"/>
          <w:b/>
          <w:i/>
          <w:lang w:eastAsia="ja-JP"/>
        </w:rPr>
        <w:t>Omstandigheden werknemer</w:t>
      </w:r>
    </w:p>
    <w:p w:rsidR="0082756D" w:rsidRDefault="0082756D" w:rsidP="0082756D">
      <w:pPr>
        <w:pStyle w:val="Geenafstand"/>
        <w:spacing w:line="360" w:lineRule="auto"/>
        <w:rPr>
          <w:lang w:eastAsia="ja-JP"/>
        </w:rPr>
      </w:pPr>
    </w:p>
    <w:p w:rsidR="009D1E2D" w:rsidRDefault="00AA111C" w:rsidP="0082756D">
      <w:pPr>
        <w:pStyle w:val="Geenafstand"/>
        <w:spacing w:line="360" w:lineRule="auto"/>
        <w:rPr>
          <w:b/>
          <w:i/>
          <w:lang w:eastAsia="ja-JP"/>
        </w:rPr>
      </w:pPr>
      <w:r>
        <w:rPr>
          <w:lang w:eastAsia="ja-JP"/>
        </w:rPr>
        <w:t>Bij het bepalen van de hoogte van billijke vergoeding wordt ook rekening gehouden met de o</w:t>
      </w:r>
      <w:r w:rsidR="00DD3B2F">
        <w:rPr>
          <w:lang w:eastAsia="ja-JP"/>
        </w:rPr>
        <w:t>mstandigheden van de werknemer.</w:t>
      </w:r>
      <w:r w:rsidR="00DD3B2F" w:rsidRPr="0032588D">
        <w:rPr>
          <w:rStyle w:val="Voetnootmarkering"/>
          <w:b/>
          <w:i/>
          <w:color w:val="000000"/>
        </w:rPr>
        <w:footnoteReference w:id="141"/>
      </w:r>
      <w:r w:rsidR="006D1D1A">
        <w:rPr>
          <w:lang w:eastAsia="ja-JP"/>
        </w:rPr>
        <w:t xml:space="preserve"> </w:t>
      </w:r>
      <w:r w:rsidR="00DD3B2F">
        <w:rPr>
          <w:lang w:eastAsia="ja-JP"/>
        </w:rPr>
        <w:t>Indien de werknemer op oudere leeftijd onterecht wordt ontslagen en de kans op het vinden van een nieuwe baan zeer klein is, wordt da</w:t>
      </w:r>
      <w:r w:rsidR="00F80416">
        <w:rPr>
          <w:lang w:eastAsia="ja-JP"/>
        </w:rPr>
        <w:t>t de werkgever zwaar aangerekend</w:t>
      </w:r>
      <w:r w:rsidR="00DD3B2F">
        <w:rPr>
          <w:lang w:eastAsia="ja-JP"/>
        </w:rPr>
        <w:t>.</w:t>
      </w:r>
      <w:r w:rsidR="00DD3B2F">
        <w:rPr>
          <w:rStyle w:val="Voetnootmarkering"/>
          <w:lang w:eastAsia="ja-JP"/>
        </w:rPr>
        <w:footnoteReference w:id="142"/>
      </w:r>
      <w:r w:rsidR="00DD3B2F">
        <w:rPr>
          <w:lang w:eastAsia="ja-JP"/>
        </w:rPr>
        <w:t xml:space="preserve"> </w:t>
      </w:r>
      <w:r w:rsidR="0085115F">
        <w:rPr>
          <w:lang w:eastAsia="ja-JP"/>
        </w:rPr>
        <w:t xml:space="preserve">In een andere zaak motiveert de kantonrechter dat een billijke vergoeding van </w:t>
      </w:r>
      <w:r w:rsidR="00F80416">
        <w:rPr>
          <w:lang w:eastAsia="ja-JP"/>
        </w:rPr>
        <w:t xml:space="preserve">slechts </w:t>
      </w:r>
      <w:r w:rsidR="0085115F">
        <w:rPr>
          <w:lang w:eastAsia="ja-JP"/>
        </w:rPr>
        <w:t xml:space="preserve">€ 500,00 op zijn plaats is gezien de leeftijd van de werknemer en zijn </w:t>
      </w:r>
      <w:r w:rsidR="007C5000">
        <w:rPr>
          <w:lang w:eastAsia="ja-JP"/>
        </w:rPr>
        <w:t>grote</w:t>
      </w:r>
      <w:r w:rsidR="0085115F">
        <w:rPr>
          <w:lang w:eastAsia="ja-JP"/>
        </w:rPr>
        <w:t xml:space="preserve"> kansen op de arbeidsmarkt.</w:t>
      </w:r>
      <w:r w:rsidR="0085115F">
        <w:rPr>
          <w:rStyle w:val="Voetnootmarkering"/>
          <w:lang w:eastAsia="ja-JP"/>
        </w:rPr>
        <w:footnoteReference w:id="143"/>
      </w:r>
      <w:r w:rsidR="0085115F">
        <w:rPr>
          <w:lang w:eastAsia="ja-JP"/>
        </w:rPr>
        <w:t xml:space="preserve"> </w:t>
      </w:r>
      <w:r w:rsidR="007E3273">
        <w:rPr>
          <w:lang w:eastAsia="ja-JP"/>
        </w:rPr>
        <w:t>Ook wordt er rekening gehouden met een werknemer die arbeidsongeschikt is. De</w:t>
      </w:r>
      <w:r w:rsidR="00F80416">
        <w:rPr>
          <w:lang w:eastAsia="ja-JP"/>
        </w:rPr>
        <w:t xml:space="preserve"> relatief hoge</w:t>
      </w:r>
      <w:r w:rsidR="007E3273">
        <w:rPr>
          <w:lang w:eastAsia="ja-JP"/>
        </w:rPr>
        <w:t xml:space="preserve"> billijke vergoeding dient dan als een aanvulling op </w:t>
      </w:r>
      <w:r w:rsidR="007C5000">
        <w:rPr>
          <w:lang w:eastAsia="ja-JP"/>
        </w:rPr>
        <w:t>de</w:t>
      </w:r>
      <w:r w:rsidR="007E3273">
        <w:rPr>
          <w:lang w:eastAsia="ja-JP"/>
        </w:rPr>
        <w:t xml:space="preserve"> z</w:t>
      </w:r>
      <w:r w:rsidR="00241EE4">
        <w:rPr>
          <w:lang w:eastAsia="ja-JP"/>
        </w:rPr>
        <w:t>iektewetuitkering.</w:t>
      </w:r>
      <w:r w:rsidR="00241EE4">
        <w:rPr>
          <w:rStyle w:val="Voetnootmarkering"/>
          <w:lang w:eastAsia="ja-JP"/>
        </w:rPr>
        <w:footnoteReference w:id="144"/>
      </w:r>
    </w:p>
    <w:p w:rsidR="00364900" w:rsidRDefault="00364900" w:rsidP="0082756D">
      <w:pPr>
        <w:pStyle w:val="Geenafstand"/>
        <w:spacing w:line="360" w:lineRule="auto"/>
        <w:rPr>
          <w:b/>
          <w:i/>
          <w:lang w:eastAsia="ja-JP"/>
        </w:rPr>
      </w:pPr>
    </w:p>
    <w:p w:rsidR="009D1E2D" w:rsidRDefault="0082756D" w:rsidP="0082756D">
      <w:pPr>
        <w:pStyle w:val="Geenafstand"/>
        <w:spacing w:line="360" w:lineRule="auto"/>
        <w:rPr>
          <w:b/>
          <w:i/>
          <w:lang w:eastAsia="ja-JP"/>
        </w:rPr>
      </w:pPr>
      <w:r>
        <w:rPr>
          <w:b/>
          <w:i/>
          <w:lang w:eastAsia="ja-JP"/>
        </w:rPr>
        <w:t>3.3.4</w:t>
      </w:r>
      <w:r w:rsidR="00D16839" w:rsidRPr="0032588D">
        <w:rPr>
          <w:b/>
          <w:i/>
          <w:lang w:eastAsia="ja-JP"/>
        </w:rPr>
        <w:t xml:space="preserve"> </w:t>
      </w:r>
      <w:r w:rsidR="00783C3B" w:rsidRPr="0032588D">
        <w:rPr>
          <w:rFonts w:hint="eastAsia"/>
          <w:b/>
          <w:i/>
          <w:lang w:eastAsia="ja-JP"/>
        </w:rPr>
        <w:t>Omstandigheden werkgever</w:t>
      </w:r>
      <w:r w:rsidR="00783C3B" w:rsidRPr="0032588D">
        <w:rPr>
          <w:rStyle w:val="Voetnootmarkering"/>
          <w:b/>
          <w:i/>
          <w:lang w:eastAsia="ja-JP"/>
        </w:rPr>
        <w:footnoteReference w:id="145"/>
      </w:r>
      <w:r w:rsidR="00783C3B" w:rsidRPr="0032588D">
        <w:rPr>
          <w:b/>
          <w:i/>
          <w:lang w:eastAsia="ja-JP"/>
        </w:rPr>
        <w:t xml:space="preserve"> </w:t>
      </w:r>
    </w:p>
    <w:p w:rsidR="0082756D" w:rsidRDefault="0082756D" w:rsidP="0082756D">
      <w:pPr>
        <w:pStyle w:val="Geenafstand"/>
        <w:spacing w:line="360" w:lineRule="auto"/>
        <w:rPr>
          <w:lang w:eastAsia="ja-JP"/>
        </w:rPr>
      </w:pPr>
    </w:p>
    <w:p w:rsidR="00B14DAD" w:rsidRDefault="00D8581F" w:rsidP="0082756D">
      <w:pPr>
        <w:pStyle w:val="Geenafstand"/>
        <w:spacing w:line="360" w:lineRule="auto"/>
        <w:rPr>
          <w:lang w:eastAsia="ja-JP"/>
        </w:rPr>
      </w:pPr>
      <w:r>
        <w:rPr>
          <w:lang w:eastAsia="ja-JP"/>
        </w:rPr>
        <w:t>Indien de werkgever in ee</w:t>
      </w:r>
      <w:r w:rsidR="00B14DAD">
        <w:rPr>
          <w:lang w:eastAsia="ja-JP"/>
        </w:rPr>
        <w:t>n slechte financiële situatie ver</w:t>
      </w:r>
      <w:r>
        <w:rPr>
          <w:lang w:eastAsia="ja-JP"/>
        </w:rPr>
        <w:t xml:space="preserve">keert, wordt dat meegewogen in het besluit tot het uitkeren van de billijke vergoeding. </w:t>
      </w:r>
      <w:r>
        <w:rPr>
          <w:rStyle w:val="Voetnootmarkering"/>
          <w:lang w:eastAsia="ja-JP"/>
        </w:rPr>
        <w:footnoteReference w:id="146"/>
      </w:r>
      <w:r w:rsidR="00F46005">
        <w:rPr>
          <w:lang w:eastAsia="ja-JP"/>
        </w:rPr>
        <w:t xml:space="preserve"> Indien de werkgever op geen enkele wijze met stukken kan onderbouwen dat zijn financiële situatie er slecht aan toe is, dan wordt daar op geen enkele manier rekening mee gehouden bij het bepalen van de hoogte van billijke vergoeding.</w:t>
      </w:r>
      <w:r w:rsidR="00F46005">
        <w:rPr>
          <w:rStyle w:val="Voetnootmarkering"/>
          <w:lang w:eastAsia="ja-JP"/>
        </w:rPr>
        <w:footnoteReference w:id="147"/>
      </w:r>
      <w:r w:rsidR="00790C10">
        <w:rPr>
          <w:lang w:eastAsia="ja-JP"/>
        </w:rPr>
        <w:t xml:space="preserve"> Ook wordt er </w:t>
      </w:r>
      <w:r w:rsidR="00BC3059">
        <w:rPr>
          <w:lang w:eastAsia="ja-JP"/>
        </w:rPr>
        <w:t xml:space="preserve">bij het bepalen van de hoogte van de billijke vergoeding </w:t>
      </w:r>
      <w:r w:rsidR="00790C10">
        <w:rPr>
          <w:lang w:eastAsia="ja-JP"/>
        </w:rPr>
        <w:t xml:space="preserve">rekening gehouden </w:t>
      </w:r>
      <w:r w:rsidR="007C5000">
        <w:rPr>
          <w:lang w:eastAsia="ja-JP"/>
        </w:rPr>
        <w:t xml:space="preserve">met de omvang van het bedrijf. </w:t>
      </w:r>
      <w:r w:rsidR="00D451CA">
        <w:rPr>
          <w:lang w:eastAsia="ja-JP"/>
        </w:rPr>
        <w:t>Indien</w:t>
      </w:r>
      <w:r w:rsidR="00790C10">
        <w:rPr>
          <w:lang w:eastAsia="ja-JP"/>
        </w:rPr>
        <w:t xml:space="preserve"> er sprake is van een klein bedrijfje</w:t>
      </w:r>
      <w:r w:rsidR="007C5000">
        <w:rPr>
          <w:lang w:eastAsia="ja-JP"/>
        </w:rPr>
        <w:t xml:space="preserve"> is</w:t>
      </w:r>
      <w:r w:rsidR="00B14DAD">
        <w:rPr>
          <w:lang w:eastAsia="ja-JP"/>
        </w:rPr>
        <w:t xml:space="preserve"> </w:t>
      </w:r>
      <w:r w:rsidR="007C5000">
        <w:rPr>
          <w:lang w:eastAsia="ja-JP"/>
        </w:rPr>
        <w:t>d</w:t>
      </w:r>
      <w:r w:rsidR="00B14DAD">
        <w:rPr>
          <w:lang w:eastAsia="ja-JP"/>
        </w:rPr>
        <w:t>e uitkering relatief laag.</w:t>
      </w:r>
      <w:r w:rsidR="00B14DAD">
        <w:rPr>
          <w:rStyle w:val="Voetnootmarkering"/>
          <w:lang w:eastAsia="ja-JP"/>
        </w:rPr>
        <w:footnoteReference w:id="148"/>
      </w:r>
      <w:r w:rsidR="00371F0E">
        <w:rPr>
          <w:lang w:eastAsia="ja-JP"/>
        </w:rPr>
        <w:t xml:space="preserve"> </w:t>
      </w:r>
      <w:r w:rsidR="00BC3059">
        <w:rPr>
          <w:lang w:eastAsia="ja-JP"/>
        </w:rPr>
        <w:t xml:space="preserve">Zo wordt er bijvoorbeeld ook </w:t>
      </w:r>
      <w:r w:rsidR="007C5000">
        <w:rPr>
          <w:lang w:eastAsia="ja-JP"/>
        </w:rPr>
        <w:t xml:space="preserve">naar </w:t>
      </w:r>
      <w:r w:rsidR="00BC3059">
        <w:rPr>
          <w:lang w:eastAsia="ja-JP"/>
        </w:rPr>
        <w:t xml:space="preserve">gekeken dat de billijke vergoeding niet even hoog is als </w:t>
      </w:r>
      <w:r w:rsidR="003D2D5F">
        <w:rPr>
          <w:lang w:eastAsia="ja-JP"/>
        </w:rPr>
        <w:t>de jaarlijkse winstuitkering aan de partners van de werkgever</w:t>
      </w:r>
      <w:r w:rsidR="00B14DAD">
        <w:rPr>
          <w:lang w:eastAsia="ja-JP"/>
        </w:rPr>
        <w:t xml:space="preserve"> en wordt om die reden een relatief lage uitkering toegekend</w:t>
      </w:r>
      <w:r w:rsidR="003D2D5F">
        <w:rPr>
          <w:lang w:eastAsia="ja-JP"/>
        </w:rPr>
        <w:t>.</w:t>
      </w:r>
      <w:r w:rsidR="003D2D5F">
        <w:rPr>
          <w:rStyle w:val="Voetnootmarkering"/>
          <w:lang w:eastAsia="ja-JP"/>
        </w:rPr>
        <w:footnoteReference w:id="149"/>
      </w:r>
    </w:p>
    <w:p w:rsidR="00B14DAD" w:rsidRDefault="00B14DAD" w:rsidP="0082756D">
      <w:pPr>
        <w:pStyle w:val="Geenafstand"/>
        <w:spacing w:line="360" w:lineRule="auto"/>
        <w:rPr>
          <w:b/>
          <w:spacing w:val="-3"/>
          <w:lang w:eastAsia="nl-NL"/>
        </w:rPr>
      </w:pPr>
    </w:p>
    <w:p w:rsidR="006D1D1A" w:rsidRDefault="006D1D1A" w:rsidP="0082756D">
      <w:pPr>
        <w:pStyle w:val="Geenafstand"/>
        <w:spacing w:line="360" w:lineRule="auto"/>
        <w:rPr>
          <w:b/>
          <w:spacing w:val="-3"/>
          <w:lang w:eastAsia="nl-NL"/>
        </w:rPr>
      </w:pPr>
    </w:p>
    <w:p w:rsidR="00371F0E" w:rsidRDefault="00371F0E" w:rsidP="0082756D">
      <w:pPr>
        <w:pStyle w:val="Geenafstand"/>
        <w:spacing w:line="360" w:lineRule="auto"/>
        <w:rPr>
          <w:b/>
          <w:spacing w:val="-3"/>
          <w:lang w:eastAsia="nl-NL"/>
        </w:rPr>
      </w:pPr>
    </w:p>
    <w:p w:rsidR="00371F0E" w:rsidRDefault="00371F0E" w:rsidP="0082756D">
      <w:pPr>
        <w:pStyle w:val="Geenafstand"/>
        <w:spacing w:line="360" w:lineRule="auto"/>
        <w:rPr>
          <w:b/>
          <w:spacing w:val="-3"/>
          <w:lang w:eastAsia="nl-NL"/>
        </w:rPr>
      </w:pPr>
    </w:p>
    <w:p w:rsidR="00C01DAF" w:rsidRPr="00B14DAD" w:rsidRDefault="0082756D" w:rsidP="0082756D">
      <w:pPr>
        <w:pStyle w:val="Geenafstand"/>
        <w:spacing w:line="360" w:lineRule="auto"/>
        <w:rPr>
          <w:lang w:eastAsia="ja-JP"/>
        </w:rPr>
      </w:pPr>
      <w:r>
        <w:rPr>
          <w:b/>
          <w:spacing w:val="-3"/>
          <w:lang w:eastAsia="nl-NL"/>
        </w:rPr>
        <w:lastRenderedPageBreak/>
        <w:t>3.3.5</w:t>
      </w:r>
      <w:r w:rsidR="00364900">
        <w:rPr>
          <w:b/>
          <w:spacing w:val="-3"/>
          <w:lang w:eastAsia="nl-NL"/>
        </w:rPr>
        <w:t xml:space="preserve"> Conclusie </w:t>
      </w:r>
    </w:p>
    <w:p w:rsidR="0082756D" w:rsidRDefault="0082756D" w:rsidP="0082756D">
      <w:pPr>
        <w:pStyle w:val="Geenafstand"/>
        <w:spacing w:line="360" w:lineRule="auto"/>
        <w:rPr>
          <w:color w:val="000000" w:themeColor="text1"/>
          <w:lang w:eastAsia="ja-JP"/>
        </w:rPr>
      </w:pPr>
    </w:p>
    <w:p w:rsidR="004854F0" w:rsidRDefault="004854F0" w:rsidP="0082756D">
      <w:pPr>
        <w:pStyle w:val="Geenafstand"/>
        <w:spacing w:line="360" w:lineRule="auto"/>
        <w:rPr>
          <w:color w:val="000000" w:themeColor="text1"/>
          <w:lang w:eastAsia="ja-JP"/>
        </w:rPr>
      </w:pPr>
      <w:r>
        <w:rPr>
          <w:rFonts w:hint="eastAsia"/>
          <w:color w:val="000000" w:themeColor="text1"/>
          <w:lang w:eastAsia="ja-JP"/>
        </w:rPr>
        <w:t>Uit het jurisprudentieonderzoek mag het volgende geconcludeerd worden</w:t>
      </w:r>
      <w:r>
        <w:rPr>
          <w:color w:val="000000" w:themeColor="text1"/>
          <w:lang w:eastAsia="ja-JP"/>
        </w:rPr>
        <w:t xml:space="preserve"> met betrekking tot het bepalen van de hoogte van de billijke vergoeding</w:t>
      </w:r>
      <w:r>
        <w:rPr>
          <w:rFonts w:hint="eastAsia"/>
          <w:color w:val="000000" w:themeColor="text1"/>
          <w:lang w:eastAsia="ja-JP"/>
        </w:rPr>
        <w:t xml:space="preserve">: </w:t>
      </w:r>
    </w:p>
    <w:p w:rsidR="004854F0" w:rsidRPr="004E506A" w:rsidRDefault="004E506A" w:rsidP="0082756D">
      <w:pPr>
        <w:pStyle w:val="Geenafstand"/>
        <w:numPr>
          <w:ilvl w:val="0"/>
          <w:numId w:val="10"/>
        </w:numPr>
        <w:spacing w:line="360" w:lineRule="auto"/>
      </w:pPr>
      <w:r>
        <w:t>Ondanks dat d</w:t>
      </w:r>
      <w:r w:rsidRPr="004854F0">
        <w:rPr>
          <w:rFonts w:cstheme="minorHAnsi"/>
          <w:color w:val="000000"/>
          <w:shd w:val="clear" w:color="auto" w:fill="FFFFFF"/>
        </w:rPr>
        <w:t>e hoogte van de billijke vergoeding moet worden bepaald op een wijze</w:t>
      </w:r>
      <w:r w:rsidR="00095ACE">
        <w:rPr>
          <w:rFonts w:cstheme="minorHAnsi"/>
          <w:color w:val="000000"/>
          <w:shd w:val="clear" w:color="auto" w:fill="FFFFFF"/>
        </w:rPr>
        <w:t xml:space="preserve"> die</w:t>
      </w:r>
      <w:r w:rsidRPr="004854F0">
        <w:rPr>
          <w:rFonts w:cstheme="minorHAnsi"/>
          <w:color w:val="000000"/>
          <w:shd w:val="clear" w:color="auto" w:fill="FFFFFF"/>
        </w:rPr>
        <w:t xml:space="preserve"> en op het niveau dat aansluit bij de uitzonderlijke omstandigheden van het geval, waarbij criteria als loon en lengte van het dienstverband geen rol hoeven te spelen</w:t>
      </w:r>
      <w:r>
        <w:rPr>
          <w:rFonts w:cstheme="minorHAnsi"/>
          <w:color w:val="000000"/>
          <w:shd w:val="clear" w:color="auto" w:fill="FFFFFF"/>
        </w:rPr>
        <w:t xml:space="preserve">, wordt er vaak wel gekeken naar de lengte van het dienstverband. </w:t>
      </w:r>
    </w:p>
    <w:p w:rsidR="004E506A" w:rsidRDefault="004E506A" w:rsidP="0082756D">
      <w:pPr>
        <w:pStyle w:val="Geenafstand"/>
        <w:numPr>
          <w:ilvl w:val="0"/>
          <w:numId w:val="10"/>
        </w:numPr>
        <w:spacing w:line="360" w:lineRule="auto"/>
      </w:pPr>
      <w:r>
        <w:t xml:space="preserve">Bij een kort dienstverband van maximaal 12 maanden wordt er een relatief lage billijke vergoeding toegekend. </w:t>
      </w:r>
    </w:p>
    <w:p w:rsidR="004E506A" w:rsidRDefault="004E506A" w:rsidP="0082756D">
      <w:pPr>
        <w:pStyle w:val="Geenafstand"/>
        <w:numPr>
          <w:ilvl w:val="0"/>
          <w:numId w:val="10"/>
        </w:numPr>
        <w:spacing w:line="360" w:lineRule="auto"/>
      </w:pPr>
      <w:r>
        <w:t>Bij een dienstverband van 10 jaar of meer wordt er een relatief hogere billijke vergoeding toegekend.</w:t>
      </w:r>
    </w:p>
    <w:p w:rsidR="004E506A" w:rsidRDefault="004E506A" w:rsidP="0082756D">
      <w:pPr>
        <w:pStyle w:val="Geenafstand"/>
        <w:numPr>
          <w:ilvl w:val="0"/>
          <w:numId w:val="10"/>
        </w:numPr>
        <w:spacing w:line="360" w:lineRule="auto"/>
      </w:pPr>
      <w:r>
        <w:t xml:space="preserve">Bij een dienstverband </w:t>
      </w:r>
      <w:r w:rsidR="00095ACE">
        <w:t>van meer dan</w:t>
      </w:r>
      <w:r>
        <w:t xml:space="preserve"> 30 jaar wordt er een hoge billijke vergoeding toegekend.</w:t>
      </w:r>
    </w:p>
    <w:p w:rsidR="004E506A" w:rsidRPr="004E506A" w:rsidRDefault="004E506A" w:rsidP="0082756D">
      <w:pPr>
        <w:pStyle w:val="Geenafstand"/>
        <w:numPr>
          <w:ilvl w:val="0"/>
          <w:numId w:val="10"/>
        </w:numPr>
        <w:spacing w:line="360" w:lineRule="auto"/>
      </w:pPr>
      <w:r w:rsidRPr="004E506A">
        <w:t>Voor het begaan van ongeveer dezelfde ernstig verwijtbare handelingen worden er vergoedingen uitgekeerd tusse</w:t>
      </w:r>
      <w:r>
        <w:t>n de € 6</w:t>
      </w:r>
      <w:r w:rsidRPr="004E506A">
        <w:t>.000</w:t>
      </w:r>
      <w:r w:rsidR="006D1D1A">
        <w:t>,00</w:t>
      </w:r>
      <w:r w:rsidRPr="004E506A">
        <w:t xml:space="preserve"> en € 60.000</w:t>
      </w:r>
      <w:r w:rsidR="006D1D1A">
        <w:t>,00</w:t>
      </w:r>
      <w:r w:rsidRPr="004E506A">
        <w:t>. Ondanks dat de lengte van het dienstverband en de hoogte van loon geen rol hoeven te spelen bij het bepalen van de hoogte van bi</w:t>
      </w:r>
      <w:r w:rsidR="006D1D1A">
        <w:t>llijke vergoeding, valt het</w:t>
      </w:r>
      <w:r w:rsidRPr="004E506A">
        <w:t xml:space="preserve"> op dat deze factoren wel degelijk een grote rol spelen. </w:t>
      </w:r>
    </w:p>
    <w:p w:rsidR="004E506A" w:rsidRDefault="004E506A" w:rsidP="0082756D">
      <w:pPr>
        <w:pStyle w:val="Geenafstand"/>
        <w:numPr>
          <w:ilvl w:val="0"/>
          <w:numId w:val="10"/>
        </w:numPr>
        <w:spacing w:line="360" w:lineRule="auto"/>
      </w:pPr>
      <w:r>
        <w:t xml:space="preserve">Indien de werknemer een </w:t>
      </w:r>
      <w:r w:rsidR="00095ACE">
        <w:t>grote</w:t>
      </w:r>
      <w:r>
        <w:t xml:space="preserve"> kans heeft op de arbeidsmarkt, gezien de leeftijd en de gezondheid van de werknemer, dan wordt er e</w:t>
      </w:r>
      <w:r w:rsidR="008C2A2C">
        <w:t>en lagere vergoeding uitgekeerd</w:t>
      </w:r>
      <w:r>
        <w:t>.</w:t>
      </w:r>
      <w:r w:rsidR="008C2A2C">
        <w:t xml:space="preserve"> Andersom geldt dat i</w:t>
      </w:r>
      <w:r>
        <w:t>ndien de werknemer</w:t>
      </w:r>
      <w:r w:rsidR="00095ACE">
        <w:t>,</w:t>
      </w:r>
      <w:r>
        <w:t xml:space="preserve"> </w:t>
      </w:r>
      <w:r w:rsidR="00095ACE">
        <w:t xml:space="preserve">gezien de gezondheid en leeftijd van de werknemer, </w:t>
      </w:r>
      <w:r>
        <w:t xml:space="preserve">een </w:t>
      </w:r>
      <w:r w:rsidR="00095ACE">
        <w:t>kleine</w:t>
      </w:r>
      <w:r>
        <w:t xml:space="preserve"> k</w:t>
      </w:r>
      <w:r w:rsidR="00D451CA">
        <w:t xml:space="preserve">ans heeft op de arbeidsmarkt, </w:t>
      </w:r>
      <w:r>
        <w:t xml:space="preserve">er een hogere billijke vergoeding </w:t>
      </w:r>
      <w:r w:rsidR="006D1D1A">
        <w:t xml:space="preserve">wordt </w:t>
      </w:r>
      <w:r>
        <w:t>toegekend.</w:t>
      </w:r>
    </w:p>
    <w:p w:rsidR="004E506A" w:rsidRDefault="004E506A" w:rsidP="0082756D">
      <w:pPr>
        <w:pStyle w:val="Geenafstand"/>
        <w:numPr>
          <w:ilvl w:val="0"/>
          <w:numId w:val="10"/>
        </w:numPr>
        <w:spacing w:line="360" w:lineRule="auto"/>
      </w:pPr>
      <w:r>
        <w:t xml:space="preserve">Indien de werkgever een slechte financiële situatie met stukken kan onderbouwen, dan wordt daar rekening mee gehouden bij het bepalen van de </w:t>
      </w:r>
      <w:r w:rsidR="008C2A2C">
        <w:t>hoogte van billijke vergoeding. Andersom geldt dat i</w:t>
      </w:r>
      <w:r>
        <w:t>ndien de slechte financiële situatie niet aangetoond kan worden</w:t>
      </w:r>
      <w:r w:rsidR="00095ACE">
        <w:t>,</w:t>
      </w:r>
      <w:r>
        <w:t xml:space="preserve"> daar op geen enkele wijze rekening mee </w:t>
      </w:r>
      <w:r w:rsidR="00095ACE">
        <w:t xml:space="preserve">wordt </w:t>
      </w:r>
      <w:r>
        <w:t xml:space="preserve">gehouden. </w:t>
      </w:r>
    </w:p>
    <w:p w:rsidR="007E6428" w:rsidRDefault="007E6428">
      <w:pPr>
        <w:rPr>
          <w:b/>
          <w:spacing w:val="-3"/>
          <w:lang w:eastAsia="nl-NL"/>
        </w:rPr>
      </w:pPr>
      <w:r>
        <w:rPr>
          <w:b/>
          <w:spacing w:val="-3"/>
          <w:lang w:eastAsia="nl-NL"/>
        </w:rPr>
        <w:br w:type="page"/>
      </w:r>
    </w:p>
    <w:p w:rsidR="0064588A" w:rsidRPr="009A1473" w:rsidRDefault="00D16839" w:rsidP="00C45DCD">
      <w:pPr>
        <w:pStyle w:val="Kop1"/>
        <w:rPr>
          <w:color w:val="auto"/>
          <w:lang w:eastAsia="nl-NL"/>
        </w:rPr>
      </w:pPr>
      <w:bookmarkStart w:id="15" w:name="_Toc472509272"/>
      <w:r w:rsidRPr="009A1473">
        <w:rPr>
          <w:color w:val="auto"/>
          <w:lang w:eastAsia="nl-NL"/>
        </w:rPr>
        <w:lastRenderedPageBreak/>
        <w:t>H</w:t>
      </w:r>
      <w:r w:rsidR="0064588A" w:rsidRPr="009A1473">
        <w:rPr>
          <w:color w:val="auto"/>
          <w:lang w:eastAsia="nl-NL"/>
        </w:rPr>
        <w:t>oofdstuk 4: Resultaten</w:t>
      </w:r>
      <w:r w:rsidR="00C45DCD" w:rsidRPr="009A1473">
        <w:rPr>
          <w:color w:val="auto"/>
          <w:lang w:eastAsia="nl-NL"/>
        </w:rPr>
        <w:t>: beantwoording centrale vraag</w:t>
      </w:r>
      <w:bookmarkEnd w:id="15"/>
    </w:p>
    <w:p w:rsidR="00C45DCD" w:rsidRDefault="00C45DCD"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rPr>
      </w:pPr>
    </w:p>
    <w:p w:rsidR="00637FD9" w:rsidRDefault="00637FD9"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i/>
          <w:color w:val="000000" w:themeColor="text1"/>
        </w:rPr>
      </w:pPr>
      <w:r w:rsidRPr="00637FD9">
        <w:rPr>
          <w:color w:val="000000" w:themeColor="text1"/>
        </w:rPr>
        <w:t xml:space="preserve">In dit hoofdstuk </w:t>
      </w:r>
      <w:r>
        <w:rPr>
          <w:color w:val="000000" w:themeColor="text1"/>
        </w:rPr>
        <w:t>wordt de hoofdvraag van het onderzoek beantwoord. Naar aanleiding van het uitgebreide theorie</w:t>
      </w:r>
      <w:r w:rsidR="00142087">
        <w:rPr>
          <w:color w:val="000000" w:themeColor="text1"/>
        </w:rPr>
        <w:t>-</w:t>
      </w:r>
      <w:r>
        <w:rPr>
          <w:color w:val="000000" w:themeColor="text1"/>
        </w:rPr>
        <w:t xml:space="preserve"> en praktijkonderzoek kan er een betrouwbare en valide conclusie worden getrokken. De hoofdvraag van het onderzoek luidt als volgt:</w:t>
      </w:r>
    </w:p>
    <w:p w:rsidR="00C45DCD" w:rsidRDefault="00C45DCD"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i/>
          <w:color w:val="000000" w:themeColor="text1"/>
        </w:rPr>
      </w:pPr>
    </w:p>
    <w:p w:rsidR="0064588A" w:rsidRDefault="0064588A"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i/>
          <w:color w:val="000000" w:themeColor="text1"/>
          <w:spacing w:val="-3"/>
          <w:lang w:eastAsia="nl-NL"/>
        </w:rPr>
      </w:pPr>
      <w:r w:rsidRPr="00637FD9">
        <w:rPr>
          <w:b/>
          <w:i/>
          <w:color w:val="000000" w:themeColor="text1"/>
        </w:rPr>
        <w:t xml:space="preserve">Welk advies kan </w:t>
      </w:r>
      <w:r w:rsidR="00A12D7F" w:rsidRPr="00637FD9">
        <w:rPr>
          <w:b/>
          <w:i/>
          <w:color w:val="000000" w:themeColor="text1"/>
        </w:rPr>
        <w:t xml:space="preserve">aan </w:t>
      </w:r>
      <w:r w:rsidRPr="00637FD9">
        <w:rPr>
          <w:b/>
          <w:i/>
          <w:spacing w:val="-3"/>
          <w:lang w:eastAsia="nl-NL"/>
        </w:rPr>
        <w:t xml:space="preserve">Van Diepen en Van der Kroef Advocaten </w:t>
      </w:r>
      <w:r w:rsidRPr="00637FD9">
        <w:rPr>
          <w:b/>
          <w:i/>
          <w:color w:val="000000" w:themeColor="text1"/>
        </w:rPr>
        <w:t xml:space="preserve">worden gegeven, als het gaat om </w:t>
      </w:r>
      <w:r w:rsidRPr="00637FD9">
        <w:rPr>
          <w:b/>
          <w:i/>
          <w:color w:val="000000" w:themeColor="text1"/>
          <w:spacing w:val="-3"/>
          <w:lang w:eastAsia="nl-NL"/>
        </w:rPr>
        <w:t xml:space="preserve">het toekennen van de billijke vergoeding en </w:t>
      </w:r>
      <w:r w:rsidR="00D451CA" w:rsidRPr="00637FD9">
        <w:rPr>
          <w:b/>
          <w:i/>
          <w:color w:val="000000" w:themeColor="text1"/>
          <w:spacing w:val="-3"/>
          <w:lang w:eastAsia="nl-NL"/>
        </w:rPr>
        <w:t>het bepalen</w:t>
      </w:r>
      <w:r w:rsidRPr="00637FD9">
        <w:rPr>
          <w:b/>
          <w:i/>
          <w:color w:val="000000" w:themeColor="text1"/>
          <w:spacing w:val="-3"/>
          <w:lang w:eastAsia="nl-NL"/>
        </w:rPr>
        <w:t xml:space="preserve"> van de hoogte van </w:t>
      </w:r>
      <w:r w:rsidRPr="00637FD9">
        <w:rPr>
          <w:b/>
          <w:i/>
          <w:color w:val="000000" w:themeColor="text1"/>
        </w:rPr>
        <w:t xml:space="preserve">de billijke vergoeding aan de hand van de belangrijkste overwegingen die kantonrechters </w:t>
      </w:r>
      <w:r w:rsidR="00142087">
        <w:rPr>
          <w:b/>
          <w:i/>
          <w:color w:val="000000" w:themeColor="text1"/>
        </w:rPr>
        <w:t>hebben,</w:t>
      </w:r>
      <w:r w:rsidRPr="00637FD9">
        <w:rPr>
          <w:b/>
          <w:i/>
          <w:color w:val="000000" w:themeColor="text1"/>
        </w:rPr>
        <w:t xml:space="preserve"> </w:t>
      </w:r>
      <w:r w:rsidRPr="00637FD9">
        <w:rPr>
          <w:b/>
          <w:i/>
          <w:color w:val="000000" w:themeColor="text1"/>
          <w:spacing w:val="-3"/>
          <w:lang w:eastAsia="nl-NL"/>
        </w:rPr>
        <w:t>volgens de relevante literatuur, wet- en regelgeving en jurisprudentie?</w:t>
      </w:r>
    </w:p>
    <w:p w:rsidR="00C45DCD" w:rsidRDefault="00C45DCD"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p>
    <w:p w:rsidR="007E2056" w:rsidRDefault="004434D5" w:rsidP="00C45DC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r>
        <w:rPr>
          <w:color w:val="000000" w:themeColor="text1"/>
          <w:spacing w:val="-3"/>
          <w:lang w:eastAsia="nl-NL"/>
        </w:rPr>
        <w:t xml:space="preserve">Om te beginnen blijkt uit het literatuuronderzoek en de </w:t>
      </w:r>
      <w:r w:rsidR="003E0C33">
        <w:rPr>
          <w:color w:val="000000" w:themeColor="text1"/>
          <w:spacing w:val="-3"/>
          <w:lang w:eastAsia="nl-NL"/>
        </w:rPr>
        <w:t>wet- en</w:t>
      </w:r>
      <w:r>
        <w:rPr>
          <w:color w:val="000000" w:themeColor="text1"/>
          <w:spacing w:val="-3"/>
          <w:lang w:eastAsia="nl-NL"/>
        </w:rPr>
        <w:t xml:space="preserve"> regelgeving dat het toekennen van de billijke vergoeding een ‘muizengaatje’ dient te </w:t>
      </w:r>
      <w:r w:rsidR="003E0C33">
        <w:rPr>
          <w:color w:val="000000" w:themeColor="text1"/>
          <w:spacing w:val="-3"/>
          <w:lang w:eastAsia="nl-NL"/>
        </w:rPr>
        <w:t xml:space="preserve">zijn. </w:t>
      </w:r>
      <w:r w:rsidR="007330AE">
        <w:rPr>
          <w:color w:val="000000" w:themeColor="text1"/>
          <w:spacing w:val="-3"/>
          <w:lang w:eastAsia="nl-NL"/>
        </w:rPr>
        <w:t>Met andere woorden de billijke vergoeding mag in zeer uitzonderlijke gevallen worden uitgekeerd. De billijke vergoeding wordt</w:t>
      </w:r>
      <w:r w:rsidR="00F52133">
        <w:rPr>
          <w:color w:val="000000" w:themeColor="text1"/>
          <w:spacing w:val="-3"/>
          <w:lang w:eastAsia="nl-NL"/>
        </w:rPr>
        <w:t xml:space="preserve"> toegekend</w:t>
      </w:r>
      <w:r>
        <w:rPr>
          <w:color w:val="000000" w:themeColor="text1"/>
          <w:spacing w:val="-3"/>
          <w:lang w:eastAsia="nl-NL"/>
        </w:rPr>
        <w:t xml:space="preserve"> indien de werkgever zich ernstig verwijtbaar heeft gedragen. </w:t>
      </w:r>
      <w:r w:rsidR="00F52133">
        <w:rPr>
          <w:color w:val="000000" w:themeColor="text1"/>
          <w:spacing w:val="-3"/>
          <w:lang w:eastAsia="nl-NL"/>
        </w:rPr>
        <w:t>Uit het jurispru</w:t>
      </w:r>
      <w:r w:rsidR="007330AE">
        <w:rPr>
          <w:color w:val="000000" w:themeColor="text1"/>
          <w:spacing w:val="-3"/>
          <w:lang w:eastAsia="nl-NL"/>
        </w:rPr>
        <w:t xml:space="preserve">dentieonderzoek blijkt dat er geen sprake is van een </w:t>
      </w:r>
      <w:r w:rsidR="007E2056">
        <w:rPr>
          <w:color w:val="000000" w:themeColor="text1"/>
          <w:spacing w:val="-3"/>
          <w:lang w:eastAsia="nl-NL"/>
        </w:rPr>
        <w:t>‘</w:t>
      </w:r>
      <w:r w:rsidR="007330AE">
        <w:rPr>
          <w:color w:val="000000" w:themeColor="text1"/>
          <w:spacing w:val="-3"/>
          <w:lang w:eastAsia="nl-NL"/>
        </w:rPr>
        <w:t>muizengaatje</w:t>
      </w:r>
      <w:r w:rsidR="007E2056">
        <w:rPr>
          <w:color w:val="000000" w:themeColor="text1"/>
          <w:spacing w:val="-3"/>
          <w:lang w:eastAsia="nl-NL"/>
        </w:rPr>
        <w:t>’</w:t>
      </w:r>
      <w:r w:rsidR="007330AE">
        <w:rPr>
          <w:color w:val="000000" w:themeColor="text1"/>
          <w:spacing w:val="-3"/>
          <w:lang w:eastAsia="nl-NL"/>
        </w:rPr>
        <w:t xml:space="preserve"> maar van een </w:t>
      </w:r>
      <w:r w:rsidR="007E2056">
        <w:rPr>
          <w:color w:val="000000" w:themeColor="text1"/>
          <w:spacing w:val="-3"/>
          <w:lang w:eastAsia="nl-NL"/>
        </w:rPr>
        <w:t>‘</w:t>
      </w:r>
      <w:r w:rsidR="007330AE">
        <w:rPr>
          <w:color w:val="000000" w:themeColor="text1"/>
          <w:spacing w:val="-3"/>
          <w:lang w:eastAsia="nl-NL"/>
        </w:rPr>
        <w:t>groot gat</w:t>
      </w:r>
      <w:r w:rsidR="007E2056">
        <w:rPr>
          <w:color w:val="000000" w:themeColor="text1"/>
          <w:spacing w:val="-3"/>
          <w:lang w:eastAsia="nl-NL"/>
        </w:rPr>
        <w:t>’</w:t>
      </w:r>
      <w:r w:rsidR="007330AE">
        <w:rPr>
          <w:color w:val="000000" w:themeColor="text1"/>
          <w:spacing w:val="-3"/>
          <w:lang w:eastAsia="nl-NL"/>
        </w:rPr>
        <w:t xml:space="preserve">. Dit betekent dat de billijke vergoeding in veel gevallen wel wordt toegekend. De meest voorkomende gevallen kunt u terugvinden onder subparagraaf 3.1.5 </w:t>
      </w:r>
      <w:r w:rsidR="007E2056">
        <w:rPr>
          <w:color w:val="000000" w:themeColor="text1"/>
          <w:spacing w:val="-3"/>
          <w:lang w:eastAsia="nl-NL"/>
        </w:rPr>
        <w:t>‘</w:t>
      </w:r>
      <w:r w:rsidR="0082756D">
        <w:rPr>
          <w:color w:val="000000" w:themeColor="text1"/>
          <w:spacing w:val="-3"/>
          <w:lang w:eastAsia="nl-NL"/>
        </w:rPr>
        <w:t>conclusie</w:t>
      </w:r>
      <w:r w:rsidR="007E2056">
        <w:rPr>
          <w:color w:val="000000" w:themeColor="text1"/>
          <w:spacing w:val="-3"/>
          <w:lang w:eastAsia="nl-NL"/>
        </w:rPr>
        <w:t xml:space="preserve">‘. </w:t>
      </w:r>
    </w:p>
    <w:p w:rsidR="000452C8" w:rsidRDefault="000452C8" w:rsidP="0064588A">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spacing w:val="-3"/>
          <w:lang w:eastAsia="nl-NL"/>
        </w:rPr>
      </w:pPr>
    </w:p>
    <w:p w:rsidR="007330AE" w:rsidRDefault="007E2056" w:rsidP="000452C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r>
        <w:rPr>
          <w:color w:val="000000" w:themeColor="text1"/>
          <w:spacing w:val="-3"/>
          <w:lang w:eastAsia="nl-NL"/>
        </w:rPr>
        <w:t>Indien de cliënten van Van Diepen en Van der Kroef Advocaten werkgevers zijn, dan wordt naar aanleiding van dit onderzoek geadviseer</w:t>
      </w:r>
      <w:r w:rsidR="00F52133">
        <w:rPr>
          <w:color w:val="000000" w:themeColor="text1"/>
          <w:spacing w:val="-3"/>
          <w:lang w:eastAsia="nl-NL"/>
        </w:rPr>
        <w:t>d</w:t>
      </w:r>
      <w:r>
        <w:rPr>
          <w:color w:val="000000" w:themeColor="text1"/>
          <w:spacing w:val="-3"/>
          <w:lang w:eastAsia="nl-NL"/>
        </w:rPr>
        <w:t xml:space="preserve"> rekening te houden met het feit dat de billijke vergoeding vaak wel wordt toegekend</w:t>
      </w:r>
      <w:r w:rsidR="00F52133">
        <w:rPr>
          <w:color w:val="000000" w:themeColor="text1"/>
          <w:spacing w:val="-3"/>
          <w:lang w:eastAsia="nl-NL"/>
        </w:rPr>
        <w:t xml:space="preserve"> indien er zich onvolkomenheden voordoen in de ontslagprocedure</w:t>
      </w:r>
      <w:r>
        <w:rPr>
          <w:color w:val="000000" w:themeColor="text1"/>
          <w:spacing w:val="-3"/>
          <w:lang w:eastAsia="nl-NL"/>
        </w:rPr>
        <w:t>. De werkgever dient duidelijke bewijstukken aan te leveren waaruit blijkt dat er meerdere functioneringsgesprekken</w:t>
      </w:r>
      <w:r w:rsidR="00450735">
        <w:rPr>
          <w:color w:val="000000" w:themeColor="text1"/>
          <w:spacing w:val="-3"/>
          <w:lang w:eastAsia="nl-NL"/>
        </w:rPr>
        <w:t xml:space="preserve"> zijn geweest</w:t>
      </w:r>
      <w:r>
        <w:rPr>
          <w:color w:val="000000" w:themeColor="text1"/>
          <w:spacing w:val="-3"/>
          <w:lang w:eastAsia="nl-NL"/>
        </w:rPr>
        <w:t xml:space="preserve">, deugdelijke begeleiding en coaching is aangeboden. Daarnaast dient de werkgever aan te kunnen tonen wat het vermeende gedrag </w:t>
      </w:r>
      <w:r w:rsidR="00812B02">
        <w:rPr>
          <w:color w:val="000000" w:themeColor="text1"/>
          <w:spacing w:val="-3"/>
          <w:lang w:eastAsia="nl-NL"/>
        </w:rPr>
        <w:t xml:space="preserve">van de werknemer </w:t>
      </w:r>
      <w:r>
        <w:rPr>
          <w:color w:val="000000" w:themeColor="text1"/>
          <w:spacing w:val="-3"/>
          <w:lang w:eastAsia="nl-NL"/>
        </w:rPr>
        <w:t>is geweest</w:t>
      </w:r>
      <w:r w:rsidR="00812B02">
        <w:rPr>
          <w:color w:val="000000" w:themeColor="text1"/>
          <w:spacing w:val="-3"/>
          <w:lang w:eastAsia="nl-NL"/>
        </w:rPr>
        <w:t>,</w:t>
      </w:r>
      <w:r>
        <w:rPr>
          <w:color w:val="000000" w:themeColor="text1"/>
          <w:spacing w:val="-3"/>
          <w:lang w:eastAsia="nl-NL"/>
        </w:rPr>
        <w:t xml:space="preserve"> waardoor een arbeidsrelatie op geen enkele manier stand </w:t>
      </w:r>
      <w:r w:rsidR="003F7812">
        <w:rPr>
          <w:color w:val="000000" w:themeColor="text1"/>
          <w:spacing w:val="-3"/>
          <w:lang w:eastAsia="nl-NL"/>
        </w:rPr>
        <w:t xml:space="preserve">kan houden. Indien de onderneming </w:t>
      </w:r>
      <w:r w:rsidR="00D451CA">
        <w:rPr>
          <w:color w:val="000000" w:themeColor="text1"/>
          <w:spacing w:val="-3"/>
          <w:lang w:eastAsia="nl-NL"/>
        </w:rPr>
        <w:t>in een</w:t>
      </w:r>
      <w:r>
        <w:rPr>
          <w:color w:val="000000" w:themeColor="text1"/>
          <w:spacing w:val="-3"/>
          <w:lang w:eastAsia="nl-NL"/>
        </w:rPr>
        <w:t xml:space="preserve"> slechte financiële situatie</w:t>
      </w:r>
      <w:r w:rsidR="00142087">
        <w:rPr>
          <w:color w:val="000000" w:themeColor="text1"/>
          <w:spacing w:val="-3"/>
          <w:lang w:eastAsia="nl-NL"/>
        </w:rPr>
        <w:t xml:space="preserve"> verkeert</w:t>
      </w:r>
      <w:r>
        <w:rPr>
          <w:color w:val="000000" w:themeColor="text1"/>
          <w:spacing w:val="-3"/>
          <w:lang w:eastAsia="nl-NL"/>
        </w:rPr>
        <w:t xml:space="preserve">, dan dient de werkgever dit met duidelijke stukken aan te kunnen tonen. Des te meer er aangetoond </w:t>
      </w:r>
      <w:r w:rsidR="00F5073B">
        <w:rPr>
          <w:color w:val="000000" w:themeColor="text1"/>
          <w:spacing w:val="-3"/>
          <w:lang w:eastAsia="nl-NL"/>
        </w:rPr>
        <w:t>kan worden</w:t>
      </w:r>
      <w:r>
        <w:rPr>
          <w:color w:val="000000" w:themeColor="text1"/>
          <w:spacing w:val="-3"/>
          <w:lang w:eastAsia="nl-NL"/>
        </w:rPr>
        <w:t>, des te lager (of geen) de billijke vergoeding zal zijn.</w:t>
      </w:r>
    </w:p>
    <w:p w:rsidR="000452C8" w:rsidRDefault="000452C8" w:rsidP="000452C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p>
    <w:p w:rsidR="00F5073B" w:rsidRDefault="00F5073B" w:rsidP="000452C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r>
        <w:rPr>
          <w:color w:val="000000" w:themeColor="text1"/>
          <w:spacing w:val="-3"/>
          <w:lang w:eastAsia="nl-NL"/>
        </w:rPr>
        <w:t>Indien de cliënten van Van Diepen en Van der Kroef Advocaten werknemers zijn, dan wordt naar aanleidi</w:t>
      </w:r>
      <w:r w:rsidR="003F7812">
        <w:rPr>
          <w:color w:val="000000" w:themeColor="text1"/>
          <w:spacing w:val="-3"/>
          <w:lang w:eastAsia="nl-NL"/>
        </w:rPr>
        <w:t>ng van dit onderzoek geadviseerd</w:t>
      </w:r>
      <w:r>
        <w:rPr>
          <w:color w:val="000000" w:themeColor="text1"/>
          <w:spacing w:val="-3"/>
          <w:lang w:eastAsia="nl-NL"/>
        </w:rPr>
        <w:t xml:space="preserve"> om goed na te gaan in hoeverre de werknemer zich goed heeft gedragen gedurende het dienstverband. Indien de werknemer de oorzaak is van de verstoorde arbeidsrelatie</w:t>
      </w:r>
      <w:r w:rsidR="00D451CA">
        <w:rPr>
          <w:color w:val="000000" w:themeColor="text1"/>
          <w:spacing w:val="-3"/>
          <w:lang w:eastAsia="nl-NL"/>
        </w:rPr>
        <w:t>,</w:t>
      </w:r>
      <w:r>
        <w:rPr>
          <w:color w:val="000000" w:themeColor="text1"/>
          <w:spacing w:val="-3"/>
          <w:lang w:eastAsia="nl-NL"/>
        </w:rPr>
        <w:t xml:space="preserve"> dan komt het wel eens voor dat de billijke vergoeding niet wordt toegekend. Kantonrechters motiveren een dergelijk besluit met het feit dat de werknemer het gedrag van de </w:t>
      </w:r>
      <w:r>
        <w:rPr>
          <w:color w:val="000000" w:themeColor="text1"/>
          <w:spacing w:val="-3"/>
          <w:lang w:eastAsia="nl-NL"/>
        </w:rPr>
        <w:lastRenderedPageBreak/>
        <w:t xml:space="preserve">werkgever heeft uitgelokt. Uit het onderzoek blijkt dat het gedrag van de werknemer een rol speelt bij het uitkeren van de billijke vergoeding. </w:t>
      </w:r>
      <w:r w:rsidR="003E0C33">
        <w:rPr>
          <w:color w:val="000000" w:themeColor="text1"/>
          <w:spacing w:val="-3"/>
          <w:lang w:eastAsia="nl-NL"/>
        </w:rPr>
        <w:t xml:space="preserve">Het is aan te raden om </w:t>
      </w:r>
      <w:r w:rsidR="00142087">
        <w:rPr>
          <w:color w:val="000000" w:themeColor="text1"/>
          <w:spacing w:val="-3"/>
          <w:lang w:eastAsia="nl-NL"/>
        </w:rPr>
        <w:t xml:space="preserve">aan de kantonrechter </w:t>
      </w:r>
      <w:r w:rsidR="003E0C33">
        <w:rPr>
          <w:color w:val="000000" w:themeColor="text1"/>
          <w:spacing w:val="-3"/>
          <w:lang w:eastAsia="nl-NL"/>
        </w:rPr>
        <w:t xml:space="preserve">bewijsstukken </w:t>
      </w:r>
      <w:r w:rsidR="00142087">
        <w:rPr>
          <w:color w:val="000000" w:themeColor="text1"/>
          <w:spacing w:val="-3"/>
          <w:lang w:eastAsia="nl-NL"/>
        </w:rPr>
        <w:t xml:space="preserve">aan </w:t>
      </w:r>
      <w:r w:rsidR="003E0C33">
        <w:rPr>
          <w:color w:val="000000" w:themeColor="text1"/>
          <w:spacing w:val="-3"/>
          <w:lang w:eastAsia="nl-NL"/>
        </w:rPr>
        <w:t xml:space="preserve">te leveren, </w:t>
      </w:r>
      <w:r w:rsidR="00D451CA">
        <w:rPr>
          <w:color w:val="000000" w:themeColor="text1"/>
          <w:spacing w:val="-3"/>
          <w:lang w:eastAsia="nl-NL"/>
        </w:rPr>
        <w:t>waaruit</w:t>
      </w:r>
      <w:r w:rsidR="003E0C33">
        <w:rPr>
          <w:color w:val="000000" w:themeColor="text1"/>
          <w:spacing w:val="-3"/>
          <w:lang w:eastAsia="nl-NL"/>
        </w:rPr>
        <w:t xml:space="preserve"> blijkt dat de werknemer medewerking heeft getoond aan de voorstellen van de werkgever om de arbeidsrelatie te verbeteren.</w:t>
      </w:r>
    </w:p>
    <w:p w:rsidR="000452C8" w:rsidRDefault="000452C8" w:rsidP="00451F9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spacing w:val="-3"/>
          <w:lang w:eastAsia="nl-NL"/>
        </w:rPr>
      </w:pPr>
    </w:p>
    <w:p w:rsidR="00451F91" w:rsidRDefault="000452C8" w:rsidP="00451F9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spacing w:val="-3"/>
          <w:lang w:eastAsia="nl-NL"/>
        </w:rPr>
      </w:pPr>
      <w:r>
        <w:rPr>
          <w:color w:val="000000" w:themeColor="text1"/>
          <w:spacing w:val="-3"/>
          <w:lang w:eastAsia="nl-NL"/>
        </w:rPr>
        <w:t>Tijdens het onderzoek is</w:t>
      </w:r>
      <w:r w:rsidR="00D55136">
        <w:rPr>
          <w:color w:val="000000" w:themeColor="text1"/>
          <w:spacing w:val="-3"/>
          <w:lang w:eastAsia="nl-NL"/>
        </w:rPr>
        <w:t xml:space="preserve"> gekeken naar de belangrijkste omstandigheden die een rol spelen bij het bepalen van de hoo</w:t>
      </w:r>
      <w:r w:rsidR="00723910">
        <w:rPr>
          <w:color w:val="000000" w:themeColor="text1"/>
          <w:spacing w:val="-3"/>
          <w:lang w:eastAsia="nl-NL"/>
        </w:rPr>
        <w:t>gte van de billijke vergoeding. Denk hierbij aan</w:t>
      </w:r>
      <w:r w:rsidR="00D55136">
        <w:rPr>
          <w:color w:val="000000" w:themeColor="text1"/>
          <w:spacing w:val="-3"/>
          <w:lang w:eastAsia="nl-NL"/>
        </w:rPr>
        <w:t xml:space="preserve"> de hoogte van </w:t>
      </w:r>
      <w:r w:rsidR="00142087">
        <w:rPr>
          <w:color w:val="000000" w:themeColor="text1"/>
          <w:spacing w:val="-3"/>
          <w:lang w:eastAsia="nl-NL"/>
        </w:rPr>
        <w:t>het</w:t>
      </w:r>
      <w:r w:rsidR="00D55136">
        <w:rPr>
          <w:color w:val="000000" w:themeColor="text1"/>
          <w:spacing w:val="-3"/>
          <w:lang w:eastAsia="nl-NL"/>
        </w:rPr>
        <w:t xml:space="preserve"> maandsalaris, </w:t>
      </w:r>
      <w:r w:rsidR="00142087">
        <w:rPr>
          <w:color w:val="000000" w:themeColor="text1"/>
          <w:spacing w:val="-3"/>
          <w:lang w:eastAsia="nl-NL"/>
        </w:rPr>
        <w:t xml:space="preserve">de </w:t>
      </w:r>
      <w:r w:rsidR="00D55136">
        <w:rPr>
          <w:color w:val="000000" w:themeColor="text1"/>
          <w:spacing w:val="-3"/>
          <w:lang w:eastAsia="nl-NL"/>
        </w:rPr>
        <w:t>lengte van het dienstverband en de ernst van het handelen van de werkgever.</w:t>
      </w:r>
      <w:r w:rsidR="00723910">
        <w:rPr>
          <w:color w:val="000000" w:themeColor="text1"/>
          <w:spacing w:val="-3"/>
          <w:lang w:eastAsia="nl-NL"/>
        </w:rPr>
        <w:t xml:space="preserve"> Wat betreft de hoogte van de billijke ver</w:t>
      </w:r>
      <w:r w:rsidR="003F7812">
        <w:rPr>
          <w:color w:val="000000" w:themeColor="text1"/>
          <w:spacing w:val="-3"/>
          <w:lang w:eastAsia="nl-NL"/>
        </w:rPr>
        <w:t>goeding kan worden geconcludeerd</w:t>
      </w:r>
      <w:r w:rsidR="00723910">
        <w:rPr>
          <w:color w:val="000000" w:themeColor="text1"/>
          <w:spacing w:val="-3"/>
          <w:lang w:eastAsia="nl-NL"/>
        </w:rPr>
        <w:t xml:space="preserve"> dat voor soortgelijke ernstig verwijtbare handelingen verschillende bedragen worden toegekend. </w:t>
      </w:r>
      <w:r w:rsidR="00B54A19">
        <w:rPr>
          <w:color w:val="000000" w:themeColor="text1"/>
          <w:spacing w:val="-3"/>
          <w:lang w:eastAsia="nl-NL"/>
        </w:rPr>
        <w:t xml:space="preserve">Er hangt dus geen prijskaartje aan een bepaalde ernstig verwijtbare handeling. </w:t>
      </w:r>
      <w:r w:rsidR="00DF6C83">
        <w:rPr>
          <w:color w:val="000000" w:themeColor="text1"/>
          <w:spacing w:val="-3"/>
          <w:lang w:eastAsia="nl-NL"/>
        </w:rPr>
        <w:t xml:space="preserve">In de ene zaak kent de kantonrechter een bedrag van € 60.000,00 toe aan billijke vergoeding, waarin de werkgever de werknemer </w:t>
      </w:r>
      <w:r w:rsidR="00142087">
        <w:rPr>
          <w:color w:val="000000" w:themeColor="text1"/>
          <w:spacing w:val="-3"/>
          <w:lang w:eastAsia="nl-NL"/>
        </w:rPr>
        <w:t xml:space="preserve">zonder geldige reden </w:t>
      </w:r>
      <w:r w:rsidR="00DF6C83">
        <w:rPr>
          <w:color w:val="000000" w:themeColor="text1"/>
          <w:spacing w:val="-3"/>
          <w:lang w:eastAsia="nl-NL"/>
        </w:rPr>
        <w:t xml:space="preserve">ontslaat op staande voet, de werknemer meerdere malen op non-actief heeft </w:t>
      </w:r>
      <w:r w:rsidR="00142087">
        <w:rPr>
          <w:color w:val="000000" w:themeColor="text1"/>
          <w:spacing w:val="-3"/>
          <w:lang w:eastAsia="nl-NL"/>
        </w:rPr>
        <w:t>ge</w:t>
      </w:r>
      <w:r w:rsidR="00DF6C83">
        <w:rPr>
          <w:color w:val="000000" w:themeColor="text1"/>
          <w:spacing w:val="-3"/>
          <w:lang w:eastAsia="nl-NL"/>
        </w:rPr>
        <w:t>zet zonder behoud van loon en zonder de werknemer eerst gehoord te hebben. Dez</w:t>
      </w:r>
      <w:r w:rsidR="00812B02">
        <w:rPr>
          <w:color w:val="000000" w:themeColor="text1"/>
          <w:spacing w:val="-3"/>
          <w:lang w:eastAsia="nl-NL"/>
        </w:rPr>
        <w:t>e werknemer had een bruto maand</w:t>
      </w:r>
      <w:r w:rsidR="00DF6C83">
        <w:rPr>
          <w:color w:val="000000" w:themeColor="text1"/>
          <w:spacing w:val="-3"/>
          <w:lang w:eastAsia="nl-NL"/>
        </w:rPr>
        <w:t xml:space="preserve">salaris van € 1.773,37 en werkte ruim 31 jaar voor het bedrijf. </w:t>
      </w:r>
      <w:r w:rsidR="00DF6C83">
        <w:t>Wat opvalt is dat in andere zaken</w:t>
      </w:r>
      <w:r w:rsidR="003456A6">
        <w:rPr>
          <w:rStyle w:val="Voetnootmarkering"/>
        </w:rPr>
        <w:footnoteReference w:id="150"/>
      </w:r>
      <w:r w:rsidR="00DF6C83" w:rsidRPr="00723910">
        <w:t xml:space="preserve"> </w:t>
      </w:r>
      <w:r w:rsidR="00DF6C83">
        <w:t>een billijke vergoeding wordt toe</w:t>
      </w:r>
      <w:r w:rsidR="003F7812">
        <w:t>ge</w:t>
      </w:r>
      <w:r w:rsidR="00DF6C83">
        <w:t>ken</w:t>
      </w:r>
      <w:r w:rsidR="003F7812">
        <w:t>d</w:t>
      </w:r>
      <w:r w:rsidR="00DF6C83">
        <w:t xml:space="preserve"> van </w:t>
      </w:r>
      <w:r w:rsidR="003F7812">
        <w:t xml:space="preserve">slechts </w:t>
      </w:r>
      <w:r w:rsidR="00DF6C83">
        <w:t>€ 15.000,</w:t>
      </w:r>
      <w:r w:rsidR="00142087">
        <w:t>00</w:t>
      </w:r>
      <w:r w:rsidR="00DF6C83">
        <w:t xml:space="preserve"> waar</w:t>
      </w:r>
      <w:r w:rsidR="00142087">
        <w:t>bij</w:t>
      </w:r>
      <w:r w:rsidR="00DF6C83">
        <w:t xml:space="preserve"> de werkgever opzettelijk een onwerkbare situatie heeft gecreëerd, </w:t>
      </w:r>
      <w:r w:rsidR="00812B02">
        <w:t>meerdere malen over is gegaan tot</w:t>
      </w:r>
      <w:r w:rsidR="00DF6C83">
        <w:t xml:space="preserve"> een loonstop en een ontslag op staande voet heeft ingezet, zonder de werknemer omtrent dat voornemen tevoren te horen of hem uitleg te geven over zijn situatie. In deze zaken is het dienstverband weliswaar minder lang</w:t>
      </w:r>
      <w:r w:rsidR="003F7812">
        <w:t>,</w:t>
      </w:r>
      <w:r w:rsidR="00DF6C83">
        <w:rPr>
          <w:rStyle w:val="Voetnootmarkering"/>
        </w:rPr>
        <w:footnoteReference w:id="151"/>
      </w:r>
      <w:r w:rsidR="00F25A57">
        <w:t xml:space="preserve"> </w:t>
      </w:r>
      <w:r w:rsidR="003F7812">
        <w:t xml:space="preserve">maar </w:t>
      </w:r>
      <w:r w:rsidR="00DF6C83">
        <w:t>de bruto maandsalarissen</w:t>
      </w:r>
      <w:r w:rsidR="003456A6">
        <w:rPr>
          <w:rStyle w:val="Voetnootmarkering"/>
        </w:rPr>
        <w:footnoteReference w:id="152"/>
      </w:r>
      <w:r w:rsidR="003F7812">
        <w:t xml:space="preserve"> liggen weer een stuk hoger</w:t>
      </w:r>
      <w:r w:rsidR="00DF6C83">
        <w:t xml:space="preserve">. </w:t>
      </w:r>
      <w:r w:rsidR="00C65741">
        <w:t>U</w:t>
      </w:r>
      <w:r w:rsidR="00F25A57">
        <w:rPr>
          <w:color w:val="000000" w:themeColor="text1"/>
          <w:spacing w:val="-3"/>
          <w:lang w:eastAsia="nl-NL"/>
        </w:rPr>
        <w:t xml:space="preserve">it het onderzoek </w:t>
      </w:r>
      <w:r w:rsidR="00C65741">
        <w:rPr>
          <w:color w:val="000000" w:themeColor="text1"/>
          <w:spacing w:val="-3"/>
          <w:lang w:eastAsia="nl-NL"/>
        </w:rPr>
        <w:t xml:space="preserve">komt </w:t>
      </w:r>
      <w:r w:rsidR="00DE16BD">
        <w:rPr>
          <w:color w:val="000000" w:themeColor="text1"/>
          <w:spacing w:val="-3"/>
          <w:lang w:eastAsia="nl-NL"/>
        </w:rPr>
        <w:t xml:space="preserve">naar voren </w:t>
      </w:r>
      <w:r w:rsidR="00F25A57">
        <w:rPr>
          <w:color w:val="000000" w:themeColor="text1"/>
          <w:spacing w:val="-3"/>
          <w:lang w:eastAsia="nl-NL"/>
        </w:rPr>
        <w:t xml:space="preserve">dat bij het bepalen van de hoogte van de billijke vergoeding er toch wordt gekeken naar </w:t>
      </w:r>
      <w:r w:rsidR="00142087">
        <w:rPr>
          <w:color w:val="000000" w:themeColor="text1"/>
          <w:spacing w:val="-3"/>
          <w:lang w:eastAsia="nl-NL"/>
        </w:rPr>
        <w:t>het</w:t>
      </w:r>
      <w:r w:rsidR="00F25A57">
        <w:rPr>
          <w:color w:val="000000" w:themeColor="text1"/>
          <w:spacing w:val="-3"/>
          <w:lang w:eastAsia="nl-NL"/>
        </w:rPr>
        <w:t xml:space="preserve"> bruto maandsalaris, de lengte van het dienstverband en </w:t>
      </w:r>
      <w:r w:rsidR="00142087">
        <w:rPr>
          <w:color w:val="000000" w:themeColor="text1"/>
          <w:spacing w:val="-3"/>
          <w:lang w:eastAsia="nl-NL"/>
        </w:rPr>
        <w:t>de</w:t>
      </w:r>
      <w:r w:rsidR="00F25A57">
        <w:rPr>
          <w:color w:val="000000" w:themeColor="text1"/>
          <w:spacing w:val="-3"/>
          <w:lang w:eastAsia="nl-NL"/>
        </w:rPr>
        <w:t xml:space="preserve"> ernst van het handelen van de werkgever.</w:t>
      </w:r>
    </w:p>
    <w:p w:rsidR="00FD213F" w:rsidRDefault="00DE16BD" w:rsidP="00451F9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000000" w:themeColor="text1"/>
          <w:spacing w:val="-3"/>
          <w:lang w:eastAsia="nl-NL"/>
        </w:rPr>
      </w:pPr>
      <w:r>
        <w:rPr>
          <w:color w:val="000000" w:themeColor="text1"/>
          <w:spacing w:val="-3"/>
          <w:lang w:eastAsia="nl-NL"/>
        </w:rPr>
        <w:t>Indien Van Diepen en Van der Kroef Advo</w:t>
      </w:r>
      <w:r w:rsidR="00C65741">
        <w:rPr>
          <w:color w:val="000000" w:themeColor="text1"/>
          <w:spacing w:val="-3"/>
          <w:lang w:eastAsia="nl-NL"/>
        </w:rPr>
        <w:t>caten een schatting wilt maken v</w:t>
      </w:r>
      <w:r>
        <w:rPr>
          <w:color w:val="000000" w:themeColor="text1"/>
          <w:spacing w:val="-3"/>
          <w:lang w:eastAsia="nl-NL"/>
        </w:rPr>
        <w:t>a</w:t>
      </w:r>
      <w:r w:rsidR="00C65741">
        <w:rPr>
          <w:color w:val="000000" w:themeColor="text1"/>
          <w:spacing w:val="-3"/>
          <w:lang w:eastAsia="nl-NL"/>
        </w:rPr>
        <w:t>n</w:t>
      </w:r>
      <w:r>
        <w:rPr>
          <w:color w:val="000000" w:themeColor="text1"/>
          <w:spacing w:val="-3"/>
          <w:lang w:eastAsia="nl-NL"/>
        </w:rPr>
        <w:t xml:space="preserve"> </w:t>
      </w:r>
      <w:r w:rsidR="00142087">
        <w:rPr>
          <w:color w:val="000000" w:themeColor="text1"/>
          <w:spacing w:val="-3"/>
          <w:lang w:eastAsia="nl-NL"/>
        </w:rPr>
        <w:t xml:space="preserve">de hoogte </w:t>
      </w:r>
      <w:r w:rsidR="007F0FF2">
        <w:rPr>
          <w:color w:val="000000" w:themeColor="text1"/>
          <w:spacing w:val="-3"/>
          <w:lang w:eastAsia="nl-NL"/>
        </w:rPr>
        <w:t>van de billijke vergoeding, adviseer ik goed te kijken naar de duur van het diens</w:t>
      </w:r>
      <w:r w:rsidR="00C65741">
        <w:rPr>
          <w:color w:val="000000" w:themeColor="text1"/>
          <w:spacing w:val="-3"/>
          <w:lang w:eastAsia="nl-NL"/>
        </w:rPr>
        <w:t>t</w:t>
      </w:r>
      <w:r w:rsidR="007F0FF2">
        <w:rPr>
          <w:color w:val="000000" w:themeColor="text1"/>
          <w:spacing w:val="-3"/>
          <w:lang w:eastAsia="nl-NL"/>
        </w:rPr>
        <w:t>verband,</w:t>
      </w:r>
      <w:r w:rsidR="00C65741">
        <w:rPr>
          <w:color w:val="000000" w:themeColor="text1"/>
          <w:spacing w:val="-3"/>
          <w:lang w:eastAsia="nl-NL"/>
        </w:rPr>
        <w:t xml:space="preserve"> de</w:t>
      </w:r>
      <w:r w:rsidR="007F0FF2">
        <w:rPr>
          <w:color w:val="000000" w:themeColor="text1"/>
          <w:spacing w:val="-3"/>
          <w:lang w:eastAsia="nl-NL"/>
        </w:rPr>
        <w:t xml:space="preserve"> hoogte van </w:t>
      </w:r>
      <w:r w:rsidR="00142087">
        <w:rPr>
          <w:color w:val="000000" w:themeColor="text1"/>
          <w:spacing w:val="-3"/>
          <w:lang w:eastAsia="nl-NL"/>
        </w:rPr>
        <w:t>het</w:t>
      </w:r>
      <w:r w:rsidR="007F0FF2">
        <w:rPr>
          <w:color w:val="000000" w:themeColor="text1"/>
          <w:spacing w:val="-3"/>
          <w:lang w:eastAsia="nl-NL"/>
        </w:rPr>
        <w:t xml:space="preserve"> bruto maandsalaris en de ernst van het ernstig verwijtbaar handelen van de werkgever. </w:t>
      </w:r>
      <w:r w:rsidR="00A66944">
        <w:rPr>
          <w:spacing w:val="-3"/>
          <w:lang w:eastAsia="nl-NL"/>
        </w:rPr>
        <w:t xml:space="preserve">De </w:t>
      </w:r>
      <w:r w:rsidR="00FD213F" w:rsidRPr="00A66944">
        <w:rPr>
          <w:spacing w:val="-3"/>
          <w:lang w:eastAsia="nl-NL"/>
        </w:rPr>
        <w:t xml:space="preserve">tabellen in de bijlage </w:t>
      </w:r>
      <w:r w:rsidR="00A66944">
        <w:rPr>
          <w:spacing w:val="-3"/>
          <w:lang w:eastAsia="nl-NL"/>
        </w:rPr>
        <w:t>bieden een overzicht van alle uitspraken. Deze uitspraken zijn gesorteerd op volgorde va</w:t>
      </w:r>
      <w:r w:rsidR="00812B02">
        <w:rPr>
          <w:spacing w:val="-3"/>
          <w:lang w:eastAsia="nl-NL"/>
        </w:rPr>
        <w:t>n de topics die gebruikt zijn bij</w:t>
      </w:r>
      <w:r w:rsidR="00A66944">
        <w:rPr>
          <w:spacing w:val="-3"/>
          <w:lang w:eastAsia="nl-NL"/>
        </w:rPr>
        <w:t xml:space="preserve"> de </w:t>
      </w:r>
      <w:r w:rsidR="00142087">
        <w:rPr>
          <w:spacing w:val="-3"/>
          <w:lang w:eastAsia="nl-NL"/>
        </w:rPr>
        <w:t xml:space="preserve">op de </w:t>
      </w:r>
      <w:r w:rsidR="00A66944">
        <w:rPr>
          <w:spacing w:val="-3"/>
          <w:lang w:eastAsia="nl-NL"/>
        </w:rPr>
        <w:t xml:space="preserve">jurisprudentie gerichte deelvragen. </w:t>
      </w:r>
      <w:r w:rsidR="00FD213F">
        <w:rPr>
          <w:color w:val="000000" w:themeColor="text1"/>
          <w:spacing w:val="-3"/>
          <w:lang w:eastAsia="nl-NL"/>
        </w:rPr>
        <w:t>Zo kan Van Diepen en Van der Kroef advocaten kijken welke zaak het meeste past bij de omstandigheden</w:t>
      </w:r>
      <w:r w:rsidR="00A66944">
        <w:rPr>
          <w:color w:val="000000" w:themeColor="text1"/>
          <w:spacing w:val="-3"/>
          <w:lang w:eastAsia="nl-NL"/>
        </w:rPr>
        <w:t xml:space="preserve"> van </w:t>
      </w:r>
      <w:r w:rsidR="00142087">
        <w:rPr>
          <w:color w:val="000000" w:themeColor="text1"/>
          <w:spacing w:val="-3"/>
          <w:lang w:eastAsia="nl-NL"/>
        </w:rPr>
        <w:t>de</w:t>
      </w:r>
      <w:r w:rsidR="00A66944">
        <w:rPr>
          <w:color w:val="000000" w:themeColor="text1"/>
          <w:spacing w:val="-3"/>
          <w:lang w:eastAsia="nl-NL"/>
        </w:rPr>
        <w:t xml:space="preserve"> cliënt. A</w:t>
      </w:r>
      <w:r w:rsidR="00FD213F">
        <w:rPr>
          <w:color w:val="000000" w:themeColor="text1"/>
          <w:spacing w:val="-3"/>
          <w:lang w:eastAsia="nl-NL"/>
        </w:rPr>
        <w:t>an de</w:t>
      </w:r>
      <w:r w:rsidR="00A66944">
        <w:rPr>
          <w:color w:val="000000" w:themeColor="text1"/>
          <w:spacing w:val="-3"/>
          <w:lang w:eastAsia="nl-NL"/>
        </w:rPr>
        <w:t xml:space="preserve"> </w:t>
      </w:r>
      <w:r w:rsidR="00FD213F">
        <w:rPr>
          <w:color w:val="000000" w:themeColor="text1"/>
          <w:spacing w:val="-3"/>
          <w:lang w:eastAsia="nl-NL"/>
        </w:rPr>
        <w:t>hand van de uitspraken</w:t>
      </w:r>
      <w:r w:rsidR="000C64A0">
        <w:rPr>
          <w:color w:val="000000" w:themeColor="text1"/>
          <w:spacing w:val="-3"/>
          <w:lang w:eastAsia="nl-NL"/>
        </w:rPr>
        <w:t xml:space="preserve"> in de tabellen</w:t>
      </w:r>
      <w:r w:rsidR="00FD213F">
        <w:rPr>
          <w:color w:val="000000" w:themeColor="text1"/>
          <w:spacing w:val="-3"/>
          <w:lang w:eastAsia="nl-NL"/>
        </w:rPr>
        <w:t xml:space="preserve"> kan </w:t>
      </w:r>
      <w:r w:rsidR="00142087">
        <w:rPr>
          <w:color w:val="000000" w:themeColor="text1"/>
          <w:spacing w:val="-3"/>
          <w:lang w:eastAsia="nl-NL"/>
        </w:rPr>
        <w:t>dan</w:t>
      </w:r>
      <w:r w:rsidR="00FD213F">
        <w:rPr>
          <w:color w:val="000000" w:themeColor="text1"/>
          <w:spacing w:val="-3"/>
          <w:lang w:eastAsia="nl-NL"/>
        </w:rPr>
        <w:t xml:space="preserve"> een schatting worden gemaakt </w:t>
      </w:r>
      <w:r w:rsidR="00142087">
        <w:rPr>
          <w:color w:val="000000" w:themeColor="text1"/>
          <w:spacing w:val="-3"/>
          <w:lang w:eastAsia="nl-NL"/>
        </w:rPr>
        <w:t>van</w:t>
      </w:r>
      <w:r w:rsidR="00FD213F">
        <w:rPr>
          <w:color w:val="000000" w:themeColor="text1"/>
          <w:spacing w:val="-3"/>
          <w:lang w:eastAsia="nl-NL"/>
        </w:rPr>
        <w:t xml:space="preserve"> het bedrag aan billijke vergoeding. </w:t>
      </w:r>
      <w:r w:rsidR="00A66944">
        <w:rPr>
          <w:color w:val="000000" w:themeColor="text1"/>
          <w:spacing w:val="-3"/>
          <w:lang w:eastAsia="nl-NL"/>
        </w:rPr>
        <w:t>Uit het onderzoek</w:t>
      </w:r>
      <w:r w:rsidR="007F0FF2">
        <w:rPr>
          <w:color w:val="000000" w:themeColor="text1"/>
          <w:spacing w:val="-3"/>
          <w:lang w:eastAsia="nl-NL"/>
        </w:rPr>
        <w:t xml:space="preserve"> is</w:t>
      </w:r>
      <w:r w:rsidR="00A66944">
        <w:rPr>
          <w:color w:val="000000" w:themeColor="text1"/>
          <w:spacing w:val="-3"/>
          <w:lang w:eastAsia="nl-NL"/>
        </w:rPr>
        <w:t xml:space="preserve"> </w:t>
      </w:r>
      <w:r w:rsidR="007F0FF2">
        <w:rPr>
          <w:color w:val="000000" w:themeColor="text1"/>
          <w:spacing w:val="-3"/>
          <w:lang w:eastAsia="nl-NL"/>
        </w:rPr>
        <w:t xml:space="preserve">helaas </w:t>
      </w:r>
      <w:r w:rsidR="00142087">
        <w:rPr>
          <w:color w:val="000000" w:themeColor="text1"/>
          <w:spacing w:val="-3"/>
          <w:lang w:eastAsia="nl-NL"/>
        </w:rPr>
        <w:t>g</w:t>
      </w:r>
      <w:r w:rsidR="007F0FF2">
        <w:rPr>
          <w:color w:val="000000" w:themeColor="text1"/>
          <w:spacing w:val="-3"/>
          <w:lang w:eastAsia="nl-NL"/>
        </w:rPr>
        <w:t>een duidelijke structuur naar voren</w:t>
      </w:r>
      <w:r w:rsidR="00FD213F">
        <w:rPr>
          <w:color w:val="000000" w:themeColor="text1"/>
          <w:spacing w:val="-3"/>
          <w:lang w:eastAsia="nl-NL"/>
        </w:rPr>
        <w:t xml:space="preserve"> </w:t>
      </w:r>
      <w:r w:rsidR="00A66944">
        <w:rPr>
          <w:color w:val="000000" w:themeColor="text1"/>
          <w:spacing w:val="-3"/>
          <w:lang w:eastAsia="nl-NL"/>
        </w:rPr>
        <w:t xml:space="preserve">gekomen waaruit blijkt </w:t>
      </w:r>
      <w:r w:rsidR="00FD213F">
        <w:rPr>
          <w:color w:val="000000" w:themeColor="text1"/>
          <w:spacing w:val="-3"/>
          <w:lang w:eastAsia="nl-NL"/>
        </w:rPr>
        <w:t xml:space="preserve">hoe het bedrag </w:t>
      </w:r>
      <w:r w:rsidR="00A66944">
        <w:rPr>
          <w:color w:val="000000" w:themeColor="text1"/>
          <w:spacing w:val="-3"/>
          <w:lang w:eastAsia="nl-NL"/>
        </w:rPr>
        <w:t xml:space="preserve">van de </w:t>
      </w:r>
      <w:r w:rsidR="00FD213F">
        <w:rPr>
          <w:color w:val="000000" w:themeColor="text1"/>
          <w:spacing w:val="-3"/>
          <w:lang w:eastAsia="nl-NL"/>
        </w:rPr>
        <w:t xml:space="preserve">billijke vergoeding </w:t>
      </w:r>
      <w:r w:rsidR="00A66944">
        <w:rPr>
          <w:color w:val="000000" w:themeColor="text1"/>
          <w:spacing w:val="-3"/>
          <w:lang w:eastAsia="nl-NL"/>
        </w:rPr>
        <w:t>wordt berekend</w:t>
      </w:r>
      <w:r w:rsidR="00FD213F">
        <w:rPr>
          <w:color w:val="000000" w:themeColor="text1"/>
          <w:spacing w:val="-3"/>
          <w:lang w:eastAsia="nl-NL"/>
        </w:rPr>
        <w:t>. De bedra</w:t>
      </w:r>
      <w:r w:rsidR="000C64A0">
        <w:rPr>
          <w:color w:val="000000" w:themeColor="text1"/>
          <w:spacing w:val="-3"/>
          <w:lang w:eastAsia="nl-NL"/>
        </w:rPr>
        <w:t xml:space="preserve">gen verschillen </w:t>
      </w:r>
      <w:r w:rsidR="00FD213F">
        <w:rPr>
          <w:color w:val="000000" w:themeColor="text1"/>
          <w:spacing w:val="-3"/>
          <w:lang w:eastAsia="nl-NL"/>
        </w:rPr>
        <w:t xml:space="preserve">enorm van elkaar. </w:t>
      </w:r>
      <w:r w:rsidR="000C64A0">
        <w:rPr>
          <w:color w:val="000000" w:themeColor="text1"/>
          <w:spacing w:val="-3"/>
          <w:lang w:eastAsia="nl-NL"/>
        </w:rPr>
        <w:t>E</w:t>
      </w:r>
      <w:r w:rsidR="00142087">
        <w:rPr>
          <w:color w:val="000000" w:themeColor="text1"/>
          <w:spacing w:val="-3"/>
          <w:lang w:eastAsia="nl-NL"/>
        </w:rPr>
        <w:t>r</w:t>
      </w:r>
      <w:r w:rsidR="000C64A0">
        <w:rPr>
          <w:color w:val="000000" w:themeColor="text1"/>
          <w:spacing w:val="-3"/>
          <w:lang w:eastAsia="nl-NL"/>
        </w:rPr>
        <w:t xml:space="preserve"> kan </w:t>
      </w:r>
      <w:r w:rsidR="000C64A0">
        <w:rPr>
          <w:color w:val="000000" w:themeColor="text1"/>
          <w:spacing w:val="-3"/>
          <w:lang w:eastAsia="nl-NL"/>
        </w:rPr>
        <w:lastRenderedPageBreak/>
        <w:t xml:space="preserve">met dit onderzoek geen garantie worden gegeven dat onder bepaalde </w:t>
      </w:r>
      <w:r w:rsidR="00773E60">
        <w:rPr>
          <w:color w:val="000000" w:themeColor="text1"/>
          <w:spacing w:val="-3"/>
          <w:lang w:eastAsia="nl-NL"/>
        </w:rPr>
        <w:t>omstandigheden een bepaald</w:t>
      </w:r>
      <w:r w:rsidR="000C64A0">
        <w:rPr>
          <w:color w:val="000000" w:themeColor="text1"/>
          <w:spacing w:val="-3"/>
          <w:lang w:eastAsia="nl-NL"/>
        </w:rPr>
        <w:t xml:space="preserve"> bedrag wordt toegekend. </w:t>
      </w:r>
    </w:p>
    <w:p w:rsidR="007E6428" w:rsidRDefault="007E6428">
      <w:pPr>
        <w:rPr>
          <w:b/>
          <w:color w:val="000000" w:themeColor="text1"/>
          <w:spacing w:val="-3"/>
          <w:lang w:eastAsia="nl-NL"/>
        </w:rPr>
      </w:pPr>
      <w:r>
        <w:rPr>
          <w:b/>
          <w:color w:val="000000" w:themeColor="text1"/>
          <w:spacing w:val="-3"/>
          <w:lang w:eastAsia="nl-NL"/>
        </w:rPr>
        <w:br w:type="page"/>
      </w:r>
    </w:p>
    <w:p w:rsidR="0084699C" w:rsidRPr="009A1473" w:rsidRDefault="00FC3789" w:rsidP="0082756D">
      <w:pPr>
        <w:pStyle w:val="Kop1"/>
        <w:spacing w:before="0" w:line="360" w:lineRule="auto"/>
        <w:rPr>
          <w:color w:val="auto"/>
          <w:lang w:eastAsia="nl-NL"/>
        </w:rPr>
      </w:pPr>
      <w:bookmarkStart w:id="16" w:name="_Toc472509273"/>
      <w:r w:rsidRPr="009A1473">
        <w:rPr>
          <w:color w:val="auto"/>
          <w:lang w:eastAsia="nl-NL"/>
        </w:rPr>
        <w:lastRenderedPageBreak/>
        <w:t xml:space="preserve">Hoofdstuk </w:t>
      </w:r>
      <w:r w:rsidR="003E0C33" w:rsidRPr="009A1473">
        <w:rPr>
          <w:color w:val="auto"/>
          <w:lang w:eastAsia="nl-NL"/>
        </w:rPr>
        <w:t>5:</w:t>
      </w:r>
      <w:r w:rsidRPr="009A1473">
        <w:rPr>
          <w:color w:val="auto"/>
          <w:lang w:eastAsia="nl-NL"/>
        </w:rPr>
        <w:t xml:space="preserve"> Aanbevelingen</w:t>
      </w:r>
      <w:bookmarkEnd w:id="16"/>
      <w:r w:rsidRPr="009A1473">
        <w:rPr>
          <w:color w:val="auto"/>
          <w:lang w:eastAsia="nl-NL"/>
        </w:rPr>
        <w:t xml:space="preserve"> </w:t>
      </w:r>
    </w:p>
    <w:p w:rsidR="00C45DCD" w:rsidRDefault="00C45DC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p>
    <w:p w:rsidR="00FC3789" w:rsidRDefault="00FC3789"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r>
        <w:rPr>
          <w:color w:val="000000" w:themeColor="text1"/>
          <w:spacing w:val="-3"/>
          <w:lang w:eastAsia="nl-NL"/>
        </w:rPr>
        <w:t>Om een overz</w:t>
      </w:r>
      <w:r w:rsidR="00D451CA">
        <w:rPr>
          <w:color w:val="000000" w:themeColor="text1"/>
          <w:spacing w:val="-3"/>
          <w:lang w:eastAsia="nl-NL"/>
        </w:rPr>
        <w:t>ichtelijk beeld te geven van</w:t>
      </w:r>
      <w:r>
        <w:rPr>
          <w:color w:val="000000" w:themeColor="text1"/>
          <w:spacing w:val="-3"/>
          <w:lang w:eastAsia="nl-NL"/>
        </w:rPr>
        <w:t xml:space="preserve"> de </w:t>
      </w:r>
      <w:r w:rsidR="00D451CA">
        <w:rPr>
          <w:color w:val="000000" w:themeColor="text1"/>
          <w:spacing w:val="-3"/>
          <w:lang w:eastAsia="nl-NL"/>
        </w:rPr>
        <w:t>belangrijkste punten</w:t>
      </w:r>
      <w:r>
        <w:rPr>
          <w:color w:val="000000" w:themeColor="text1"/>
          <w:spacing w:val="-3"/>
          <w:lang w:eastAsia="nl-NL"/>
        </w:rPr>
        <w:t xml:space="preserve"> uit dit onderzoek, word</w:t>
      </w:r>
      <w:r w:rsidR="00D01BEB">
        <w:rPr>
          <w:color w:val="000000" w:themeColor="text1"/>
          <w:spacing w:val="-3"/>
          <w:lang w:eastAsia="nl-NL"/>
        </w:rPr>
        <w:t>en</w:t>
      </w:r>
      <w:r>
        <w:rPr>
          <w:color w:val="000000" w:themeColor="text1"/>
          <w:spacing w:val="-3"/>
          <w:lang w:eastAsia="nl-NL"/>
        </w:rPr>
        <w:t xml:space="preserve"> hieronder </w:t>
      </w:r>
      <w:r w:rsidR="00D01BEB">
        <w:rPr>
          <w:color w:val="000000" w:themeColor="text1"/>
          <w:spacing w:val="-3"/>
          <w:lang w:eastAsia="nl-NL"/>
        </w:rPr>
        <w:t xml:space="preserve">aanbevelingen </w:t>
      </w:r>
      <w:r w:rsidR="003E53AA">
        <w:rPr>
          <w:color w:val="000000" w:themeColor="text1"/>
          <w:spacing w:val="-3"/>
          <w:lang w:eastAsia="nl-NL"/>
        </w:rPr>
        <w:t xml:space="preserve">gedaan </w:t>
      </w:r>
      <w:r w:rsidR="001D1077">
        <w:rPr>
          <w:color w:val="000000" w:themeColor="text1"/>
          <w:spacing w:val="-3"/>
          <w:lang w:eastAsia="nl-NL"/>
        </w:rPr>
        <w:t xml:space="preserve">aan Van Diepen en Van der Kroef </w:t>
      </w:r>
      <w:r>
        <w:rPr>
          <w:color w:val="000000" w:themeColor="text1"/>
          <w:spacing w:val="-3"/>
          <w:lang w:eastAsia="nl-NL"/>
        </w:rPr>
        <w:t>Advocaten</w:t>
      </w:r>
      <w:r w:rsidR="00D01BEB">
        <w:rPr>
          <w:color w:val="000000" w:themeColor="text1"/>
          <w:spacing w:val="-3"/>
          <w:lang w:eastAsia="nl-NL"/>
        </w:rPr>
        <w:t>. Deze aanbevelingen kunnen als leidraad worden gebruikt tijdens arbeidszaken ten aanzien van de billijke vergoeding. De aanbevelingen zijn verdeeld in twee groepen</w:t>
      </w:r>
      <w:r w:rsidR="00861334">
        <w:rPr>
          <w:color w:val="000000" w:themeColor="text1"/>
          <w:spacing w:val="-3"/>
          <w:lang w:eastAsia="nl-NL"/>
        </w:rPr>
        <w:t>,</w:t>
      </w:r>
      <w:r w:rsidR="00D01BEB">
        <w:rPr>
          <w:color w:val="000000" w:themeColor="text1"/>
          <w:spacing w:val="-3"/>
          <w:lang w:eastAsia="nl-NL"/>
        </w:rPr>
        <w:t xml:space="preserve"> namelijk de aanbevelingen indien de cliënt de werk</w:t>
      </w:r>
      <w:r w:rsidR="00812B02">
        <w:rPr>
          <w:color w:val="000000" w:themeColor="text1"/>
          <w:spacing w:val="-3"/>
          <w:lang w:eastAsia="nl-NL"/>
        </w:rPr>
        <w:t>gever</w:t>
      </w:r>
      <w:r w:rsidR="00D01BEB">
        <w:rPr>
          <w:color w:val="000000" w:themeColor="text1"/>
          <w:spacing w:val="-3"/>
          <w:lang w:eastAsia="nl-NL"/>
        </w:rPr>
        <w:t xml:space="preserve"> is en</w:t>
      </w:r>
      <w:r w:rsidR="00D01BEB" w:rsidRPr="00D01BEB">
        <w:rPr>
          <w:color w:val="000000" w:themeColor="text1"/>
          <w:spacing w:val="-3"/>
          <w:lang w:eastAsia="nl-NL"/>
        </w:rPr>
        <w:t xml:space="preserve"> </w:t>
      </w:r>
      <w:r w:rsidR="00D01BEB">
        <w:rPr>
          <w:color w:val="000000" w:themeColor="text1"/>
          <w:spacing w:val="-3"/>
          <w:lang w:eastAsia="nl-NL"/>
        </w:rPr>
        <w:t>aanbevelingen indien de cliënt de wer</w:t>
      </w:r>
      <w:r w:rsidR="00812B02">
        <w:rPr>
          <w:color w:val="000000" w:themeColor="text1"/>
          <w:spacing w:val="-3"/>
          <w:lang w:eastAsia="nl-NL"/>
        </w:rPr>
        <w:t>knemer</w:t>
      </w:r>
      <w:r w:rsidR="00D01BEB">
        <w:rPr>
          <w:color w:val="000000" w:themeColor="text1"/>
          <w:spacing w:val="-3"/>
          <w:lang w:eastAsia="nl-NL"/>
        </w:rPr>
        <w:t xml:space="preserve"> is. </w:t>
      </w:r>
    </w:p>
    <w:p w:rsidR="001D1077" w:rsidRPr="001D1077" w:rsidRDefault="001D1077"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r>
        <w:rPr>
          <w:color w:val="000000" w:themeColor="text1"/>
          <w:spacing w:val="-3"/>
          <w:lang w:eastAsia="nl-NL"/>
        </w:rPr>
        <w:t xml:space="preserve">Om in te schatten of de billijke vergoeding wordt toegekend moet er met de volgende omstandigheden rekening worden gehouden. </w:t>
      </w:r>
    </w:p>
    <w:p w:rsidR="009A1473" w:rsidRDefault="009A147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color w:val="000000" w:themeColor="text1"/>
          <w:spacing w:val="-3"/>
          <w:lang w:eastAsia="nl-NL"/>
        </w:rPr>
      </w:pPr>
    </w:p>
    <w:p w:rsidR="001D1077" w:rsidRDefault="001D1077"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color w:val="000000" w:themeColor="text1"/>
          <w:spacing w:val="-3"/>
          <w:lang w:eastAsia="nl-NL"/>
        </w:rPr>
      </w:pPr>
      <w:r>
        <w:rPr>
          <w:b/>
          <w:color w:val="000000" w:themeColor="text1"/>
          <w:spacing w:val="-3"/>
          <w:lang w:eastAsia="nl-NL"/>
        </w:rPr>
        <w:t xml:space="preserve">Cliënt is werkgever </w:t>
      </w:r>
    </w:p>
    <w:p w:rsidR="0082756D" w:rsidRDefault="0082756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p>
    <w:p w:rsidR="00D01BEB" w:rsidRDefault="001D1077"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color w:val="000000" w:themeColor="text1"/>
          <w:spacing w:val="-3"/>
          <w:lang w:eastAsia="nl-NL"/>
        </w:rPr>
      </w:pPr>
      <w:r>
        <w:rPr>
          <w:color w:val="000000" w:themeColor="text1"/>
          <w:spacing w:val="-3"/>
          <w:lang w:eastAsia="nl-NL"/>
        </w:rPr>
        <w:t>Aan Van Diepen Van der Kroef Advocaten wordt aanbevolen</w:t>
      </w:r>
      <w:r w:rsidR="00487D3E">
        <w:rPr>
          <w:b/>
          <w:color w:val="000000" w:themeColor="text1"/>
          <w:spacing w:val="-3"/>
          <w:lang w:eastAsia="nl-NL"/>
        </w:rPr>
        <w:t xml:space="preserve"> de werkgever</w:t>
      </w:r>
      <w:r w:rsidR="00487D3E">
        <w:rPr>
          <w:color w:val="000000" w:themeColor="text1"/>
          <w:spacing w:val="-3"/>
          <w:lang w:eastAsia="nl-NL"/>
        </w:rPr>
        <w:t xml:space="preserve"> te adviseren</w:t>
      </w:r>
      <w:r>
        <w:rPr>
          <w:color w:val="000000" w:themeColor="text1"/>
          <w:spacing w:val="-3"/>
          <w:lang w:eastAsia="nl-NL"/>
        </w:rPr>
        <w:t>:</w:t>
      </w:r>
    </w:p>
    <w:p w:rsidR="006B1626" w:rsidRDefault="006B162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color w:val="000000" w:themeColor="text1"/>
          <w:spacing w:val="-3"/>
          <w:lang w:eastAsia="nl-NL"/>
        </w:rPr>
      </w:pPr>
    </w:p>
    <w:p w:rsidR="001D1077" w:rsidRDefault="001D1077"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color w:val="000000" w:themeColor="text1"/>
          <w:spacing w:val="-3"/>
          <w:lang w:eastAsia="nl-NL"/>
        </w:rPr>
      </w:pPr>
      <w:r>
        <w:rPr>
          <w:b/>
          <w:color w:val="000000" w:themeColor="text1"/>
          <w:spacing w:val="-3"/>
          <w:lang w:eastAsia="nl-NL"/>
        </w:rPr>
        <w:t>1</w:t>
      </w:r>
      <w:r w:rsidR="00487D3E">
        <w:rPr>
          <w:b/>
          <w:color w:val="000000" w:themeColor="text1"/>
          <w:spacing w:val="-3"/>
          <w:lang w:eastAsia="nl-NL"/>
        </w:rPr>
        <w:t>.</w:t>
      </w:r>
      <w:r w:rsidR="00487D3E">
        <w:rPr>
          <w:color w:val="000000" w:themeColor="text1"/>
          <w:spacing w:val="-3"/>
          <w:lang w:eastAsia="nl-NL"/>
        </w:rPr>
        <w:t xml:space="preserve"> Z</w:t>
      </w:r>
      <w:r>
        <w:rPr>
          <w:color w:val="000000" w:themeColor="text1"/>
          <w:spacing w:val="-3"/>
          <w:lang w:eastAsia="nl-NL"/>
        </w:rPr>
        <w:t>o min mogelijk demoties, ontslag op staande voet, schorsingen, non-actief stellingen</w:t>
      </w:r>
      <w:r w:rsidRPr="001D1077">
        <w:rPr>
          <w:color w:val="000000" w:themeColor="text1"/>
          <w:spacing w:val="-3"/>
          <w:lang w:eastAsia="nl-NL"/>
        </w:rPr>
        <w:t xml:space="preserve"> </w:t>
      </w:r>
      <w:r>
        <w:rPr>
          <w:color w:val="000000" w:themeColor="text1"/>
          <w:spacing w:val="-3"/>
          <w:lang w:eastAsia="nl-NL"/>
        </w:rPr>
        <w:t xml:space="preserve">zonder behoud van loon in te zetten. Indien de kantonrechter deze onterecht acht, dan wordt er </w:t>
      </w:r>
      <w:r w:rsidR="00B13745">
        <w:rPr>
          <w:color w:val="000000" w:themeColor="text1"/>
          <w:spacing w:val="-3"/>
          <w:lang w:eastAsia="nl-NL"/>
        </w:rPr>
        <w:t xml:space="preserve">vaak </w:t>
      </w:r>
      <w:r>
        <w:rPr>
          <w:color w:val="000000" w:themeColor="text1"/>
          <w:spacing w:val="-3"/>
          <w:lang w:eastAsia="nl-NL"/>
        </w:rPr>
        <w:t xml:space="preserve">een </w:t>
      </w:r>
      <w:r w:rsidR="00B13745">
        <w:rPr>
          <w:color w:val="000000" w:themeColor="text1"/>
          <w:spacing w:val="-3"/>
          <w:lang w:eastAsia="nl-NL"/>
        </w:rPr>
        <w:t xml:space="preserve">relatief </w:t>
      </w:r>
      <w:r>
        <w:rPr>
          <w:color w:val="000000" w:themeColor="text1"/>
          <w:spacing w:val="-3"/>
          <w:lang w:eastAsia="nl-NL"/>
        </w:rPr>
        <w:t xml:space="preserve">hoge billijke vergoeding toegekend. </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487D3E" w:rsidRDefault="001D1077"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sidRPr="001D1077">
        <w:rPr>
          <w:b/>
          <w:color w:val="000000" w:themeColor="text1"/>
          <w:spacing w:val="-3"/>
          <w:lang w:eastAsia="nl-NL"/>
        </w:rPr>
        <w:t xml:space="preserve">2. </w:t>
      </w:r>
      <w:r w:rsidR="00487D3E">
        <w:rPr>
          <w:color w:val="000000" w:themeColor="text1"/>
          <w:spacing w:val="-3"/>
          <w:lang w:eastAsia="nl-NL"/>
        </w:rPr>
        <w:t>Zich in te spannen om de arbeidsrelatie te verbeteren. Bij vermeend disfunctioneren de werknemer meerdere malen aan</w:t>
      </w:r>
      <w:r w:rsidR="00861334">
        <w:rPr>
          <w:color w:val="000000" w:themeColor="text1"/>
          <w:spacing w:val="-3"/>
          <w:lang w:eastAsia="nl-NL"/>
        </w:rPr>
        <w:t xml:space="preserve"> te </w:t>
      </w:r>
      <w:r w:rsidR="00487D3E">
        <w:rPr>
          <w:color w:val="000000" w:themeColor="text1"/>
          <w:spacing w:val="-3"/>
          <w:lang w:eastAsia="nl-NL"/>
        </w:rPr>
        <w:t>spreken, z</w:t>
      </w:r>
      <w:r>
        <w:rPr>
          <w:color w:val="000000" w:themeColor="text1"/>
          <w:spacing w:val="-3"/>
          <w:lang w:eastAsia="nl-NL"/>
        </w:rPr>
        <w:t>ovee</w:t>
      </w:r>
      <w:r w:rsidR="00487D3E">
        <w:rPr>
          <w:color w:val="000000" w:themeColor="text1"/>
          <w:spacing w:val="-3"/>
          <w:lang w:eastAsia="nl-NL"/>
        </w:rPr>
        <w:t>l mogelijk verbetertrajecten in</w:t>
      </w:r>
      <w:r w:rsidR="00861334">
        <w:rPr>
          <w:color w:val="000000" w:themeColor="text1"/>
          <w:spacing w:val="-3"/>
          <w:lang w:eastAsia="nl-NL"/>
        </w:rPr>
        <w:t xml:space="preserve"> te </w:t>
      </w:r>
      <w:r>
        <w:rPr>
          <w:color w:val="000000" w:themeColor="text1"/>
          <w:spacing w:val="-3"/>
          <w:lang w:eastAsia="nl-NL"/>
        </w:rPr>
        <w:t>zetten zoals mediationtraje</w:t>
      </w:r>
      <w:r w:rsidR="003E53AA">
        <w:rPr>
          <w:color w:val="000000" w:themeColor="text1"/>
          <w:spacing w:val="-3"/>
          <w:lang w:eastAsia="nl-NL"/>
        </w:rPr>
        <w:t>cten, meerder</w:t>
      </w:r>
      <w:r w:rsidR="00487D3E">
        <w:rPr>
          <w:color w:val="000000" w:themeColor="text1"/>
          <w:spacing w:val="-3"/>
          <w:lang w:eastAsia="nl-NL"/>
        </w:rPr>
        <w:t xml:space="preserve">e malen functioneringsgesprekken </w:t>
      </w:r>
      <w:r w:rsidR="00861334">
        <w:rPr>
          <w:color w:val="000000" w:themeColor="text1"/>
          <w:spacing w:val="-3"/>
          <w:lang w:eastAsia="nl-NL"/>
        </w:rPr>
        <w:t xml:space="preserve">te </w:t>
      </w:r>
      <w:r w:rsidR="00487D3E">
        <w:rPr>
          <w:color w:val="000000" w:themeColor="text1"/>
          <w:spacing w:val="-3"/>
          <w:lang w:eastAsia="nl-NL"/>
        </w:rPr>
        <w:t>voeren</w:t>
      </w:r>
      <w:r w:rsidR="00861334">
        <w:rPr>
          <w:color w:val="000000" w:themeColor="text1"/>
          <w:spacing w:val="-3"/>
          <w:lang w:eastAsia="nl-NL"/>
        </w:rPr>
        <w:t xml:space="preserve"> en</w:t>
      </w:r>
      <w:r w:rsidR="00487D3E">
        <w:rPr>
          <w:color w:val="000000" w:themeColor="text1"/>
          <w:spacing w:val="-3"/>
          <w:lang w:eastAsia="nl-NL"/>
        </w:rPr>
        <w:t xml:space="preserve"> coaching en begeleiding aan</w:t>
      </w:r>
      <w:r w:rsidR="00861334">
        <w:rPr>
          <w:color w:val="000000" w:themeColor="text1"/>
          <w:spacing w:val="-3"/>
          <w:lang w:eastAsia="nl-NL"/>
        </w:rPr>
        <w:t xml:space="preserve"> te </w:t>
      </w:r>
      <w:r w:rsidR="00487D3E">
        <w:rPr>
          <w:color w:val="000000" w:themeColor="text1"/>
          <w:spacing w:val="-3"/>
          <w:lang w:eastAsia="nl-NL"/>
        </w:rPr>
        <w:t>bieden. Indien de werkgever zich niet of onvoldoende heeft ingespannen</w:t>
      </w:r>
      <w:r w:rsidR="00861334">
        <w:rPr>
          <w:color w:val="000000" w:themeColor="text1"/>
          <w:spacing w:val="-3"/>
          <w:lang w:eastAsia="nl-NL"/>
        </w:rPr>
        <w:t>,</w:t>
      </w:r>
      <w:r w:rsidR="00487D3E">
        <w:rPr>
          <w:color w:val="000000" w:themeColor="text1"/>
          <w:spacing w:val="-3"/>
          <w:lang w:eastAsia="nl-NL"/>
        </w:rPr>
        <w:t xml:space="preserve"> da</w:t>
      </w:r>
      <w:r w:rsidR="00861334">
        <w:rPr>
          <w:color w:val="000000" w:themeColor="text1"/>
          <w:spacing w:val="-3"/>
          <w:lang w:eastAsia="nl-NL"/>
        </w:rPr>
        <w:t>n</w:t>
      </w:r>
      <w:r w:rsidR="00487D3E">
        <w:rPr>
          <w:color w:val="000000" w:themeColor="text1"/>
          <w:spacing w:val="-3"/>
          <w:lang w:eastAsia="nl-NL"/>
        </w:rPr>
        <w:t xml:space="preserve"> wordt dat beschouw</w:t>
      </w:r>
      <w:r w:rsidR="00861334">
        <w:rPr>
          <w:color w:val="000000" w:themeColor="text1"/>
          <w:spacing w:val="-3"/>
          <w:lang w:eastAsia="nl-NL"/>
        </w:rPr>
        <w:t>d</w:t>
      </w:r>
      <w:r w:rsidR="00487D3E">
        <w:rPr>
          <w:color w:val="000000" w:themeColor="text1"/>
          <w:spacing w:val="-3"/>
          <w:lang w:eastAsia="nl-NL"/>
        </w:rPr>
        <w:t xml:space="preserve"> als ernstig verwijtbaar handelen van de werkgever</w:t>
      </w:r>
      <w:r w:rsidR="003E53AA">
        <w:rPr>
          <w:color w:val="000000" w:themeColor="text1"/>
          <w:spacing w:val="-3"/>
          <w:lang w:eastAsia="nl-NL"/>
        </w:rPr>
        <w:t xml:space="preserve">, waar een billijke vergoeding </w:t>
      </w:r>
      <w:r w:rsidR="00861334">
        <w:rPr>
          <w:color w:val="000000" w:themeColor="text1"/>
          <w:spacing w:val="-3"/>
          <w:lang w:eastAsia="nl-NL"/>
        </w:rPr>
        <w:t xml:space="preserve">voor de werknemer </w:t>
      </w:r>
      <w:r w:rsidR="003E53AA">
        <w:rPr>
          <w:color w:val="000000" w:themeColor="text1"/>
          <w:spacing w:val="-3"/>
          <w:lang w:eastAsia="nl-NL"/>
        </w:rPr>
        <w:t>tegenover zal staan</w:t>
      </w:r>
      <w:r w:rsidR="00487D3E">
        <w:rPr>
          <w:color w:val="000000" w:themeColor="text1"/>
          <w:spacing w:val="-3"/>
          <w:lang w:eastAsia="nl-NL"/>
        </w:rPr>
        <w:t>.</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487D3E" w:rsidRDefault="00487D3E"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Pr>
          <w:b/>
          <w:color w:val="000000" w:themeColor="text1"/>
          <w:spacing w:val="-3"/>
          <w:lang w:eastAsia="nl-NL"/>
        </w:rPr>
        <w:t xml:space="preserve">3. </w:t>
      </w:r>
      <w:r>
        <w:rPr>
          <w:color w:val="000000" w:themeColor="text1"/>
          <w:spacing w:val="-3"/>
          <w:lang w:eastAsia="nl-NL"/>
        </w:rPr>
        <w:t>Al</w:t>
      </w:r>
      <w:r w:rsidR="00861334">
        <w:rPr>
          <w:color w:val="000000" w:themeColor="text1"/>
          <w:spacing w:val="-3"/>
          <w:lang w:eastAsia="nl-NL"/>
        </w:rPr>
        <w:t>le</w:t>
      </w:r>
      <w:r>
        <w:rPr>
          <w:color w:val="000000" w:themeColor="text1"/>
          <w:spacing w:val="-3"/>
          <w:lang w:eastAsia="nl-NL"/>
        </w:rPr>
        <w:t xml:space="preserve"> hierboven genoemde trajecten en gesprekken dienen aangetoond te kunnen worden. Adviseer uw cliënt dan ook om alle ingezette middelen en gesprekken te bewaren of te e-mailen naar de werknemer. Indien er geen stukken kunnen worden getoond waaruit blijkt dat er trajecten zijn ingezet, dan wordt dat beschouwd als </w:t>
      </w:r>
      <w:r w:rsidR="00B13745">
        <w:rPr>
          <w:color w:val="000000" w:themeColor="text1"/>
          <w:spacing w:val="-3"/>
          <w:lang w:eastAsia="nl-NL"/>
        </w:rPr>
        <w:t>geen</w:t>
      </w:r>
      <w:r>
        <w:rPr>
          <w:color w:val="000000" w:themeColor="text1"/>
          <w:spacing w:val="-3"/>
          <w:lang w:eastAsia="nl-NL"/>
        </w:rPr>
        <w:t xml:space="preserve"> inspanning </w:t>
      </w:r>
      <w:r w:rsidR="00B13745">
        <w:rPr>
          <w:color w:val="000000" w:themeColor="text1"/>
          <w:spacing w:val="-3"/>
          <w:lang w:eastAsia="nl-NL"/>
        </w:rPr>
        <w:t>doen t</w:t>
      </w:r>
      <w:r>
        <w:rPr>
          <w:color w:val="000000" w:themeColor="text1"/>
          <w:spacing w:val="-3"/>
          <w:lang w:eastAsia="nl-NL"/>
        </w:rPr>
        <w:t xml:space="preserve">ot het verbeteren van de arbeidsrelatie. </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487D3E" w:rsidRDefault="00487D3E"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Pr>
          <w:b/>
          <w:color w:val="000000" w:themeColor="text1"/>
          <w:spacing w:val="-3"/>
          <w:lang w:eastAsia="nl-NL"/>
        </w:rPr>
        <w:t xml:space="preserve">4. </w:t>
      </w:r>
      <w:r>
        <w:rPr>
          <w:color w:val="000000" w:themeColor="text1"/>
          <w:spacing w:val="-3"/>
          <w:lang w:eastAsia="nl-NL"/>
        </w:rPr>
        <w:t xml:space="preserve">In te gaan op alle voorstellen </w:t>
      </w:r>
      <w:r w:rsidR="00D451CA">
        <w:rPr>
          <w:color w:val="000000" w:themeColor="text1"/>
          <w:spacing w:val="-3"/>
          <w:lang w:eastAsia="nl-NL"/>
        </w:rPr>
        <w:t>en adviezen</w:t>
      </w:r>
      <w:r>
        <w:rPr>
          <w:color w:val="000000" w:themeColor="text1"/>
          <w:spacing w:val="-3"/>
          <w:lang w:eastAsia="nl-NL"/>
        </w:rPr>
        <w:t xml:space="preserve"> van de bedrijfsarts</w:t>
      </w:r>
      <w:r w:rsidR="00B13745">
        <w:rPr>
          <w:color w:val="000000" w:themeColor="text1"/>
          <w:spacing w:val="-3"/>
          <w:lang w:eastAsia="nl-NL"/>
        </w:rPr>
        <w:t>. Indien de werkgever hier geen gehoor aan</w:t>
      </w:r>
      <w:r w:rsidR="00861334">
        <w:rPr>
          <w:color w:val="000000" w:themeColor="text1"/>
          <w:spacing w:val="-3"/>
          <w:lang w:eastAsia="nl-NL"/>
        </w:rPr>
        <w:t xml:space="preserve"> </w:t>
      </w:r>
      <w:r w:rsidR="00B13745">
        <w:rPr>
          <w:color w:val="000000" w:themeColor="text1"/>
          <w:spacing w:val="-3"/>
          <w:lang w:eastAsia="nl-NL"/>
        </w:rPr>
        <w:t>geeft</w:t>
      </w:r>
      <w:r w:rsidR="00861334">
        <w:rPr>
          <w:color w:val="000000" w:themeColor="text1"/>
          <w:spacing w:val="-3"/>
          <w:lang w:eastAsia="nl-NL"/>
        </w:rPr>
        <w:t>,</w:t>
      </w:r>
      <w:r w:rsidR="00B13745">
        <w:rPr>
          <w:color w:val="000000" w:themeColor="text1"/>
          <w:spacing w:val="-3"/>
          <w:lang w:eastAsia="nl-NL"/>
        </w:rPr>
        <w:t xml:space="preserve"> dan wordt dat als er</w:t>
      </w:r>
      <w:r w:rsidR="003E53AA">
        <w:rPr>
          <w:color w:val="000000" w:themeColor="text1"/>
          <w:spacing w:val="-3"/>
          <w:lang w:eastAsia="nl-NL"/>
        </w:rPr>
        <w:t>nstig verwijtbaar gekwalificeerd</w:t>
      </w:r>
      <w:r w:rsidR="00B13745">
        <w:rPr>
          <w:color w:val="000000" w:themeColor="text1"/>
          <w:spacing w:val="-3"/>
          <w:lang w:eastAsia="nl-NL"/>
        </w:rPr>
        <w:t xml:space="preserve">. </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B13745" w:rsidRDefault="00B13745"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Pr>
          <w:b/>
          <w:color w:val="000000" w:themeColor="text1"/>
          <w:spacing w:val="-3"/>
          <w:lang w:eastAsia="nl-NL"/>
        </w:rPr>
        <w:lastRenderedPageBreak/>
        <w:t xml:space="preserve">5. </w:t>
      </w:r>
      <w:r w:rsidR="00B7792D">
        <w:rPr>
          <w:color w:val="000000" w:themeColor="text1"/>
          <w:spacing w:val="-3"/>
          <w:lang w:eastAsia="nl-NL"/>
        </w:rPr>
        <w:t xml:space="preserve">Alle verwijtbare gedragingen van de werknemer vast te stellen en aan te tonen middels bijvoorbeeld verslagen. Kantonrechters wegen het gedrag van de werknemer mee bij het bepalen of de billijke vergoeding wordt toegekend en zo ja, hoe hoog deze vergoeding wordt. </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B7792D" w:rsidRDefault="00B7792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Pr>
          <w:b/>
          <w:color w:val="000000" w:themeColor="text1"/>
          <w:spacing w:val="-3"/>
          <w:lang w:eastAsia="nl-NL"/>
        </w:rPr>
        <w:t xml:space="preserve">6. </w:t>
      </w:r>
      <w:r>
        <w:rPr>
          <w:color w:val="000000" w:themeColor="text1"/>
          <w:spacing w:val="-3"/>
          <w:lang w:eastAsia="nl-NL"/>
        </w:rPr>
        <w:t xml:space="preserve">Indien de financiële situatie van de onderneming </w:t>
      </w:r>
      <w:r w:rsidR="008208F7">
        <w:rPr>
          <w:color w:val="000000" w:themeColor="text1"/>
          <w:spacing w:val="-3"/>
          <w:lang w:eastAsia="nl-NL"/>
        </w:rPr>
        <w:t>er slecht aan toe is</w:t>
      </w:r>
      <w:r>
        <w:rPr>
          <w:color w:val="000000" w:themeColor="text1"/>
          <w:spacing w:val="-3"/>
          <w:lang w:eastAsia="nl-NL"/>
        </w:rPr>
        <w:t xml:space="preserve">, dit </w:t>
      </w:r>
      <w:r w:rsidR="008208F7">
        <w:rPr>
          <w:color w:val="000000" w:themeColor="text1"/>
          <w:spacing w:val="-3"/>
          <w:lang w:eastAsia="nl-NL"/>
        </w:rPr>
        <w:t>aan te kunnen tonen</w:t>
      </w:r>
      <w:r>
        <w:rPr>
          <w:color w:val="000000" w:themeColor="text1"/>
          <w:spacing w:val="-3"/>
          <w:lang w:eastAsia="nl-NL"/>
        </w:rPr>
        <w:t xml:space="preserve"> middels stukken waaruit blijkt dat de financiële situatie </w:t>
      </w:r>
      <w:r w:rsidR="008208F7">
        <w:rPr>
          <w:color w:val="000000" w:themeColor="text1"/>
          <w:spacing w:val="-3"/>
          <w:lang w:eastAsia="nl-NL"/>
        </w:rPr>
        <w:t>slecht is of achteruit gaat. De kantonrechter houdt rekening met de financiële situatie van de werkgever bij het bepalen van de hoogte van de billijke vergoeding. Van Diepen en Van der Kroef Advocaten kan dit voor zijn cliënt aanvoeren om (indien sprake is van ernstig verwijtbaar handelen van de werkgever) een lagere billijke vergoeding te betalen aan de werknemer</w:t>
      </w:r>
      <w:r w:rsidR="00861334">
        <w:rPr>
          <w:color w:val="000000" w:themeColor="text1"/>
          <w:spacing w:val="-3"/>
          <w:lang w:eastAsia="nl-NL"/>
        </w:rPr>
        <w:t>.</w:t>
      </w:r>
    </w:p>
    <w:p w:rsidR="000452C8" w:rsidRDefault="000452C8"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8208F7" w:rsidRDefault="008208F7"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Pr>
          <w:b/>
          <w:color w:val="000000" w:themeColor="text1"/>
          <w:spacing w:val="-3"/>
          <w:lang w:eastAsia="nl-NL"/>
        </w:rPr>
        <w:t xml:space="preserve">7. </w:t>
      </w:r>
      <w:r w:rsidR="003E53AA">
        <w:rPr>
          <w:color w:val="000000" w:themeColor="text1"/>
          <w:spacing w:val="-3"/>
          <w:lang w:eastAsia="nl-NL"/>
        </w:rPr>
        <w:t xml:space="preserve">Dat indien er sprake is van een kleine onderneming, de kantonrechter daar rekening mee kan houden bij </w:t>
      </w:r>
      <w:r w:rsidR="003E0C33">
        <w:rPr>
          <w:color w:val="000000" w:themeColor="text1"/>
          <w:spacing w:val="-3"/>
          <w:lang w:eastAsia="nl-NL"/>
        </w:rPr>
        <w:t>het bepalen</w:t>
      </w:r>
      <w:r w:rsidR="00F9403C">
        <w:rPr>
          <w:color w:val="000000" w:themeColor="text1"/>
          <w:spacing w:val="-3"/>
          <w:lang w:eastAsia="nl-NL"/>
        </w:rPr>
        <w:t xml:space="preserve"> van de hoogte van de billijke vergoeding. </w:t>
      </w:r>
    </w:p>
    <w:p w:rsidR="00F9403C" w:rsidRDefault="00F9403C"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p>
    <w:p w:rsidR="00F9403C" w:rsidRPr="00F9403C" w:rsidRDefault="00F9403C"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r w:rsidRPr="00F9403C">
        <w:rPr>
          <w:b/>
          <w:color w:val="000000" w:themeColor="text1"/>
          <w:spacing w:val="-3"/>
          <w:lang w:eastAsia="nl-NL"/>
        </w:rPr>
        <w:t>Cliënt is werknemer</w:t>
      </w:r>
    </w:p>
    <w:p w:rsidR="0082756D" w:rsidRDefault="0082756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p>
    <w:p w:rsidR="00487D3E" w:rsidRDefault="00AB10F7"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Pr>
          <w:color w:val="000000" w:themeColor="text1"/>
          <w:spacing w:val="-3"/>
          <w:lang w:eastAsia="nl-NL"/>
        </w:rPr>
        <w:t xml:space="preserve">Aan Van Diepen Van der Kroef Advocaten wordt </w:t>
      </w:r>
      <w:r w:rsidR="0034435A">
        <w:rPr>
          <w:color w:val="000000" w:themeColor="text1"/>
          <w:spacing w:val="-3"/>
          <w:lang w:eastAsia="nl-NL"/>
        </w:rPr>
        <w:t xml:space="preserve">het volgende </w:t>
      </w:r>
      <w:r>
        <w:rPr>
          <w:color w:val="000000" w:themeColor="text1"/>
          <w:spacing w:val="-3"/>
          <w:lang w:eastAsia="nl-NL"/>
        </w:rPr>
        <w:t>aanbevolen</w:t>
      </w:r>
      <w:r w:rsidR="007300D3">
        <w:rPr>
          <w:color w:val="000000" w:themeColor="text1"/>
          <w:spacing w:val="-3"/>
          <w:lang w:eastAsia="nl-NL"/>
        </w:rPr>
        <w:t xml:space="preserve"> indien </w:t>
      </w:r>
      <w:r w:rsidR="0034435A">
        <w:rPr>
          <w:color w:val="000000" w:themeColor="text1"/>
          <w:spacing w:val="-3"/>
          <w:lang w:eastAsia="nl-NL"/>
        </w:rPr>
        <w:t>de cliënt</w:t>
      </w:r>
      <w:r>
        <w:rPr>
          <w:b/>
          <w:color w:val="000000" w:themeColor="text1"/>
          <w:spacing w:val="-3"/>
          <w:lang w:eastAsia="nl-NL"/>
        </w:rPr>
        <w:t xml:space="preserve"> werknemer</w:t>
      </w:r>
      <w:r w:rsidR="0034435A">
        <w:rPr>
          <w:b/>
          <w:color w:val="000000" w:themeColor="text1"/>
          <w:spacing w:val="-3"/>
          <w:lang w:eastAsia="nl-NL"/>
        </w:rPr>
        <w:t xml:space="preserve"> </w:t>
      </w:r>
      <w:r w:rsidR="0034435A">
        <w:rPr>
          <w:color w:val="000000" w:themeColor="text1"/>
          <w:spacing w:val="-3"/>
          <w:lang w:eastAsia="nl-NL"/>
        </w:rPr>
        <w:t>is</w:t>
      </w:r>
      <w:r>
        <w:rPr>
          <w:color w:val="000000" w:themeColor="text1"/>
          <w:spacing w:val="-3"/>
          <w:lang w:eastAsia="nl-NL"/>
        </w:rPr>
        <w:t>:</w:t>
      </w:r>
    </w:p>
    <w:p w:rsidR="006B1626" w:rsidRDefault="006B162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AB10F7" w:rsidRDefault="0034435A"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sidRPr="0082756D">
        <w:rPr>
          <w:b/>
          <w:color w:val="000000" w:themeColor="text1"/>
          <w:spacing w:val="-3"/>
          <w:lang w:eastAsia="nl-NL"/>
        </w:rPr>
        <w:t>1.</w:t>
      </w:r>
      <w:r>
        <w:rPr>
          <w:color w:val="000000" w:themeColor="text1"/>
          <w:spacing w:val="-3"/>
          <w:lang w:eastAsia="nl-NL"/>
        </w:rPr>
        <w:t xml:space="preserve"> </w:t>
      </w:r>
      <w:r w:rsidR="007300D3">
        <w:rPr>
          <w:color w:val="000000" w:themeColor="text1"/>
          <w:spacing w:val="-3"/>
          <w:lang w:eastAsia="nl-NL"/>
        </w:rPr>
        <w:t xml:space="preserve">Van Diepen </w:t>
      </w:r>
      <w:r w:rsidR="00D451CA">
        <w:rPr>
          <w:color w:val="000000" w:themeColor="text1"/>
          <w:spacing w:val="-3"/>
          <w:lang w:eastAsia="nl-NL"/>
        </w:rPr>
        <w:t>Van der</w:t>
      </w:r>
      <w:r w:rsidR="007300D3">
        <w:rPr>
          <w:color w:val="000000" w:themeColor="text1"/>
          <w:spacing w:val="-3"/>
          <w:lang w:eastAsia="nl-NL"/>
        </w:rPr>
        <w:t xml:space="preserve"> Kroef Advocaten dient uit te zoeken of er </w:t>
      </w:r>
      <w:r w:rsidR="008A7E4C">
        <w:rPr>
          <w:color w:val="000000" w:themeColor="text1"/>
          <w:spacing w:val="-3"/>
          <w:lang w:eastAsia="nl-NL"/>
        </w:rPr>
        <w:t xml:space="preserve">door de werkgever </w:t>
      </w:r>
      <w:r w:rsidR="007300D3">
        <w:rPr>
          <w:color w:val="000000" w:themeColor="text1"/>
          <w:spacing w:val="-3"/>
          <w:lang w:eastAsia="nl-NL"/>
        </w:rPr>
        <w:t xml:space="preserve">onterechte middelen zijn ingezet, zoals demoties, ontslag op staande voet, schorsingen en </w:t>
      </w:r>
      <w:r w:rsidR="008A7E4C">
        <w:rPr>
          <w:color w:val="000000" w:themeColor="text1"/>
          <w:spacing w:val="-3"/>
          <w:lang w:eastAsia="nl-NL"/>
        </w:rPr>
        <w:t xml:space="preserve">op </w:t>
      </w:r>
      <w:r w:rsidR="007300D3">
        <w:rPr>
          <w:color w:val="000000" w:themeColor="text1"/>
          <w:spacing w:val="-3"/>
          <w:lang w:eastAsia="nl-NL"/>
        </w:rPr>
        <w:t>non-actief stellingen</w:t>
      </w:r>
      <w:r w:rsidR="007300D3" w:rsidRPr="001D1077">
        <w:rPr>
          <w:color w:val="000000" w:themeColor="text1"/>
          <w:spacing w:val="-3"/>
          <w:lang w:eastAsia="nl-NL"/>
        </w:rPr>
        <w:t xml:space="preserve"> </w:t>
      </w:r>
      <w:r w:rsidR="007300D3">
        <w:rPr>
          <w:color w:val="000000" w:themeColor="text1"/>
          <w:spacing w:val="-3"/>
          <w:lang w:eastAsia="nl-NL"/>
        </w:rPr>
        <w:t xml:space="preserve">zonder behoud van </w:t>
      </w:r>
      <w:r w:rsidR="00D451CA">
        <w:rPr>
          <w:color w:val="000000" w:themeColor="text1"/>
          <w:spacing w:val="-3"/>
          <w:lang w:eastAsia="nl-NL"/>
        </w:rPr>
        <w:t>loon.</w:t>
      </w:r>
      <w:r w:rsidR="007300D3">
        <w:rPr>
          <w:color w:val="000000" w:themeColor="text1"/>
          <w:spacing w:val="-3"/>
          <w:lang w:eastAsia="nl-NL"/>
        </w:rPr>
        <w:t xml:space="preserve"> Indien dit het geval is, dan is de kans groot dat er een relatief hoge billijke vergoeding wordt toegekend. </w:t>
      </w:r>
    </w:p>
    <w:p w:rsidR="006B1626" w:rsidRDefault="006B162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7300D3" w:rsidRDefault="007300D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sidRPr="0082756D">
        <w:rPr>
          <w:b/>
          <w:color w:val="000000" w:themeColor="text1"/>
          <w:spacing w:val="-3"/>
          <w:lang w:eastAsia="nl-NL"/>
        </w:rPr>
        <w:t>2.</w:t>
      </w:r>
      <w:r>
        <w:rPr>
          <w:color w:val="000000" w:themeColor="text1"/>
          <w:spacing w:val="-3"/>
          <w:lang w:eastAsia="nl-NL"/>
        </w:rPr>
        <w:t xml:space="preserve"> Van Diepen en Van der Kroef Advocaten dient uit te zoeken of de werkgever zich genoeg heeft ingespannen om de arbeidsrelatie te verbeteren. Dus er dient gekeken te worden of er verbetertrajecten zijn geweest en</w:t>
      </w:r>
      <w:r w:rsidR="008A7E4C">
        <w:rPr>
          <w:color w:val="000000" w:themeColor="text1"/>
          <w:spacing w:val="-3"/>
          <w:lang w:eastAsia="nl-NL"/>
        </w:rPr>
        <w:t>/</w:t>
      </w:r>
      <w:r>
        <w:rPr>
          <w:color w:val="000000" w:themeColor="text1"/>
          <w:spacing w:val="-3"/>
          <w:lang w:eastAsia="nl-NL"/>
        </w:rPr>
        <w:t xml:space="preserve">of de werknemer meerdere malen is aangesproken op het vermeende gedrag, of er coaching en begeleiding is aangeboden en of er mediationtrajecten zijn ingezet. Indien dit niet voldoende is gedaan, is de kans groot dat er een billijke vergoeding wordt toegekend. </w:t>
      </w:r>
    </w:p>
    <w:p w:rsidR="006B1626" w:rsidRDefault="006B162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7300D3" w:rsidRDefault="007300D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sidRPr="0082756D">
        <w:rPr>
          <w:b/>
          <w:color w:val="000000" w:themeColor="text1"/>
          <w:spacing w:val="-3"/>
          <w:lang w:eastAsia="nl-NL"/>
        </w:rPr>
        <w:t>3.</w:t>
      </w:r>
      <w:r>
        <w:rPr>
          <w:color w:val="000000" w:themeColor="text1"/>
          <w:spacing w:val="-3"/>
          <w:lang w:eastAsia="nl-NL"/>
        </w:rPr>
        <w:t xml:space="preserve"> Van Diepen en Van der Kroef Advocaten dient uit te zoeken of de werknemer zich ‘netjes’ heeft gedragen. Indien de werknemer bijvoorbeeld meerdere malen te laat is gekomen, veel heeft gescholden op de werkvloer</w:t>
      </w:r>
      <w:r w:rsidR="008A7E4C">
        <w:rPr>
          <w:color w:val="000000" w:themeColor="text1"/>
          <w:spacing w:val="-3"/>
          <w:lang w:eastAsia="nl-NL"/>
        </w:rPr>
        <w:t xml:space="preserve"> of</w:t>
      </w:r>
      <w:r>
        <w:rPr>
          <w:color w:val="000000" w:themeColor="text1"/>
          <w:spacing w:val="-3"/>
          <w:lang w:eastAsia="nl-NL"/>
        </w:rPr>
        <w:t xml:space="preserve"> al</w:t>
      </w:r>
      <w:r w:rsidR="003E53AA">
        <w:rPr>
          <w:color w:val="000000" w:themeColor="text1"/>
          <w:spacing w:val="-3"/>
          <w:lang w:eastAsia="nl-NL"/>
        </w:rPr>
        <w:t>cohol heeft genuttigd</w:t>
      </w:r>
      <w:r>
        <w:rPr>
          <w:color w:val="000000" w:themeColor="text1"/>
          <w:spacing w:val="-3"/>
          <w:lang w:eastAsia="nl-NL"/>
        </w:rPr>
        <w:t>, dan kan dat invloed hebben op de hoogte van de billijke vergoeding.</w:t>
      </w:r>
    </w:p>
    <w:p w:rsidR="006B1626" w:rsidRDefault="006B162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7300D3" w:rsidRDefault="007300D3"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sidRPr="0082756D">
        <w:rPr>
          <w:b/>
          <w:color w:val="000000" w:themeColor="text1"/>
          <w:spacing w:val="-3"/>
          <w:lang w:eastAsia="nl-NL"/>
        </w:rPr>
        <w:lastRenderedPageBreak/>
        <w:t>4.</w:t>
      </w:r>
      <w:r>
        <w:rPr>
          <w:color w:val="000000" w:themeColor="text1"/>
          <w:spacing w:val="-3"/>
          <w:lang w:eastAsia="nl-NL"/>
        </w:rPr>
        <w:t xml:space="preserve"> Van Diepen en Van der Kroef Advocaten dient uit te zoeken of </w:t>
      </w:r>
      <w:r w:rsidR="00F160AD">
        <w:rPr>
          <w:color w:val="000000" w:themeColor="text1"/>
          <w:spacing w:val="-3"/>
          <w:lang w:eastAsia="nl-NL"/>
        </w:rPr>
        <w:t xml:space="preserve">er voldoende rekening is gehouden met de persoonlijke omstandigheden van de werknemer. Indien de persoonlijke situatie van de werknemer </w:t>
      </w:r>
      <w:r w:rsidR="008A7E4C">
        <w:rPr>
          <w:color w:val="000000" w:themeColor="text1"/>
          <w:spacing w:val="-3"/>
          <w:lang w:eastAsia="nl-NL"/>
        </w:rPr>
        <w:t xml:space="preserve">volgens de </w:t>
      </w:r>
      <w:r w:rsidR="00371F0E">
        <w:rPr>
          <w:color w:val="000000" w:themeColor="text1"/>
          <w:spacing w:val="-3"/>
          <w:lang w:eastAsia="nl-NL"/>
        </w:rPr>
        <w:t>a</w:t>
      </w:r>
      <w:r w:rsidR="00D451CA">
        <w:rPr>
          <w:color w:val="000000" w:themeColor="text1"/>
          <w:spacing w:val="-3"/>
          <w:lang w:eastAsia="nl-NL"/>
        </w:rPr>
        <w:t>rbo</w:t>
      </w:r>
      <w:r w:rsidR="00371F0E">
        <w:rPr>
          <w:color w:val="000000" w:themeColor="text1"/>
          <w:spacing w:val="-3"/>
          <w:lang w:eastAsia="nl-NL"/>
        </w:rPr>
        <w:t>-</w:t>
      </w:r>
      <w:r w:rsidR="00D451CA">
        <w:rPr>
          <w:color w:val="000000" w:themeColor="text1"/>
          <w:spacing w:val="-3"/>
          <w:lang w:eastAsia="nl-NL"/>
        </w:rPr>
        <w:t>arts</w:t>
      </w:r>
      <w:r w:rsidR="008A7E4C">
        <w:rPr>
          <w:color w:val="000000" w:themeColor="text1"/>
          <w:spacing w:val="-3"/>
          <w:lang w:eastAsia="nl-NL"/>
        </w:rPr>
        <w:t xml:space="preserve"> </w:t>
      </w:r>
      <w:r w:rsidR="00F160AD">
        <w:rPr>
          <w:color w:val="000000" w:themeColor="text1"/>
          <w:spacing w:val="-3"/>
          <w:lang w:eastAsia="nl-NL"/>
        </w:rPr>
        <w:t>zorgt voor ziekte en de werkgever houdt hier geen rekening mee, dan kan dat de hoogte van billijke vergoeding (</w:t>
      </w:r>
      <w:r w:rsidR="008A7E4C">
        <w:rPr>
          <w:color w:val="000000" w:themeColor="text1"/>
          <w:spacing w:val="-3"/>
          <w:lang w:eastAsia="nl-NL"/>
        </w:rPr>
        <w:t xml:space="preserve">voor de werknemer </w:t>
      </w:r>
      <w:r w:rsidR="00D451CA">
        <w:rPr>
          <w:color w:val="000000" w:themeColor="text1"/>
          <w:spacing w:val="-3"/>
          <w:lang w:eastAsia="nl-NL"/>
        </w:rPr>
        <w:t>positief)</w:t>
      </w:r>
      <w:r w:rsidR="003E53AA">
        <w:rPr>
          <w:color w:val="000000" w:themeColor="text1"/>
          <w:spacing w:val="-3"/>
          <w:lang w:eastAsia="nl-NL"/>
        </w:rPr>
        <w:t xml:space="preserve"> beï</w:t>
      </w:r>
      <w:r w:rsidR="00F160AD">
        <w:rPr>
          <w:color w:val="000000" w:themeColor="text1"/>
          <w:spacing w:val="-3"/>
          <w:lang w:eastAsia="nl-NL"/>
        </w:rPr>
        <w:t xml:space="preserve">nvloeden. </w:t>
      </w:r>
    </w:p>
    <w:p w:rsidR="006B1626" w:rsidRDefault="006B162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84699C" w:rsidRDefault="00F160A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sidRPr="0082756D">
        <w:rPr>
          <w:b/>
          <w:color w:val="000000" w:themeColor="text1"/>
          <w:spacing w:val="-3"/>
          <w:lang w:eastAsia="nl-NL"/>
        </w:rPr>
        <w:t>5.</w:t>
      </w:r>
      <w:r>
        <w:rPr>
          <w:color w:val="000000" w:themeColor="text1"/>
          <w:spacing w:val="-3"/>
          <w:lang w:eastAsia="nl-NL"/>
        </w:rPr>
        <w:t xml:space="preserve"> Van Diepen en Van der Kroef Advocaten kan, indien van toepassing, aa</w:t>
      </w:r>
      <w:r w:rsidR="003E53AA">
        <w:rPr>
          <w:color w:val="000000" w:themeColor="text1"/>
          <w:spacing w:val="-3"/>
          <w:lang w:eastAsia="nl-NL"/>
        </w:rPr>
        <w:t>n</w:t>
      </w:r>
      <w:r>
        <w:rPr>
          <w:color w:val="000000" w:themeColor="text1"/>
          <w:spacing w:val="-3"/>
          <w:lang w:eastAsia="nl-NL"/>
        </w:rPr>
        <w:t xml:space="preserve">voeren wat de kansen zijn van de werknemer op de arbeidsmarkt. Dit kan zorgen voor een hogere billijke vergoeding. </w:t>
      </w:r>
    </w:p>
    <w:p w:rsidR="006B1626" w:rsidRDefault="006B1626"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b/>
          <w:color w:val="000000" w:themeColor="text1"/>
          <w:spacing w:val="-3"/>
          <w:lang w:eastAsia="nl-NL"/>
        </w:rPr>
      </w:pPr>
    </w:p>
    <w:p w:rsidR="007E6428" w:rsidRDefault="00F160AD" w:rsidP="008275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right" w:pos="9095"/>
        </w:tabs>
        <w:spacing w:after="0" w:line="360" w:lineRule="auto"/>
        <w:ind w:right="-23"/>
        <w:rPr>
          <w:color w:val="000000" w:themeColor="text1"/>
          <w:spacing w:val="-3"/>
          <w:lang w:eastAsia="nl-NL"/>
        </w:rPr>
      </w:pPr>
      <w:r w:rsidRPr="0082756D">
        <w:rPr>
          <w:b/>
          <w:color w:val="000000" w:themeColor="text1"/>
          <w:spacing w:val="-3"/>
          <w:lang w:eastAsia="nl-NL"/>
        </w:rPr>
        <w:t>6.</w:t>
      </w:r>
      <w:r>
        <w:rPr>
          <w:color w:val="000000" w:themeColor="text1"/>
          <w:spacing w:val="-3"/>
          <w:lang w:eastAsia="nl-NL"/>
        </w:rPr>
        <w:t xml:space="preserve"> Van Diepen en Van der Kroef Advocaten kan, indien van toepassing, aanvoeren wat de emotionele gevolgen zijn voor de werknemer. Denk hierbij aan een lang dienstverband waarbij de werknemer op een onterechte wijze is behandeld. Uit het onderzoek blijkt dat </w:t>
      </w:r>
      <w:r w:rsidR="008A7E4C">
        <w:rPr>
          <w:color w:val="000000" w:themeColor="text1"/>
          <w:spacing w:val="-3"/>
          <w:lang w:eastAsia="nl-NL"/>
        </w:rPr>
        <w:t xml:space="preserve">in </w:t>
      </w:r>
      <w:r>
        <w:rPr>
          <w:color w:val="000000" w:themeColor="text1"/>
          <w:spacing w:val="-3"/>
          <w:lang w:eastAsia="nl-NL"/>
        </w:rPr>
        <w:t xml:space="preserve">een dergelijk geval een relatief hoge billijke vergoeding wordt toegewezen. </w:t>
      </w:r>
    </w:p>
    <w:p w:rsidR="007E6428" w:rsidRDefault="007E6428">
      <w:pPr>
        <w:rPr>
          <w:color w:val="000000" w:themeColor="text1"/>
          <w:spacing w:val="-3"/>
          <w:lang w:eastAsia="nl-NL"/>
        </w:rPr>
      </w:pPr>
      <w:r>
        <w:rPr>
          <w:color w:val="000000" w:themeColor="text1"/>
          <w:spacing w:val="-3"/>
          <w:lang w:eastAsia="nl-NL"/>
        </w:rPr>
        <w:br w:type="page"/>
      </w:r>
    </w:p>
    <w:p w:rsidR="002932B2" w:rsidRPr="009A1473" w:rsidRDefault="00C45DCD" w:rsidP="00C45DCD">
      <w:pPr>
        <w:pStyle w:val="Kop1"/>
        <w:spacing w:before="0" w:line="360" w:lineRule="auto"/>
        <w:rPr>
          <w:color w:val="auto"/>
        </w:rPr>
      </w:pPr>
      <w:bookmarkStart w:id="17" w:name="_Toc472509274"/>
      <w:r w:rsidRPr="009A1473">
        <w:rPr>
          <w:color w:val="auto"/>
        </w:rPr>
        <w:lastRenderedPageBreak/>
        <w:t xml:space="preserve">Bronnen- en </w:t>
      </w:r>
      <w:r w:rsidR="002932B2" w:rsidRPr="009A1473">
        <w:rPr>
          <w:color w:val="auto"/>
        </w:rPr>
        <w:t>Literatuurlijst</w:t>
      </w:r>
      <w:bookmarkEnd w:id="17"/>
    </w:p>
    <w:p w:rsidR="00C45DCD" w:rsidRDefault="00C45DCD" w:rsidP="00C45DCD">
      <w:pPr>
        <w:spacing w:after="0" w:line="360" w:lineRule="auto"/>
        <w:rPr>
          <w:b/>
        </w:rPr>
      </w:pPr>
    </w:p>
    <w:p w:rsidR="00CF42C6" w:rsidRPr="00F67FD7" w:rsidRDefault="00DD5CB8" w:rsidP="00C45DCD">
      <w:pPr>
        <w:spacing w:after="0" w:line="360" w:lineRule="auto"/>
        <w:rPr>
          <w:b/>
          <w:sz w:val="24"/>
          <w:szCs w:val="24"/>
        </w:rPr>
      </w:pPr>
      <w:r w:rsidRPr="00F67FD7">
        <w:rPr>
          <w:b/>
          <w:sz w:val="24"/>
          <w:szCs w:val="24"/>
        </w:rPr>
        <w:t>Boeken</w:t>
      </w:r>
    </w:p>
    <w:p w:rsidR="00DD5CB8" w:rsidRPr="00DD5CB8" w:rsidRDefault="00DD5CB8" w:rsidP="00DD5CB8">
      <w:pPr>
        <w:pStyle w:val="Geenafstand"/>
        <w:rPr>
          <w:b/>
          <w:bCs/>
          <w:lang w:eastAsia="nl-NL"/>
        </w:rPr>
      </w:pPr>
      <w:r w:rsidRPr="00DD5CB8">
        <w:rPr>
          <w:b/>
          <w:bCs/>
          <w:lang w:eastAsia="nl-NL"/>
        </w:rPr>
        <w:t>Mr. C.J. Loonstra</w:t>
      </w:r>
      <w:r>
        <w:rPr>
          <w:b/>
          <w:bCs/>
          <w:lang w:eastAsia="nl-NL"/>
        </w:rPr>
        <w:t xml:space="preserve"> 2015</w:t>
      </w:r>
    </w:p>
    <w:p w:rsidR="00590830" w:rsidRDefault="00590830" w:rsidP="00DD5CB8">
      <w:pPr>
        <w:pStyle w:val="Geenafstand"/>
      </w:pPr>
      <w:r>
        <w:rPr>
          <w:lang w:eastAsia="nl-NL"/>
        </w:rPr>
        <w:t xml:space="preserve">Mr. C.J. </w:t>
      </w:r>
      <w:r w:rsidR="00D451CA">
        <w:rPr>
          <w:lang w:eastAsia="nl-NL"/>
        </w:rPr>
        <w:t>Loonstra,</w:t>
      </w:r>
      <w:r>
        <w:rPr>
          <w:lang w:eastAsia="nl-NL"/>
        </w:rPr>
        <w:t xml:space="preserve"> </w:t>
      </w:r>
      <w:r w:rsidR="00CA1B78">
        <w:rPr>
          <w:lang w:eastAsia="nl-NL"/>
        </w:rPr>
        <w:t>‘</w:t>
      </w:r>
      <w:r w:rsidRPr="00330753">
        <w:rPr>
          <w:i/>
          <w:iCs/>
          <w:lang w:eastAsia="nl-NL"/>
        </w:rPr>
        <w:t>Hoofdstukken Sociaal Recht’</w:t>
      </w:r>
      <w:r w:rsidRPr="00590830">
        <w:t xml:space="preserve"> </w:t>
      </w:r>
    </w:p>
    <w:p w:rsidR="00CA0AE0" w:rsidRDefault="00CA0AE0" w:rsidP="00DD5CB8">
      <w:pPr>
        <w:pStyle w:val="Geenafstand"/>
      </w:pPr>
    </w:p>
    <w:p w:rsidR="00CA0AE0" w:rsidRDefault="00CA0AE0" w:rsidP="00DD5CB8">
      <w:pPr>
        <w:pStyle w:val="Geenafstand"/>
        <w:rPr>
          <w:b/>
        </w:rPr>
      </w:pPr>
      <w:r w:rsidRPr="00CA0AE0">
        <w:rPr>
          <w:b/>
        </w:rPr>
        <w:t>Mr. D.M. van Genderen &amp; Fluit &amp; Stefels &amp; de Wolff 2015</w:t>
      </w:r>
    </w:p>
    <w:p w:rsidR="00CA0AE0" w:rsidRPr="00CA0AE0" w:rsidRDefault="00CA0AE0" w:rsidP="00DD5CB8">
      <w:pPr>
        <w:pStyle w:val="Geenafstand"/>
      </w:pPr>
      <w:r>
        <w:t xml:space="preserve">Mr. D.M. van Genderen, ‘Arbeidsrecht in de praktijk’. </w:t>
      </w:r>
    </w:p>
    <w:p w:rsidR="00DD5CB8" w:rsidRDefault="00DD5CB8" w:rsidP="00DD5CB8">
      <w:pPr>
        <w:pStyle w:val="Geenafstand"/>
      </w:pPr>
    </w:p>
    <w:p w:rsidR="00DD5CB8" w:rsidRPr="00DD5CB8" w:rsidRDefault="00DD5CB8" w:rsidP="00DD5CB8">
      <w:pPr>
        <w:pStyle w:val="Geenafstand"/>
        <w:rPr>
          <w:b/>
          <w:bCs/>
        </w:rPr>
      </w:pPr>
      <w:r w:rsidRPr="00DD5CB8">
        <w:rPr>
          <w:b/>
          <w:bCs/>
        </w:rPr>
        <w:t>Mr. G.J.J. Heerma van Voss &amp; B. Barentsen 2015</w:t>
      </w:r>
    </w:p>
    <w:p w:rsidR="00CA1B78" w:rsidRDefault="00CA1B78" w:rsidP="00DD5CB8">
      <w:pPr>
        <w:pStyle w:val="Geenafstand"/>
      </w:pPr>
      <w:r>
        <w:t>Mr. G.J.J. Heerm</w:t>
      </w:r>
      <w:r w:rsidR="00DD5CB8">
        <w:t>a van Voss &amp; B. Barentsen</w:t>
      </w:r>
      <w:r>
        <w:t>, ‘</w:t>
      </w:r>
      <w:r w:rsidRPr="00CA1B78">
        <w:rPr>
          <w:i/>
        </w:rPr>
        <w:t>Inleiding Nederlands sociaal recht</w:t>
      </w:r>
      <w:r>
        <w:t>’</w:t>
      </w:r>
    </w:p>
    <w:p w:rsidR="00DD5CB8" w:rsidRDefault="00DD5CB8" w:rsidP="00DD5CB8">
      <w:pPr>
        <w:pStyle w:val="Geenafstand"/>
      </w:pPr>
    </w:p>
    <w:p w:rsidR="00DD5CB8" w:rsidRPr="00DD5CB8" w:rsidRDefault="00DD5CB8" w:rsidP="00DD5CB8">
      <w:pPr>
        <w:pStyle w:val="Geenafstand"/>
        <w:rPr>
          <w:b/>
          <w:bCs/>
        </w:rPr>
      </w:pPr>
      <w:r>
        <w:rPr>
          <w:b/>
          <w:bCs/>
        </w:rPr>
        <w:t xml:space="preserve">Mr. L. van den Eijnden </w:t>
      </w:r>
      <w:r w:rsidRPr="00DD5CB8">
        <w:rPr>
          <w:b/>
          <w:bCs/>
        </w:rPr>
        <w:t>2015</w:t>
      </w:r>
    </w:p>
    <w:p w:rsidR="00590830" w:rsidRDefault="00DD5CB8" w:rsidP="00DD5CB8">
      <w:pPr>
        <w:pStyle w:val="Geenafstand"/>
      </w:pPr>
      <w:r>
        <w:t>Mr. L. van den Eijnden</w:t>
      </w:r>
      <w:r w:rsidR="00590830">
        <w:t>, ‘</w:t>
      </w:r>
      <w:r w:rsidR="00590830">
        <w:rPr>
          <w:i/>
        </w:rPr>
        <w:t>N</w:t>
      </w:r>
      <w:r w:rsidR="00590830" w:rsidRPr="002932B2">
        <w:rPr>
          <w:i/>
        </w:rPr>
        <w:t>aar een nieuw arbeidsrecht</w:t>
      </w:r>
      <w:r w:rsidR="00590830">
        <w:t>’</w:t>
      </w:r>
    </w:p>
    <w:p w:rsidR="00C768F0" w:rsidRDefault="00C768F0" w:rsidP="00DD5CB8">
      <w:pPr>
        <w:pStyle w:val="Geenafstand"/>
      </w:pPr>
    </w:p>
    <w:p w:rsidR="00C768F0" w:rsidRPr="00C768F0" w:rsidRDefault="00C768F0" w:rsidP="00DD5CB8">
      <w:pPr>
        <w:pStyle w:val="Geenafstand"/>
        <w:rPr>
          <w:b/>
        </w:rPr>
      </w:pPr>
      <w:r w:rsidRPr="00C768F0">
        <w:rPr>
          <w:b/>
        </w:rPr>
        <w:t>Mr. R. M. Beltzer, Franssen, Jansen, te Poel, Wiersma 2015</w:t>
      </w:r>
    </w:p>
    <w:p w:rsidR="00C768F0" w:rsidRPr="00C768F0" w:rsidRDefault="00C768F0" w:rsidP="00DD5CB8">
      <w:pPr>
        <w:pStyle w:val="Geenafstand"/>
      </w:pPr>
      <w:r w:rsidRPr="00C768F0">
        <w:t>Mr. R. M. Beltzer</w:t>
      </w:r>
      <w:r>
        <w:t>, ‘Handboek Wet Werk en Zekerheid’</w:t>
      </w:r>
    </w:p>
    <w:p w:rsidR="00DD5CB8" w:rsidRDefault="00DD5CB8" w:rsidP="00DD5CB8">
      <w:pPr>
        <w:pStyle w:val="Geenafstand"/>
      </w:pPr>
    </w:p>
    <w:p w:rsidR="00DD5CB8" w:rsidRDefault="00DD5CB8" w:rsidP="00DD5CB8">
      <w:pPr>
        <w:pStyle w:val="Geenafstand"/>
        <w:rPr>
          <w:b/>
          <w:bCs/>
        </w:rPr>
      </w:pPr>
      <w:r w:rsidRPr="00DD5CB8">
        <w:rPr>
          <w:b/>
          <w:bCs/>
        </w:rPr>
        <w:t>Van Slooten, Zaal &amp; Zwemmer 2015</w:t>
      </w:r>
    </w:p>
    <w:p w:rsidR="00DD5CB8" w:rsidRPr="00DD5CB8" w:rsidRDefault="00DD5CB8" w:rsidP="00DD5CB8">
      <w:pPr>
        <w:pStyle w:val="Geenafstand"/>
      </w:pPr>
      <w:r>
        <w:t>J.M. van Slooten, I. Zaal &amp; J.P.H. Zwemmer, Handboek nieuw ontslagrecht, Deventer: Kluwer 2015.</w:t>
      </w:r>
    </w:p>
    <w:p w:rsidR="009F0DCC" w:rsidRDefault="009F0DCC" w:rsidP="00DD5CB8">
      <w:pPr>
        <w:pStyle w:val="Geenafstand"/>
        <w:rPr>
          <w:spacing w:val="-3"/>
          <w:lang w:eastAsia="nl-NL"/>
        </w:rPr>
      </w:pPr>
    </w:p>
    <w:p w:rsidR="00DD5CB8" w:rsidRPr="00DD5CB8" w:rsidRDefault="00DD5CB8" w:rsidP="00DD5CB8">
      <w:pPr>
        <w:pStyle w:val="Geenafstand"/>
        <w:rPr>
          <w:b/>
          <w:bCs/>
          <w:lang w:eastAsia="nl-NL"/>
        </w:rPr>
      </w:pPr>
      <w:r w:rsidRPr="00DD5CB8">
        <w:rPr>
          <w:b/>
          <w:bCs/>
          <w:lang w:eastAsia="nl-NL"/>
        </w:rPr>
        <w:t>Mr. W.A.H.C.M. Bouwens 2015</w:t>
      </w:r>
    </w:p>
    <w:p w:rsidR="009C29F7" w:rsidRDefault="00DD5CB8" w:rsidP="00DD5CB8">
      <w:pPr>
        <w:pStyle w:val="Geenafstand"/>
        <w:rPr>
          <w:i/>
          <w:iCs/>
          <w:lang w:eastAsia="nl-NL"/>
        </w:rPr>
      </w:pPr>
      <w:r>
        <w:rPr>
          <w:lang w:eastAsia="nl-NL"/>
        </w:rPr>
        <w:t>Mr. W.A.H.C.M. Bouwens,</w:t>
      </w:r>
      <w:r w:rsidR="00590830">
        <w:rPr>
          <w:lang w:eastAsia="nl-NL"/>
        </w:rPr>
        <w:t xml:space="preserve"> </w:t>
      </w:r>
      <w:r w:rsidR="00CA1B78">
        <w:rPr>
          <w:lang w:eastAsia="nl-NL"/>
        </w:rPr>
        <w:t>‘</w:t>
      </w:r>
      <w:r w:rsidR="00590830" w:rsidRPr="00330753">
        <w:rPr>
          <w:i/>
          <w:iCs/>
          <w:lang w:eastAsia="nl-NL"/>
        </w:rPr>
        <w:t>Schets van het Nederlandse arbeidsrecht</w:t>
      </w:r>
      <w:r w:rsidR="00CA1B78">
        <w:rPr>
          <w:i/>
          <w:iCs/>
          <w:lang w:eastAsia="nl-NL"/>
        </w:rPr>
        <w:t>’</w:t>
      </w:r>
    </w:p>
    <w:p w:rsidR="00C768F0" w:rsidRDefault="00C768F0" w:rsidP="00DD5CB8">
      <w:pPr>
        <w:pStyle w:val="Geenafstand"/>
        <w:rPr>
          <w:i/>
          <w:iCs/>
          <w:lang w:eastAsia="nl-NL"/>
        </w:rPr>
      </w:pPr>
    </w:p>
    <w:p w:rsidR="00590830" w:rsidRPr="00F67FD7" w:rsidRDefault="00CF42C6" w:rsidP="00590830">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i/>
          <w:iCs/>
          <w:spacing w:val="-3"/>
          <w:sz w:val="24"/>
          <w:szCs w:val="24"/>
          <w:lang w:eastAsia="nl-NL"/>
        </w:rPr>
      </w:pPr>
      <w:r w:rsidRPr="00F67FD7">
        <w:rPr>
          <w:b/>
          <w:iCs/>
          <w:spacing w:val="-3"/>
          <w:sz w:val="24"/>
          <w:szCs w:val="24"/>
          <w:lang w:eastAsia="nl-NL"/>
        </w:rPr>
        <w:t>Tijdschrift</w:t>
      </w:r>
      <w:r w:rsidR="00EB6DA8" w:rsidRPr="00F67FD7">
        <w:rPr>
          <w:b/>
          <w:iCs/>
          <w:spacing w:val="-3"/>
          <w:sz w:val="24"/>
          <w:szCs w:val="24"/>
          <w:lang w:eastAsia="nl-NL"/>
        </w:rPr>
        <w:t>en</w:t>
      </w:r>
    </w:p>
    <w:p w:rsidR="00DD5CB8" w:rsidRPr="00DD5CB8" w:rsidRDefault="00DD5CB8" w:rsidP="00DD5CB8">
      <w:pPr>
        <w:pStyle w:val="Geenafstand"/>
        <w:rPr>
          <w:b/>
          <w:bCs/>
        </w:rPr>
      </w:pPr>
      <w:r w:rsidRPr="00DD5CB8">
        <w:rPr>
          <w:b/>
          <w:bCs/>
        </w:rPr>
        <w:t>Barentsen &amp; Duk 2015</w:t>
      </w:r>
    </w:p>
    <w:p w:rsidR="00FC43B7" w:rsidRDefault="00FC43B7" w:rsidP="00DD5CB8">
      <w:pPr>
        <w:pStyle w:val="Geenafstand"/>
      </w:pPr>
      <w:r>
        <w:t>B. Barentsen &amp; R.A.A. Duk, ‘Het ontslagrecht van de WWZ. De honden blaffen, maar de karavaan trekt verder’, Tijdschrift Recht en Arbeid 2015, 67.</w:t>
      </w:r>
    </w:p>
    <w:p w:rsidR="00DD5CB8" w:rsidRDefault="00DD5CB8" w:rsidP="00DD5CB8">
      <w:pPr>
        <w:pStyle w:val="Geenafstand"/>
      </w:pPr>
    </w:p>
    <w:p w:rsidR="00DD5CB8" w:rsidRPr="00DD5CB8" w:rsidRDefault="00DD5CB8" w:rsidP="00DD5CB8">
      <w:pPr>
        <w:pStyle w:val="Geenafstand"/>
        <w:rPr>
          <w:b/>
          <w:bCs/>
        </w:rPr>
      </w:pPr>
      <w:r w:rsidRPr="00DD5CB8">
        <w:rPr>
          <w:b/>
          <w:bCs/>
        </w:rPr>
        <w:t>Barentsen &amp; Sagel 2015</w:t>
      </w:r>
    </w:p>
    <w:p w:rsidR="00FC43B7" w:rsidRDefault="00FC43B7" w:rsidP="00590830">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pPr>
      <w:r>
        <w:t>Barentsen &amp; Sagel, ‘Kroniek van het sociaal recht’, NJB 2015, 1784</w:t>
      </w:r>
    </w:p>
    <w:p w:rsidR="00502F6B" w:rsidRDefault="00502F6B" w:rsidP="00502F6B">
      <w:pPr>
        <w:pStyle w:val="Geenafstand"/>
      </w:pPr>
      <w:r>
        <w:rPr>
          <w:b/>
          <w:bCs/>
        </w:rPr>
        <w:t>C.J. Frikke</w:t>
      </w:r>
      <w:r>
        <w:t xml:space="preserve"> </w:t>
      </w:r>
    </w:p>
    <w:p w:rsidR="00502F6B" w:rsidRDefault="00502F6B" w:rsidP="00502F6B">
      <w:pPr>
        <w:pStyle w:val="Geenafstand"/>
      </w:pPr>
      <w:r>
        <w:t>C.J. Frikke, ‘Billijke vergoeding bij vernietigbare opzegging’, Tijdschrift Recht en Arbeid 2016, 6/7.</w:t>
      </w:r>
    </w:p>
    <w:p w:rsidR="00502F6B" w:rsidRDefault="00502F6B" w:rsidP="00DD5CB8">
      <w:pPr>
        <w:pStyle w:val="Geenafstand"/>
        <w:rPr>
          <w:b/>
          <w:bCs/>
        </w:rPr>
      </w:pPr>
    </w:p>
    <w:p w:rsidR="00DD5CB8" w:rsidRPr="00DD5CB8" w:rsidRDefault="00502F6B" w:rsidP="00DD5CB8">
      <w:pPr>
        <w:pStyle w:val="Geenafstand"/>
        <w:rPr>
          <w:b/>
          <w:bCs/>
        </w:rPr>
      </w:pPr>
      <w:r>
        <w:rPr>
          <w:b/>
          <w:bCs/>
        </w:rPr>
        <w:t xml:space="preserve">C.J. </w:t>
      </w:r>
      <w:r w:rsidR="003E0C33" w:rsidRPr="00DD5CB8">
        <w:rPr>
          <w:b/>
          <w:bCs/>
        </w:rPr>
        <w:t>Frikke</w:t>
      </w:r>
      <w:r w:rsidR="00DD5CB8" w:rsidRPr="00DD5CB8">
        <w:rPr>
          <w:b/>
          <w:bCs/>
        </w:rPr>
        <w:t xml:space="preserve"> &amp; Smorenburg 2016</w:t>
      </w:r>
    </w:p>
    <w:p w:rsidR="00DD5CB8" w:rsidRDefault="00FC43B7" w:rsidP="00DD5CB8">
      <w:pPr>
        <w:pStyle w:val="Geenafstand"/>
      </w:pPr>
      <w:r>
        <w:t xml:space="preserve">C.J. </w:t>
      </w:r>
      <w:r w:rsidR="003E0C33">
        <w:t>Frikke</w:t>
      </w:r>
      <w:r>
        <w:t xml:space="preserve"> &amp; M.E. Smorenburg, ‘Berekening van ee</w:t>
      </w:r>
      <w:r w:rsidR="00DD5CB8">
        <w:t>n billijke vergoeding’, Arbeidsr</w:t>
      </w:r>
      <w:r>
        <w:t>echt 2016, 11.</w:t>
      </w:r>
      <w:r w:rsidR="00DD5CB8" w:rsidRPr="00DD5CB8">
        <w:t xml:space="preserve"> </w:t>
      </w:r>
    </w:p>
    <w:p w:rsidR="00502F6B" w:rsidRDefault="00502F6B" w:rsidP="00DD5CB8">
      <w:pPr>
        <w:pStyle w:val="Geenafstand"/>
      </w:pPr>
    </w:p>
    <w:p w:rsidR="00DD5CB8" w:rsidRPr="00DD5CB8" w:rsidRDefault="00DD5CB8" w:rsidP="00F67FD7">
      <w:pPr>
        <w:pStyle w:val="Geenafstand"/>
        <w:rPr>
          <w:b/>
          <w:bCs/>
        </w:rPr>
      </w:pPr>
      <w:r w:rsidRPr="00DD5CB8">
        <w:rPr>
          <w:b/>
          <w:bCs/>
        </w:rPr>
        <w:t>Sagel 2014</w:t>
      </w:r>
    </w:p>
    <w:p w:rsidR="00DD5CB8" w:rsidRDefault="00DD5CB8" w:rsidP="00F67FD7">
      <w:pPr>
        <w:pStyle w:val="Geenafstand"/>
      </w:pPr>
      <w:r>
        <w:t xml:space="preserve">Sagel, ‘Het muizengaatje verdient de hoofdprijs’, Tijdschrift Recht en Arbeid 2014, afl. 12, </w:t>
      </w:r>
    </w:p>
    <w:p w:rsidR="00DD5CB8" w:rsidRDefault="00DD5CB8" w:rsidP="00F67FD7">
      <w:pPr>
        <w:pStyle w:val="Geenafstand"/>
      </w:pPr>
    </w:p>
    <w:p w:rsidR="00DD5CB8" w:rsidRPr="00DD5CB8" w:rsidRDefault="00DD5CB8" w:rsidP="00F67FD7">
      <w:pPr>
        <w:pStyle w:val="Geenafstand"/>
        <w:rPr>
          <w:b/>
          <w:bCs/>
        </w:rPr>
      </w:pPr>
      <w:r w:rsidRPr="00DD5CB8">
        <w:rPr>
          <w:b/>
          <w:bCs/>
        </w:rPr>
        <w:t>Stam 2016</w:t>
      </w:r>
    </w:p>
    <w:p w:rsidR="00DD5CB8" w:rsidRDefault="00DD5CB8" w:rsidP="00F67FD7">
      <w:pPr>
        <w:pStyle w:val="Geenafstand"/>
      </w:pPr>
      <w:r>
        <w:t>R. Stam, ‘Transitie- en billijke vergoeding’, Vermogende Particulieren Bulletin 2016, 3.</w:t>
      </w:r>
    </w:p>
    <w:p w:rsidR="00DD5CB8" w:rsidRDefault="00DD5CB8" w:rsidP="00F67FD7">
      <w:pPr>
        <w:pStyle w:val="Geenafstand"/>
      </w:pPr>
    </w:p>
    <w:p w:rsidR="00DD5CB8" w:rsidRPr="00DD5CB8" w:rsidRDefault="00DD5CB8" w:rsidP="00F67FD7">
      <w:pPr>
        <w:pStyle w:val="Geenafstand"/>
        <w:rPr>
          <w:b/>
          <w:bCs/>
        </w:rPr>
      </w:pPr>
      <w:r w:rsidRPr="00DD5CB8">
        <w:rPr>
          <w:b/>
          <w:bCs/>
        </w:rPr>
        <w:t xml:space="preserve">Van Zanten-Baris 2014 </w:t>
      </w:r>
    </w:p>
    <w:p w:rsidR="00DD5CB8" w:rsidRDefault="00DD5CB8" w:rsidP="00F67FD7">
      <w:pPr>
        <w:pStyle w:val="Geenafstand"/>
        <w:rPr>
          <w:iCs/>
          <w:spacing w:val="-3"/>
          <w:lang w:eastAsia="nl-NL"/>
        </w:rPr>
      </w:pPr>
      <w:r>
        <w:t>A. Van Zanten-Baris, ‘De billijke vergoeding in volle omvang’, Arbeidsrecht 2014, 55.</w:t>
      </w:r>
    </w:p>
    <w:p w:rsidR="00CF42C6" w:rsidRDefault="00CF42C6" w:rsidP="00F67FD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40" w:lineRule="auto"/>
        <w:ind w:right="-23"/>
      </w:pPr>
    </w:p>
    <w:p w:rsidR="00A30533" w:rsidRDefault="00D52A3B" w:rsidP="00F67FD7">
      <w:pPr>
        <w:pStyle w:val="Geenafstand"/>
        <w:rPr>
          <w:b/>
        </w:rPr>
      </w:pPr>
      <w:r w:rsidRPr="00D52A3B">
        <w:rPr>
          <w:b/>
        </w:rPr>
        <w:t>Peters 2016</w:t>
      </w:r>
    </w:p>
    <w:p w:rsidR="00EB6DA8" w:rsidRPr="00371F0E" w:rsidRDefault="00371F0E" w:rsidP="00590830">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pPr>
      <w:r>
        <w:t xml:space="preserve">S.S.M. Peters, ‘Billijke vergoedingen hausse in 2016’, VAAN AR Updates 2016. </w:t>
      </w:r>
    </w:p>
    <w:p w:rsidR="00CA1B78" w:rsidRPr="00F67FD7" w:rsidRDefault="00CA1B78" w:rsidP="004B047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sz w:val="24"/>
          <w:szCs w:val="24"/>
        </w:rPr>
      </w:pPr>
      <w:r w:rsidRPr="00F67FD7">
        <w:rPr>
          <w:b/>
          <w:sz w:val="24"/>
          <w:szCs w:val="24"/>
        </w:rPr>
        <w:lastRenderedPageBreak/>
        <w:t>Kamerstukken</w:t>
      </w:r>
    </w:p>
    <w:p w:rsidR="00CA1B78" w:rsidRPr="00DD5CB8" w:rsidRDefault="00CA1B78" w:rsidP="004B047B">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i/>
          <w:iCs/>
        </w:rPr>
      </w:pPr>
      <w:r w:rsidRPr="00DD5CB8">
        <w:rPr>
          <w:b/>
          <w:bCs/>
          <w:i/>
          <w:iCs/>
        </w:rPr>
        <w:t xml:space="preserve">Kamerstukken II 2013/14, 33 818, 3. </w:t>
      </w:r>
    </w:p>
    <w:p w:rsidR="00CA1B78" w:rsidRPr="00DD5CB8" w:rsidRDefault="00CA1B78" w:rsidP="004B047B">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i/>
          <w:iCs/>
        </w:rPr>
      </w:pPr>
      <w:r w:rsidRPr="00DD5CB8">
        <w:rPr>
          <w:b/>
          <w:bCs/>
          <w:i/>
          <w:iCs/>
        </w:rPr>
        <w:t>Kamerstukken II 2013/14, 33 818, 4.</w:t>
      </w:r>
    </w:p>
    <w:p w:rsidR="00DD5CB8" w:rsidRDefault="00DD5CB8" w:rsidP="004B047B">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i/>
          <w:iCs/>
        </w:rPr>
      </w:pPr>
      <w:r w:rsidRPr="00DD5CB8">
        <w:rPr>
          <w:b/>
          <w:bCs/>
          <w:i/>
          <w:iCs/>
        </w:rPr>
        <w:t>Kamerstukken II 2015/16, 34 351, nr. 16</w:t>
      </w:r>
    </w:p>
    <w:p w:rsidR="00170836" w:rsidRPr="00170836" w:rsidRDefault="00170836" w:rsidP="004B047B">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i/>
          <w:iCs/>
        </w:rPr>
      </w:pPr>
      <w:r w:rsidRPr="00170836">
        <w:rPr>
          <w:rStyle w:val="Nadruk1"/>
          <w:b/>
          <w:bCs/>
          <w:i/>
          <w:iCs/>
          <w:color w:val="000000"/>
          <w:shd w:val="clear" w:color="auto" w:fill="FFFFFF"/>
        </w:rPr>
        <w:t>Kamerstukken II</w:t>
      </w:r>
      <w:r w:rsidRPr="00170836">
        <w:rPr>
          <w:b/>
          <w:bCs/>
          <w:color w:val="000000"/>
          <w:shd w:val="clear" w:color="auto" w:fill="FFFFFF"/>
        </w:rPr>
        <w:t>, 2013-2014, 33818, nr. 4, p. 61</w:t>
      </w:r>
    </w:p>
    <w:p w:rsidR="000F46E9" w:rsidRDefault="000F46E9" w:rsidP="004B047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p>
    <w:p w:rsidR="000F46E9" w:rsidRPr="00F67FD7" w:rsidRDefault="005E6642" w:rsidP="004B047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sz w:val="24"/>
          <w:szCs w:val="24"/>
        </w:rPr>
      </w:pPr>
      <w:r w:rsidRPr="00F67FD7">
        <w:rPr>
          <w:b/>
          <w:bCs/>
          <w:sz w:val="24"/>
          <w:szCs w:val="24"/>
        </w:rPr>
        <w:t xml:space="preserve">Wetten </w:t>
      </w:r>
    </w:p>
    <w:p w:rsidR="005E6642" w:rsidRPr="005E6642" w:rsidRDefault="005E6642" w:rsidP="004B047B">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rPr>
      </w:pPr>
      <w:r w:rsidRPr="005E6642">
        <w:rPr>
          <w:b/>
          <w:bCs/>
        </w:rPr>
        <w:t xml:space="preserve">Burgerlijk Wetboek, Boek 7, Afdeling 10 </w:t>
      </w:r>
    </w:p>
    <w:p w:rsidR="000F46E9" w:rsidRPr="005E6642" w:rsidRDefault="005E6642" w:rsidP="004B047B">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rPr>
      </w:pPr>
      <w:r w:rsidRPr="005E6642">
        <w:rPr>
          <w:b/>
          <w:bCs/>
        </w:rPr>
        <w:t>Wet Werk en Zekerheid</w:t>
      </w:r>
    </w:p>
    <w:p w:rsidR="00695720" w:rsidRDefault="00695720">
      <w:pPr>
        <w:rPr>
          <w:b/>
          <w:bCs/>
        </w:rPr>
      </w:pPr>
      <w:r>
        <w:rPr>
          <w:b/>
          <w:bCs/>
        </w:rPr>
        <w:br w:type="page"/>
      </w:r>
    </w:p>
    <w:p w:rsidR="00CA1B78" w:rsidRPr="009A1473" w:rsidRDefault="00C45DCD" w:rsidP="00C45DCD">
      <w:pPr>
        <w:pStyle w:val="Kop1"/>
        <w:rPr>
          <w:color w:val="auto"/>
        </w:rPr>
      </w:pPr>
      <w:bookmarkStart w:id="18" w:name="_Toc472509275"/>
      <w:r w:rsidRPr="009A1473">
        <w:rPr>
          <w:color w:val="auto"/>
        </w:rPr>
        <w:lastRenderedPageBreak/>
        <w:t>Jurisprudentie</w:t>
      </w:r>
      <w:r w:rsidR="002433D7" w:rsidRPr="009A1473">
        <w:rPr>
          <w:color w:val="auto"/>
        </w:rPr>
        <w:t>lijst</w:t>
      </w:r>
      <w:bookmarkEnd w:id="18"/>
      <w:r w:rsidR="002433D7" w:rsidRPr="009A1473">
        <w:rPr>
          <w:color w:val="auto"/>
        </w:rPr>
        <w:t xml:space="preserve"> </w:t>
      </w:r>
    </w:p>
    <w:p w:rsidR="00C45DCD" w:rsidRDefault="00C45DCD" w:rsidP="00B654DD">
      <w:pPr>
        <w:pStyle w:val="Voetnoottekst"/>
        <w:spacing w:line="360" w:lineRule="auto"/>
        <w:rPr>
          <w:b/>
          <w:bCs/>
          <w:sz w:val="22"/>
          <w:szCs w:val="22"/>
        </w:rPr>
      </w:pPr>
    </w:p>
    <w:p w:rsidR="00B654DD" w:rsidRPr="00F67FD7" w:rsidRDefault="002E6154" w:rsidP="00B654DD">
      <w:pPr>
        <w:pStyle w:val="Voetnoottekst"/>
        <w:spacing w:line="360" w:lineRule="auto"/>
        <w:rPr>
          <w:sz w:val="24"/>
          <w:szCs w:val="24"/>
        </w:rPr>
      </w:pPr>
      <w:r w:rsidRPr="00F67FD7">
        <w:rPr>
          <w:b/>
          <w:bCs/>
          <w:sz w:val="24"/>
          <w:szCs w:val="24"/>
        </w:rPr>
        <w:t>RECHTBANKEN</w:t>
      </w:r>
    </w:p>
    <w:p w:rsidR="00CA634B" w:rsidRPr="00CA634B" w:rsidRDefault="00CA634B" w:rsidP="00B654DD">
      <w:pPr>
        <w:pStyle w:val="Voetnoottekst"/>
        <w:spacing w:line="360" w:lineRule="auto"/>
        <w:rPr>
          <w:b/>
          <w:bCs/>
          <w:sz w:val="22"/>
          <w:szCs w:val="22"/>
        </w:rPr>
      </w:pPr>
      <w:r w:rsidRPr="00CA634B">
        <w:rPr>
          <w:b/>
          <w:bCs/>
          <w:sz w:val="22"/>
          <w:szCs w:val="22"/>
        </w:rPr>
        <w:t>A</w:t>
      </w:r>
    </w:p>
    <w:p w:rsidR="002C62C7" w:rsidRDefault="002C62C7" w:rsidP="00B654DD">
      <w:pPr>
        <w:pStyle w:val="Voetnoottekst"/>
        <w:spacing w:line="360" w:lineRule="auto"/>
        <w:rPr>
          <w:sz w:val="22"/>
          <w:szCs w:val="22"/>
        </w:rPr>
      </w:pPr>
      <w:r>
        <w:rPr>
          <w:sz w:val="22"/>
          <w:szCs w:val="22"/>
        </w:rPr>
        <w:t xml:space="preserve">Rb Amersfoort (ktr.) 15 oktober 2016 </w:t>
      </w:r>
      <w:r w:rsidRPr="002C62C7">
        <w:rPr>
          <w:sz w:val="22"/>
          <w:szCs w:val="22"/>
        </w:rPr>
        <w:t>ECLI:NL:RBMNE:2015:7538</w:t>
      </w:r>
    </w:p>
    <w:p w:rsidR="000C2A4F" w:rsidRPr="000C2A4F" w:rsidRDefault="000C2A4F" w:rsidP="00B654DD">
      <w:pPr>
        <w:pStyle w:val="Voetnoottekst"/>
        <w:spacing w:line="360" w:lineRule="auto"/>
        <w:rPr>
          <w:sz w:val="22"/>
          <w:szCs w:val="22"/>
        </w:rPr>
      </w:pPr>
      <w:r w:rsidRPr="000C2A4F">
        <w:rPr>
          <w:sz w:val="22"/>
          <w:szCs w:val="22"/>
        </w:rPr>
        <w:t>Rb Amsterdam (ktr.) 16 augustus 2016 ECLI:NL:RBAMS:2016:5015</w:t>
      </w:r>
    </w:p>
    <w:p w:rsidR="00CA634B" w:rsidRPr="00CA634B" w:rsidRDefault="00CA634B" w:rsidP="00B654DD">
      <w:pPr>
        <w:pStyle w:val="Voetnoottekst"/>
        <w:spacing w:line="360" w:lineRule="auto"/>
        <w:rPr>
          <w:sz w:val="22"/>
          <w:szCs w:val="22"/>
        </w:rPr>
      </w:pPr>
      <w:r w:rsidRPr="00CA634B">
        <w:rPr>
          <w:sz w:val="22"/>
          <w:szCs w:val="22"/>
        </w:rPr>
        <w:t>Rb Amsterdam (ktr.) 17 mei 2016, ECLI:NL:RBAMS:2016:3068</w:t>
      </w:r>
    </w:p>
    <w:p w:rsidR="00B654DD" w:rsidRPr="00B654DD" w:rsidRDefault="00B654DD" w:rsidP="00B654DD">
      <w:pPr>
        <w:pStyle w:val="Voetnoottekst"/>
        <w:spacing w:line="360" w:lineRule="auto"/>
        <w:rPr>
          <w:sz w:val="22"/>
          <w:szCs w:val="22"/>
        </w:rPr>
      </w:pPr>
      <w:r w:rsidRPr="00B654DD">
        <w:rPr>
          <w:sz w:val="22"/>
          <w:szCs w:val="22"/>
        </w:rPr>
        <w:t>Rb Amsterdam (ktr.) 12 april 2016, ECLI:NL:RBAMS:2016:2127</w:t>
      </w:r>
    </w:p>
    <w:p w:rsidR="004D17D8" w:rsidRPr="004D17D8" w:rsidRDefault="004D17D8" w:rsidP="004D17D8">
      <w:pPr>
        <w:pStyle w:val="Voetnoottekst"/>
        <w:spacing w:line="360" w:lineRule="auto"/>
        <w:rPr>
          <w:sz w:val="22"/>
          <w:szCs w:val="22"/>
          <w:lang w:eastAsia="ja-JP"/>
        </w:rPr>
      </w:pPr>
      <w:r w:rsidRPr="004D17D8">
        <w:rPr>
          <w:sz w:val="22"/>
          <w:szCs w:val="22"/>
        </w:rPr>
        <w:t>Rb. Amsterdam (</w:t>
      </w:r>
      <w:r w:rsidR="003E0C33" w:rsidRPr="004D17D8">
        <w:rPr>
          <w:sz w:val="22"/>
          <w:szCs w:val="22"/>
        </w:rPr>
        <w:t>k</w:t>
      </w:r>
      <w:r w:rsidR="003E0C33">
        <w:rPr>
          <w:sz w:val="22"/>
          <w:szCs w:val="22"/>
        </w:rPr>
        <w:t>t</w:t>
      </w:r>
      <w:r w:rsidR="003E0C33" w:rsidRPr="004D17D8">
        <w:rPr>
          <w:sz w:val="22"/>
          <w:szCs w:val="22"/>
        </w:rPr>
        <w:t>r</w:t>
      </w:r>
      <w:r w:rsidRPr="004D17D8">
        <w:rPr>
          <w:sz w:val="22"/>
          <w:szCs w:val="22"/>
        </w:rPr>
        <w:t>.) 15 december 2015, ECLI:NL:RBAMS:2015:9244</w:t>
      </w:r>
    </w:p>
    <w:p w:rsidR="00797D4C" w:rsidRDefault="00B654DD" w:rsidP="00797D4C">
      <w:pPr>
        <w:pStyle w:val="Voetnoottekst"/>
        <w:spacing w:line="360" w:lineRule="auto"/>
      </w:pPr>
      <w:r w:rsidRPr="00B654DD">
        <w:rPr>
          <w:sz w:val="22"/>
          <w:szCs w:val="22"/>
        </w:rPr>
        <w:t>Rb Amsterdam (ktr.) 8 december 2015, ECLI:NL:RBAMS:2015:8949</w:t>
      </w:r>
      <w:r w:rsidR="00797D4C" w:rsidRPr="00797D4C">
        <w:t xml:space="preserve"> </w:t>
      </w:r>
    </w:p>
    <w:p w:rsidR="00797D4C" w:rsidRDefault="00797D4C" w:rsidP="00165902">
      <w:pPr>
        <w:pStyle w:val="Voetnoottekst"/>
        <w:spacing w:line="360" w:lineRule="auto"/>
        <w:rPr>
          <w:sz w:val="22"/>
          <w:szCs w:val="22"/>
        </w:rPr>
      </w:pPr>
      <w:r w:rsidRPr="00797D4C">
        <w:rPr>
          <w:sz w:val="22"/>
          <w:szCs w:val="22"/>
        </w:rPr>
        <w:t>Rb. Amsterdam (</w:t>
      </w:r>
      <w:r w:rsidR="00C67A5D">
        <w:rPr>
          <w:sz w:val="22"/>
          <w:szCs w:val="22"/>
        </w:rPr>
        <w:t>ktr.</w:t>
      </w:r>
      <w:r w:rsidRPr="00797D4C">
        <w:rPr>
          <w:sz w:val="22"/>
          <w:szCs w:val="22"/>
        </w:rPr>
        <w:t>) 7 december 2015, ECLI:NL:RBAMS:2015:8752</w:t>
      </w:r>
    </w:p>
    <w:p w:rsidR="00165902" w:rsidRDefault="00165902" w:rsidP="00165902">
      <w:pPr>
        <w:pStyle w:val="Voetnoottekst"/>
        <w:spacing w:line="360" w:lineRule="auto"/>
        <w:rPr>
          <w:sz w:val="22"/>
          <w:szCs w:val="22"/>
        </w:rPr>
      </w:pPr>
      <w:r>
        <w:rPr>
          <w:sz w:val="22"/>
          <w:szCs w:val="22"/>
        </w:rPr>
        <w:t xml:space="preserve">Rb Amsterdam (ktr.) 6 oktober 2015, </w:t>
      </w:r>
      <w:r w:rsidRPr="00165902">
        <w:rPr>
          <w:sz w:val="22"/>
          <w:szCs w:val="22"/>
        </w:rPr>
        <w:t>ECLI:NL:RBAMS:2015:7278</w:t>
      </w:r>
    </w:p>
    <w:p w:rsidR="00ED2891" w:rsidRDefault="00ED2891" w:rsidP="00B654DD">
      <w:pPr>
        <w:pStyle w:val="Voetnoottekst"/>
        <w:spacing w:line="360" w:lineRule="auto"/>
        <w:rPr>
          <w:sz w:val="22"/>
          <w:szCs w:val="22"/>
        </w:rPr>
      </w:pPr>
    </w:p>
    <w:p w:rsidR="00CA634B" w:rsidRPr="00CA634B" w:rsidRDefault="00CA634B" w:rsidP="00B654DD">
      <w:pPr>
        <w:pStyle w:val="Voetnoottekst"/>
        <w:spacing w:line="360" w:lineRule="auto"/>
        <w:rPr>
          <w:b/>
          <w:bCs/>
          <w:sz w:val="22"/>
          <w:szCs w:val="22"/>
        </w:rPr>
      </w:pPr>
      <w:r w:rsidRPr="00CA634B">
        <w:rPr>
          <w:b/>
          <w:bCs/>
          <w:sz w:val="22"/>
          <w:szCs w:val="22"/>
        </w:rPr>
        <w:t>D</w:t>
      </w:r>
    </w:p>
    <w:p w:rsidR="00F11F4C" w:rsidRDefault="00B654DD" w:rsidP="00F11F4C">
      <w:pPr>
        <w:pStyle w:val="Voetnoottekst"/>
        <w:spacing w:line="360" w:lineRule="auto"/>
        <w:rPr>
          <w:sz w:val="22"/>
          <w:szCs w:val="22"/>
        </w:rPr>
      </w:pPr>
      <w:r w:rsidRPr="00B654DD">
        <w:rPr>
          <w:sz w:val="22"/>
          <w:szCs w:val="22"/>
        </w:rPr>
        <w:t>Rb Den Haag (ktr.) 21 april 2016, ECLI:NL:RBDHA:2016:4333</w:t>
      </w:r>
      <w:r w:rsidR="00F11F4C" w:rsidRPr="00F11F4C">
        <w:rPr>
          <w:sz w:val="22"/>
          <w:szCs w:val="22"/>
        </w:rPr>
        <w:t xml:space="preserve"> </w:t>
      </w:r>
    </w:p>
    <w:p w:rsidR="00F11F4C" w:rsidRDefault="00F11F4C" w:rsidP="00F11F4C">
      <w:pPr>
        <w:pStyle w:val="Voetnoottekst"/>
        <w:spacing w:line="360" w:lineRule="auto"/>
        <w:rPr>
          <w:sz w:val="22"/>
          <w:szCs w:val="22"/>
        </w:rPr>
      </w:pPr>
      <w:r>
        <w:rPr>
          <w:sz w:val="22"/>
          <w:szCs w:val="22"/>
        </w:rPr>
        <w:t xml:space="preserve">Rb Den Haag (ktr.) 17 maart 2016, </w:t>
      </w:r>
      <w:r w:rsidRPr="00F11F4C">
        <w:rPr>
          <w:sz w:val="22"/>
          <w:szCs w:val="22"/>
        </w:rPr>
        <w:t>ECLI:NL:RBDHA:2016:3404</w:t>
      </w:r>
    </w:p>
    <w:p w:rsidR="00B654DD" w:rsidRDefault="00B654DD" w:rsidP="00B654DD">
      <w:pPr>
        <w:pStyle w:val="Voetnoottekst"/>
        <w:spacing w:line="360" w:lineRule="auto"/>
        <w:rPr>
          <w:sz w:val="22"/>
          <w:szCs w:val="22"/>
        </w:rPr>
      </w:pPr>
      <w:r w:rsidRPr="00B654DD">
        <w:rPr>
          <w:sz w:val="22"/>
          <w:szCs w:val="22"/>
        </w:rPr>
        <w:t>Rb Den Haag (ktr.) 3 februari 2016, ECLI:NL:RBDHA:2016:761</w:t>
      </w:r>
    </w:p>
    <w:p w:rsidR="00ED2891" w:rsidRDefault="00ED2891" w:rsidP="00CA634B">
      <w:pPr>
        <w:pStyle w:val="Voetnoottekst"/>
        <w:spacing w:line="360" w:lineRule="auto"/>
        <w:rPr>
          <w:b/>
          <w:bCs/>
          <w:sz w:val="22"/>
          <w:szCs w:val="22"/>
        </w:rPr>
      </w:pPr>
    </w:p>
    <w:p w:rsidR="00CA634B" w:rsidRPr="00CA634B" w:rsidRDefault="00CA634B" w:rsidP="00CA634B">
      <w:pPr>
        <w:pStyle w:val="Voetnoottekst"/>
        <w:spacing w:line="360" w:lineRule="auto"/>
        <w:rPr>
          <w:b/>
          <w:bCs/>
          <w:sz w:val="22"/>
          <w:szCs w:val="22"/>
        </w:rPr>
      </w:pPr>
      <w:r w:rsidRPr="00CA634B">
        <w:rPr>
          <w:b/>
          <w:bCs/>
          <w:sz w:val="22"/>
          <w:szCs w:val="22"/>
        </w:rPr>
        <w:t>E</w:t>
      </w:r>
    </w:p>
    <w:p w:rsidR="00CA634B" w:rsidRDefault="00CA634B" w:rsidP="00CA634B">
      <w:pPr>
        <w:pStyle w:val="Voetnoottekst"/>
        <w:spacing w:line="360" w:lineRule="auto"/>
        <w:rPr>
          <w:sz w:val="22"/>
          <w:szCs w:val="22"/>
        </w:rPr>
      </w:pPr>
      <w:r w:rsidRPr="00B654DD">
        <w:rPr>
          <w:sz w:val="22"/>
          <w:szCs w:val="22"/>
        </w:rPr>
        <w:t>Rb. Enschede (</w:t>
      </w:r>
      <w:r w:rsidR="003E0C33" w:rsidRPr="00B654DD">
        <w:rPr>
          <w:sz w:val="22"/>
          <w:szCs w:val="22"/>
        </w:rPr>
        <w:t>k</w:t>
      </w:r>
      <w:r w:rsidR="003E0C33">
        <w:rPr>
          <w:sz w:val="22"/>
          <w:szCs w:val="22"/>
        </w:rPr>
        <w:t>t</w:t>
      </w:r>
      <w:r w:rsidR="003E0C33" w:rsidRPr="00B654DD">
        <w:rPr>
          <w:sz w:val="22"/>
          <w:szCs w:val="22"/>
        </w:rPr>
        <w:t>r</w:t>
      </w:r>
      <w:r w:rsidRPr="00B654DD">
        <w:rPr>
          <w:sz w:val="22"/>
          <w:szCs w:val="22"/>
        </w:rPr>
        <w:t>.) 20 augustus 2015, ECLI:NL:RBOVE:2015:3899</w:t>
      </w:r>
    </w:p>
    <w:p w:rsidR="00ED2891" w:rsidRDefault="00ED2891" w:rsidP="00CA634B">
      <w:pPr>
        <w:pStyle w:val="Voetnoottekst"/>
        <w:spacing w:line="360" w:lineRule="auto"/>
        <w:rPr>
          <w:b/>
          <w:bCs/>
          <w:sz w:val="22"/>
          <w:szCs w:val="22"/>
        </w:rPr>
      </w:pPr>
    </w:p>
    <w:p w:rsidR="00CA634B" w:rsidRPr="00CA634B" w:rsidRDefault="00CA634B" w:rsidP="00CA634B">
      <w:pPr>
        <w:pStyle w:val="Voetnoottekst"/>
        <w:spacing w:line="360" w:lineRule="auto"/>
        <w:rPr>
          <w:b/>
          <w:bCs/>
          <w:sz w:val="22"/>
          <w:szCs w:val="22"/>
        </w:rPr>
      </w:pPr>
      <w:r w:rsidRPr="00CA634B">
        <w:rPr>
          <w:b/>
          <w:bCs/>
          <w:sz w:val="22"/>
          <w:szCs w:val="22"/>
        </w:rPr>
        <w:t>H</w:t>
      </w:r>
    </w:p>
    <w:p w:rsidR="00CA634B" w:rsidRDefault="00CA634B" w:rsidP="00CA634B">
      <w:pPr>
        <w:pStyle w:val="Voetnoottekst"/>
        <w:spacing w:line="360" w:lineRule="auto"/>
        <w:rPr>
          <w:sz w:val="22"/>
          <w:szCs w:val="22"/>
        </w:rPr>
      </w:pPr>
      <w:r w:rsidRPr="00B654DD">
        <w:rPr>
          <w:sz w:val="22"/>
          <w:szCs w:val="22"/>
        </w:rPr>
        <w:t>Rb Haarlem (ktr.) 28 juli 2016, ECLI:NL:RBNHO:2016:6300</w:t>
      </w:r>
    </w:p>
    <w:p w:rsidR="008C1EC1" w:rsidRPr="00B654DD" w:rsidRDefault="008C1EC1" w:rsidP="00CA634B">
      <w:pPr>
        <w:pStyle w:val="Voetnoottekst"/>
        <w:spacing w:line="360" w:lineRule="auto"/>
        <w:rPr>
          <w:sz w:val="22"/>
          <w:szCs w:val="22"/>
        </w:rPr>
      </w:pPr>
      <w:r>
        <w:rPr>
          <w:sz w:val="22"/>
          <w:szCs w:val="22"/>
        </w:rPr>
        <w:t xml:space="preserve">Rb Haarlem (ktr.) 1 januari 2016, </w:t>
      </w:r>
      <w:r w:rsidRPr="008C1EC1">
        <w:rPr>
          <w:sz w:val="22"/>
          <w:szCs w:val="22"/>
        </w:rPr>
        <w:t>ECLI:NL:RBNHO:2016:996</w:t>
      </w:r>
    </w:p>
    <w:p w:rsidR="00ED2891" w:rsidRDefault="00ED2891" w:rsidP="00CA634B">
      <w:pPr>
        <w:pStyle w:val="Voetnoottekst"/>
        <w:spacing w:line="360" w:lineRule="auto"/>
        <w:rPr>
          <w:b/>
          <w:bCs/>
          <w:sz w:val="22"/>
          <w:szCs w:val="22"/>
        </w:rPr>
      </w:pPr>
    </w:p>
    <w:p w:rsidR="00CA634B" w:rsidRDefault="00CA634B" w:rsidP="00CA634B">
      <w:pPr>
        <w:pStyle w:val="Voetnoottekst"/>
        <w:spacing w:line="360" w:lineRule="auto"/>
        <w:rPr>
          <w:sz w:val="22"/>
          <w:szCs w:val="22"/>
        </w:rPr>
      </w:pPr>
      <w:r w:rsidRPr="00CA634B">
        <w:rPr>
          <w:b/>
          <w:bCs/>
          <w:sz w:val="22"/>
          <w:szCs w:val="22"/>
        </w:rPr>
        <w:t>L</w:t>
      </w:r>
      <w:r w:rsidRPr="00CA634B">
        <w:rPr>
          <w:sz w:val="22"/>
          <w:szCs w:val="22"/>
        </w:rPr>
        <w:t xml:space="preserve"> </w:t>
      </w:r>
    </w:p>
    <w:p w:rsidR="00A32DB8" w:rsidRPr="00B654DD" w:rsidRDefault="00A32DB8" w:rsidP="00A32DB8">
      <w:pPr>
        <w:pStyle w:val="Voetnoottekst"/>
        <w:spacing w:line="360" w:lineRule="auto"/>
        <w:rPr>
          <w:sz w:val="22"/>
          <w:szCs w:val="22"/>
        </w:rPr>
      </w:pPr>
      <w:r w:rsidRPr="00B654DD">
        <w:rPr>
          <w:sz w:val="22"/>
          <w:szCs w:val="22"/>
        </w:rPr>
        <w:t>Rb</w:t>
      </w:r>
      <w:r>
        <w:rPr>
          <w:sz w:val="22"/>
          <w:szCs w:val="22"/>
        </w:rPr>
        <w:t xml:space="preserve"> Lelystad (ktr.)</w:t>
      </w:r>
      <w:r w:rsidRPr="00B654DD">
        <w:rPr>
          <w:sz w:val="22"/>
          <w:szCs w:val="22"/>
        </w:rPr>
        <w:t xml:space="preserve"> 12 januari 2016, ECLI:NL:RBMNE:2016:986</w:t>
      </w:r>
    </w:p>
    <w:p w:rsidR="00797D4C" w:rsidRPr="00797D4C" w:rsidRDefault="00797D4C" w:rsidP="00CA634B">
      <w:pPr>
        <w:pStyle w:val="Voetnoottekst"/>
        <w:spacing w:line="360" w:lineRule="auto"/>
        <w:rPr>
          <w:sz w:val="22"/>
          <w:szCs w:val="22"/>
        </w:rPr>
      </w:pPr>
      <w:r w:rsidRPr="00797D4C">
        <w:rPr>
          <w:sz w:val="22"/>
          <w:szCs w:val="22"/>
        </w:rPr>
        <w:t>Rb Limburg (ktr.) 27 januari 2016, ECLI:NL:RBLIM:2016:661</w:t>
      </w:r>
    </w:p>
    <w:p w:rsidR="00CA634B" w:rsidRPr="00B654DD" w:rsidRDefault="00CA634B" w:rsidP="00CA634B">
      <w:pPr>
        <w:pStyle w:val="Voetnoottekst"/>
        <w:spacing w:line="360" w:lineRule="auto"/>
        <w:rPr>
          <w:sz w:val="22"/>
          <w:szCs w:val="22"/>
        </w:rPr>
      </w:pPr>
      <w:r w:rsidRPr="00B654DD">
        <w:rPr>
          <w:sz w:val="22"/>
          <w:szCs w:val="22"/>
        </w:rPr>
        <w:t>Rb Limburg (ktr.) 1 september 2016, ECLI:NL:RBLIM:2016:7622</w:t>
      </w:r>
    </w:p>
    <w:p w:rsidR="00CA634B" w:rsidRPr="00B654DD" w:rsidRDefault="00CA634B" w:rsidP="00CA634B">
      <w:pPr>
        <w:pStyle w:val="Voetnoottekst"/>
        <w:spacing w:line="360" w:lineRule="auto"/>
        <w:rPr>
          <w:sz w:val="22"/>
          <w:szCs w:val="22"/>
        </w:rPr>
      </w:pPr>
      <w:r w:rsidRPr="00B654DD">
        <w:rPr>
          <w:sz w:val="22"/>
          <w:szCs w:val="22"/>
        </w:rPr>
        <w:t>Rb Limburg (ktr.) 1 augustus 2016 ECLI:NL:RBLIM:2016:6805</w:t>
      </w:r>
    </w:p>
    <w:p w:rsidR="00CA634B" w:rsidRPr="00B654DD" w:rsidRDefault="00CA634B" w:rsidP="00CA634B">
      <w:pPr>
        <w:pStyle w:val="Voetnoottekst"/>
        <w:spacing w:line="360" w:lineRule="auto"/>
        <w:rPr>
          <w:sz w:val="22"/>
          <w:szCs w:val="22"/>
        </w:rPr>
      </w:pPr>
      <w:r w:rsidRPr="00B654DD">
        <w:rPr>
          <w:sz w:val="22"/>
          <w:szCs w:val="22"/>
        </w:rPr>
        <w:t>Rb Limburg (ktr.) 20 juli 2016, ECLI:NL:RBLIM:2016:6261</w:t>
      </w:r>
    </w:p>
    <w:p w:rsidR="00CA634B" w:rsidRPr="00B654DD" w:rsidRDefault="00CA634B" w:rsidP="00CA634B">
      <w:pPr>
        <w:pStyle w:val="Voetnoottekst"/>
        <w:spacing w:line="360" w:lineRule="auto"/>
        <w:rPr>
          <w:sz w:val="22"/>
          <w:szCs w:val="22"/>
        </w:rPr>
      </w:pPr>
      <w:r w:rsidRPr="00B654DD">
        <w:rPr>
          <w:sz w:val="22"/>
          <w:szCs w:val="22"/>
        </w:rPr>
        <w:t>Rb Limburg (ktr.) 13 juli 2016, ECLI:NL:RBLIM:2016:6211</w:t>
      </w:r>
    </w:p>
    <w:p w:rsidR="00CA634B" w:rsidRDefault="00CA634B" w:rsidP="00CA634B">
      <w:pPr>
        <w:pStyle w:val="Voetnoottekst"/>
        <w:spacing w:line="360" w:lineRule="auto"/>
        <w:rPr>
          <w:sz w:val="22"/>
          <w:szCs w:val="22"/>
        </w:rPr>
      </w:pPr>
      <w:r w:rsidRPr="00B654DD">
        <w:rPr>
          <w:sz w:val="22"/>
          <w:szCs w:val="22"/>
        </w:rPr>
        <w:t>Rb Limburg, (ktr.) 23 mei 2016, ECLI:NL:RBLIM:2016:4343</w:t>
      </w:r>
    </w:p>
    <w:p w:rsidR="00124BA2" w:rsidRPr="00124BA2" w:rsidRDefault="00124BA2" w:rsidP="00124BA2">
      <w:pPr>
        <w:pStyle w:val="Voetnoottekst"/>
        <w:rPr>
          <w:sz w:val="22"/>
          <w:szCs w:val="22"/>
          <w:lang w:eastAsia="ja-JP"/>
        </w:rPr>
      </w:pPr>
      <w:r w:rsidRPr="00124BA2">
        <w:rPr>
          <w:sz w:val="22"/>
          <w:szCs w:val="22"/>
        </w:rPr>
        <w:t>Rb Limburg (ktr.) 5 november 2015, ECLI:NL:RBLIM:2015:9351</w:t>
      </w:r>
    </w:p>
    <w:p w:rsidR="00124BA2" w:rsidRDefault="00124BA2" w:rsidP="00CA634B">
      <w:pPr>
        <w:pStyle w:val="Voetnoottekst"/>
        <w:spacing w:line="360" w:lineRule="auto"/>
        <w:rPr>
          <w:sz w:val="22"/>
          <w:szCs w:val="22"/>
        </w:rPr>
      </w:pPr>
    </w:p>
    <w:p w:rsidR="00ED2891" w:rsidRDefault="00ED2891" w:rsidP="00CA634B">
      <w:pPr>
        <w:pStyle w:val="Voetnoottekst"/>
        <w:spacing w:line="360" w:lineRule="auto"/>
        <w:rPr>
          <w:sz w:val="22"/>
          <w:szCs w:val="22"/>
        </w:rPr>
      </w:pPr>
    </w:p>
    <w:p w:rsidR="00CA634B" w:rsidRPr="00F67FD7" w:rsidRDefault="00CA634B" w:rsidP="00CA634B">
      <w:pPr>
        <w:pStyle w:val="Voetnoottekst"/>
        <w:spacing w:line="360" w:lineRule="auto"/>
        <w:rPr>
          <w:b/>
          <w:sz w:val="22"/>
          <w:szCs w:val="22"/>
        </w:rPr>
      </w:pPr>
      <w:r w:rsidRPr="00F67FD7">
        <w:rPr>
          <w:b/>
          <w:sz w:val="22"/>
          <w:szCs w:val="22"/>
        </w:rPr>
        <w:t>N</w:t>
      </w:r>
    </w:p>
    <w:p w:rsidR="00CA634B" w:rsidRPr="00B654DD" w:rsidRDefault="00CA634B" w:rsidP="00CA634B">
      <w:pPr>
        <w:pStyle w:val="Voetnoottekst"/>
        <w:spacing w:line="360" w:lineRule="auto"/>
        <w:rPr>
          <w:sz w:val="22"/>
          <w:szCs w:val="22"/>
        </w:rPr>
      </w:pPr>
      <w:r w:rsidRPr="00B654DD">
        <w:rPr>
          <w:sz w:val="22"/>
          <w:szCs w:val="22"/>
        </w:rPr>
        <w:t>Rb Noord-Holland 28 juni 2016 (ktr.) ECLI:NL:RBNHO:2016:5447</w:t>
      </w:r>
    </w:p>
    <w:p w:rsidR="000435FA" w:rsidRDefault="00ED2891" w:rsidP="000435FA">
      <w:pPr>
        <w:pStyle w:val="Voetnoottekst"/>
        <w:spacing w:line="360" w:lineRule="auto"/>
        <w:rPr>
          <w:sz w:val="22"/>
          <w:szCs w:val="22"/>
        </w:rPr>
      </w:pPr>
      <w:r>
        <w:rPr>
          <w:sz w:val="22"/>
          <w:szCs w:val="22"/>
        </w:rPr>
        <w:t>Rb Noord-Hol</w:t>
      </w:r>
      <w:r w:rsidR="00CA634B" w:rsidRPr="00B654DD">
        <w:rPr>
          <w:sz w:val="22"/>
          <w:szCs w:val="22"/>
        </w:rPr>
        <w:t>land (ktr.) 17 mei 2016, ECLI:NL:RBNHO:2016:4052</w:t>
      </w:r>
      <w:r w:rsidR="00CA634B" w:rsidRPr="00CA634B">
        <w:rPr>
          <w:sz w:val="22"/>
          <w:szCs w:val="22"/>
        </w:rPr>
        <w:t xml:space="preserve"> </w:t>
      </w:r>
    </w:p>
    <w:p w:rsidR="000435FA" w:rsidRDefault="00D451CA" w:rsidP="000435FA">
      <w:pPr>
        <w:pStyle w:val="Voetnoottekst"/>
        <w:spacing w:line="360" w:lineRule="auto"/>
        <w:rPr>
          <w:sz w:val="22"/>
          <w:szCs w:val="22"/>
        </w:rPr>
      </w:pPr>
      <w:r>
        <w:rPr>
          <w:sz w:val="22"/>
          <w:szCs w:val="22"/>
        </w:rPr>
        <w:t>Rb Noord-</w:t>
      </w:r>
      <w:r w:rsidR="000435FA">
        <w:rPr>
          <w:sz w:val="22"/>
          <w:szCs w:val="22"/>
        </w:rPr>
        <w:t xml:space="preserve">Holland (ktr.) 22 januari 2016, </w:t>
      </w:r>
      <w:r w:rsidR="000435FA" w:rsidRPr="000435FA">
        <w:rPr>
          <w:sz w:val="22"/>
          <w:szCs w:val="22"/>
        </w:rPr>
        <w:t>ECLI:NL:RBNHO:2016:553</w:t>
      </w:r>
    </w:p>
    <w:p w:rsidR="00ED2891" w:rsidRDefault="00ED2891" w:rsidP="00ED2891">
      <w:pPr>
        <w:pStyle w:val="Voetnoottekst"/>
        <w:spacing w:line="360" w:lineRule="auto"/>
        <w:rPr>
          <w:sz w:val="22"/>
          <w:szCs w:val="22"/>
        </w:rPr>
      </w:pPr>
      <w:r w:rsidRPr="00B654DD">
        <w:rPr>
          <w:sz w:val="22"/>
          <w:szCs w:val="22"/>
        </w:rPr>
        <w:t xml:space="preserve">Rb </w:t>
      </w:r>
      <w:r>
        <w:rPr>
          <w:sz w:val="22"/>
          <w:szCs w:val="22"/>
        </w:rPr>
        <w:t>Noord-Holland</w:t>
      </w:r>
      <w:r w:rsidRPr="00B654DD">
        <w:rPr>
          <w:sz w:val="22"/>
          <w:szCs w:val="22"/>
        </w:rPr>
        <w:t xml:space="preserve"> (ktr.) 18 december 2015, ECLI:NL:RBNHO:2015:11461 </w:t>
      </w:r>
    </w:p>
    <w:p w:rsidR="00ED2891" w:rsidRDefault="00ED2891" w:rsidP="00ED2891">
      <w:pPr>
        <w:pStyle w:val="Voetnoottekst"/>
        <w:spacing w:line="360" w:lineRule="auto"/>
        <w:rPr>
          <w:sz w:val="22"/>
          <w:szCs w:val="22"/>
        </w:rPr>
      </w:pPr>
      <w:r w:rsidRPr="00797D4C">
        <w:rPr>
          <w:sz w:val="22"/>
          <w:szCs w:val="22"/>
        </w:rPr>
        <w:t xml:space="preserve">Rb. </w:t>
      </w:r>
      <w:r>
        <w:rPr>
          <w:sz w:val="22"/>
          <w:szCs w:val="22"/>
        </w:rPr>
        <w:t>Noord-Holland</w:t>
      </w:r>
      <w:r w:rsidRPr="00797D4C">
        <w:rPr>
          <w:sz w:val="22"/>
          <w:szCs w:val="22"/>
        </w:rPr>
        <w:t xml:space="preserve"> (</w:t>
      </w:r>
      <w:r w:rsidR="003E0C33" w:rsidRPr="00797D4C">
        <w:rPr>
          <w:sz w:val="22"/>
          <w:szCs w:val="22"/>
        </w:rPr>
        <w:t>ktr</w:t>
      </w:r>
      <w:r w:rsidRPr="00797D4C">
        <w:rPr>
          <w:sz w:val="22"/>
          <w:szCs w:val="22"/>
        </w:rPr>
        <w:t>.) 4 november 2015, ECLI:NL:RBNHO:2015:9668</w:t>
      </w:r>
      <w:r w:rsidRPr="00ED2891">
        <w:rPr>
          <w:sz w:val="22"/>
          <w:szCs w:val="22"/>
        </w:rPr>
        <w:t xml:space="preserve"> </w:t>
      </w:r>
    </w:p>
    <w:p w:rsidR="00CA634B" w:rsidRPr="00B654DD" w:rsidRDefault="00ED2891" w:rsidP="00ED2891">
      <w:pPr>
        <w:pStyle w:val="Voetnoottekst"/>
        <w:spacing w:line="360" w:lineRule="auto"/>
        <w:rPr>
          <w:sz w:val="22"/>
          <w:szCs w:val="22"/>
        </w:rPr>
      </w:pPr>
      <w:r w:rsidRPr="00B654DD">
        <w:rPr>
          <w:sz w:val="22"/>
          <w:szCs w:val="22"/>
        </w:rPr>
        <w:t>Rb Noord-Ho</w:t>
      </w:r>
      <w:r>
        <w:rPr>
          <w:sz w:val="22"/>
          <w:szCs w:val="22"/>
        </w:rPr>
        <w:t>lland m(ktr.)</w:t>
      </w:r>
      <w:r w:rsidRPr="00B654DD">
        <w:rPr>
          <w:sz w:val="22"/>
          <w:szCs w:val="22"/>
        </w:rPr>
        <w:t xml:space="preserve"> 27 oktober 2015, ECLI:NL:RBNHO:2015:9470</w:t>
      </w:r>
      <w:r w:rsidRPr="00ED2891">
        <w:rPr>
          <w:sz w:val="22"/>
          <w:szCs w:val="22"/>
        </w:rPr>
        <w:t xml:space="preserve"> </w:t>
      </w:r>
    </w:p>
    <w:p w:rsidR="00797D4C" w:rsidRDefault="00CA634B" w:rsidP="00CA634B">
      <w:pPr>
        <w:pStyle w:val="Voetnoottekst"/>
        <w:spacing w:line="360" w:lineRule="auto"/>
      </w:pPr>
      <w:r w:rsidRPr="00B654DD">
        <w:rPr>
          <w:sz w:val="22"/>
          <w:szCs w:val="22"/>
        </w:rPr>
        <w:t xml:space="preserve">Rb Noord-Nederland (ktr.) 1 september 2016, </w:t>
      </w:r>
      <w:r w:rsidRPr="002E6154">
        <w:rPr>
          <w:sz w:val="22"/>
          <w:szCs w:val="22"/>
        </w:rPr>
        <w:t>ECLI:NL:RBNNE</w:t>
      </w:r>
      <w:r w:rsidRPr="00B654DD">
        <w:rPr>
          <w:sz w:val="22"/>
          <w:szCs w:val="22"/>
        </w:rPr>
        <w:t>:2016:2300</w:t>
      </w:r>
      <w:r w:rsidR="00797D4C" w:rsidRPr="00797D4C">
        <w:t xml:space="preserve"> </w:t>
      </w:r>
    </w:p>
    <w:p w:rsidR="00CA634B" w:rsidRDefault="00797D4C" w:rsidP="00CA634B">
      <w:pPr>
        <w:pStyle w:val="Voetnoottekst"/>
        <w:spacing w:line="360" w:lineRule="auto"/>
        <w:rPr>
          <w:sz w:val="22"/>
          <w:szCs w:val="22"/>
        </w:rPr>
      </w:pPr>
      <w:r w:rsidRPr="00797D4C">
        <w:rPr>
          <w:sz w:val="22"/>
          <w:szCs w:val="22"/>
        </w:rPr>
        <w:t xml:space="preserve">Rb </w:t>
      </w:r>
      <w:r w:rsidR="00D451CA" w:rsidRPr="00797D4C">
        <w:rPr>
          <w:sz w:val="22"/>
          <w:szCs w:val="22"/>
        </w:rPr>
        <w:t>Noord-Nederland</w:t>
      </w:r>
      <w:r w:rsidRPr="00797D4C">
        <w:rPr>
          <w:sz w:val="22"/>
          <w:szCs w:val="22"/>
        </w:rPr>
        <w:t xml:space="preserve"> 14 juli 2016, ECLI:NL:RBNNE:2016:3628</w:t>
      </w:r>
    </w:p>
    <w:p w:rsidR="002E6154" w:rsidRPr="00797D4C" w:rsidRDefault="002E6154" w:rsidP="00CA634B">
      <w:pPr>
        <w:pStyle w:val="Voetnoottekst"/>
        <w:spacing w:line="360" w:lineRule="auto"/>
        <w:rPr>
          <w:sz w:val="22"/>
          <w:szCs w:val="22"/>
        </w:rPr>
      </w:pPr>
      <w:r>
        <w:rPr>
          <w:sz w:val="22"/>
          <w:szCs w:val="22"/>
        </w:rPr>
        <w:t xml:space="preserve">Rb </w:t>
      </w:r>
      <w:r w:rsidR="00D451CA">
        <w:rPr>
          <w:sz w:val="22"/>
          <w:szCs w:val="22"/>
        </w:rPr>
        <w:t>Noord-Nederland</w:t>
      </w:r>
      <w:r>
        <w:rPr>
          <w:sz w:val="22"/>
          <w:szCs w:val="22"/>
        </w:rPr>
        <w:t xml:space="preserve"> 17 maart 2016, </w:t>
      </w:r>
      <w:r w:rsidRPr="002E6154">
        <w:rPr>
          <w:sz w:val="22"/>
          <w:szCs w:val="22"/>
        </w:rPr>
        <w:t>ECLI:NL:RBNNE:2016:3014</w:t>
      </w:r>
      <w:r>
        <w:rPr>
          <w:sz w:val="22"/>
          <w:szCs w:val="22"/>
        </w:rPr>
        <w:t xml:space="preserve"> </w:t>
      </w:r>
    </w:p>
    <w:p w:rsidR="00CA634B" w:rsidRPr="00B654DD" w:rsidRDefault="00CA634B" w:rsidP="00CA634B">
      <w:pPr>
        <w:pStyle w:val="Voetnoottekst"/>
        <w:spacing w:line="360" w:lineRule="auto"/>
        <w:rPr>
          <w:sz w:val="22"/>
          <w:szCs w:val="22"/>
        </w:rPr>
      </w:pPr>
      <w:r w:rsidRPr="00B654DD">
        <w:rPr>
          <w:sz w:val="22"/>
          <w:szCs w:val="22"/>
        </w:rPr>
        <w:t>Rb Noord-Nederland (ktr.), 24 februari 2016, ECLI:NL:RBNNE:2016:756</w:t>
      </w:r>
    </w:p>
    <w:p w:rsidR="00CA634B" w:rsidRDefault="00CA634B" w:rsidP="00CA634B">
      <w:pPr>
        <w:pStyle w:val="Voetnoottekst"/>
        <w:spacing w:line="360" w:lineRule="auto"/>
        <w:rPr>
          <w:sz w:val="22"/>
          <w:szCs w:val="22"/>
        </w:rPr>
      </w:pPr>
      <w:r w:rsidRPr="00B654DD">
        <w:rPr>
          <w:sz w:val="22"/>
          <w:szCs w:val="22"/>
        </w:rPr>
        <w:t>Rb Noord-Nederland (ktr.) 24 februari 2016, ECLI:NL:RBNNE:2016:715</w:t>
      </w:r>
    </w:p>
    <w:p w:rsidR="00797D4C" w:rsidRDefault="00797D4C" w:rsidP="00CA634B">
      <w:pPr>
        <w:pStyle w:val="Voetnoottekst"/>
        <w:spacing w:line="360" w:lineRule="auto"/>
        <w:rPr>
          <w:sz w:val="22"/>
          <w:szCs w:val="22"/>
        </w:rPr>
      </w:pPr>
    </w:p>
    <w:p w:rsidR="00CA634B" w:rsidRPr="00CA634B" w:rsidRDefault="00CA634B" w:rsidP="00CA634B">
      <w:pPr>
        <w:pStyle w:val="Voetnoottekst"/>
        <w:spacing w:line="360" w:lineRule="auto"/>
        <w:rPr>
          <w:b/>
          <w:bCs/>
          <w:sz w:val="22"/>
          <w:szCs w:val="22"/>
        </w:rPr>
      </w:pPr>
      <w:r w:rsidRPr="00CA634B">
        <w:rPr>
          <w:b/>
          <w:bCs/>
          <w:sz w:val="22"/>
          <w:szCs w:val="22"/>
        </w:rPr>
        <w:t>O</w:t>
      </w:r>
    </w:p>
    <w:p w:rsidR="00010587" w:rsidRDefault="00010587" w:rsidP="00010587">
      <w:pPr>
        <w:pStyle w:val="Voetnoottekst"/>
        <w:spacing w:line="360" w:lineRule="auto"/>
        <w:rPr>
          <w:sz w:val="22"/>
          <w:szCs w:val="22"/>
        </w:rPr>
      </w:pPr>
      <w:r>
        <w:rPr>
          <w:sz w:val="22"/>
          <w:szCs w:val="22"/>
        </w:rPr>
        <w:t xml:space="preserve">Rb Overijssel (ktr.) 13 september 2016, </w:t>
      </w:r>
      <w:r w:rsidRPr="00010587">
        <w:rPr>
          <w:sz w:val="22"/>
          <w:szCs w:val="22"/>
        </w:rPr>
        <w:t>ECLI:NL:RBOVE:2016:3438</w:t>
      </w:r>
    </w:p>
    <w:p w:rsidR="00797D4C" w:rsidRDefault="00CA634B" w:rsidP="00797D4C">
      <w:pPr>
        <w:pStyle w:val="Voetnoottekst"/>
        <w:spacing w:line="360" w:lineRule="auto"/>
        <w:rPr>
          <w:sz w:val="22"/>
          <w:szCs w:val="22"/>
        </w:rPr>
      </w:pPr>
      <w:r w:rsidRPr="00B654DD">
        <w:rPr>
          <w:sz w:val="22"/>
          <w:szCs w:val="22"/>
        </w:rPr>
        <w:t>R</w:t>
      </w:r>
      <w:r>
        <w:rPr>
          <w:sz w:val="22"/>
          <w:szCs w:val="22"/>
        </w:rPr>
        <w:t>b</w:t>
      </w:r>
      <w:r w:rsidRPr="00B654DD">
        <w:rPr>
          <w:sz w:val="22"/>
          <w:szCs w:val="22"/>
        </w:rPr>
        <w:t xml:space="preserve"> Overijssel (ktr.) 18 maart 2016, ECLI:NL:RBOVE:2016:939</w:t>
      </w:r>
      <w:r w:rsidR="00797D4C" w:rsidRPr="00797D4C">
        <w:rPr>
          <w:sz w:val="22"/>
          <w:szCs w:val="22"/>
        </w:rPr>
        <w:t xml:space="preserve"> </w:t>
      </w:r>
    </w:p>
    <w:p w:rsidR="00797D4C" w:rsidRDefault="00797D4C" w:rsidP="00797D4C">
      <w:pPr>
        <w:pStyle w:val="Voetnoottekst"/>
        <w:spacing w:line="360" w:lineRule="auto"/>
        <w:rPr>
          <w:sz w:val="22"/>
          <w:szCs w:val="22"/>
        </w:rPr>
      </w:pPr>
      <w:r>
        <w:rPr>
          <w:sz w:val="22"/>
          <w:szCs w:val="22"/>
        </w:rPr>
        <w:t xml:space="preserve">Rb Overijssel (ktr.) 20 augustus 2015, </w:t>
      </w:r>
      <w:r w:rsidRPr="00797D4C">
        <w:rPr>
          <w:sz w:val="22"/>
          <w:szCs w:val="22"/>
        </w:rPr>
        <w:t>ECLI:NL:RBOVE:2015:3899</w:t>
      </w:r>
    </w:p>
    <w:p w:rsidR="00973A3A" w:rsidRDefault="00973A3A" w:rsidP="00CA634B">
      <w:pPr>
        <w:pStyle w:val="Voetnoottekst"/>
        <w:spacing w:line="360" w:lineRule="auto"/>
        <w:rPr>
          <w:b/>
          <w:bCs/>
          <w:sz w:val="22"/>
          <w:szCs w:val="22"/>
        </w:rPr>
      </w:pPr>
    </w:p>
    <w:p w:rsidR="00CA634B" w:rsidRDefault="00CA634B" w:rsidP="00CA634B">
      <w:pPr>
        <w:pStyle w:val="Voetnoottekst"/>
        <w:spacing w:line="360" w:lineRule="auto"/>
        <w:rPr>
          <w:b/>
          <w:bCs/>
          <w:sz w:val="22"/>
          <w:szCs w:val="22"/>
        </w:rPr>
      </w:pPr>
      <w:r w:rsidRPr="00CA634B">
        <w:rPr>
          <w:b/>
          <w:bCs/>
          <w:sz w:val="22"/>
          <w:szCs w:val="22"/>
        </w:rPr>
        <w:t>R</w:t>
      </w:r>
    </w:p>
    <w:p w:rsidR="0087151E" w:rsidRPr="0087151E" w:rsidRDefault="0087151E" w:rsidP="0087151E">
      <w:pPr>
        <w:pStyle w:val="Voetnoottekst"/>
        <w:spacing w:line="360" w:lineRule="auto"/>
        <w:rPr>
          <w:sz w:val="22"/>
          <w:szCs w:val="22"/>
        </w:rPr>
      </w:pPr>
      <w:r w:rsidRPr="0087151E">
        <w:rPr>
          <w:sz w:val="22"/>
          <w:szCs w:val="22"/>
          <w:lang w:eastAsia="ja-JP"/>
        </w:rPr>
        <w:t>Rb Rotterdam</w:t>
      </w:r>
      <w:r>
        <w:rPr>
          <w:sz w:val="22"/>
          <w:szCs w:val="22"/>
          <w:lang w:eastAsia="ja-JP"/>
        </w:rPr>
        <w:t xml:space="preserve"> (ktr.)</w:t>
      </w:r>
      <w:r w:rsidRPr="0087151E">
        <w:rPr>
          <w:sz w:val="22"/>
          <w:szCs w:val="22"/>
          <w:lang w:eastAsia="ja-JP"/>
        </w:rPr>
        <w:t xml:space="preserve"> 15 december 2016, ECLI:NL:RBROT:2016:9728</w:t>
      </w:r>
    </w:p>
    <w:p w:rsidR="00973A3A" w:rsidRDefault="00973A3A" w:rsidP="00CA634B">
      <w:pPr>
        <w:pStyle w:val="Voetnoottekst"/>
        <w:spacing w:line="360" w:lineRule="auto"/>
        <w:rPr>
          <w:sz w:val="22"/>
          <w:szCs w:val="22"/>
        </w:rPr>
      </w:pPr>
      <w:r>
        <w:rPr>
          <w:sz w:val="22"/>
          <w:szCs w:val="22"/>
        </w:rPr>
        <w:t xml:space="preserve">Rb Rotterdam (ktr.) 11 november 2016, </w:t>
      </w:r>
      <w:r w:rsidRPr="00973A3A">
        <w:rPr>
          <w:sz w:val="22"/>
          <w:szCs w:val="22"/>
        </w:rPr>
        <w:t>ECLI:NL:RBROT:2016:8668</w:t>
      </w:r>
    </w:p>
    <w:p w:rsidR="00CA634B" w:rsidRDefault="00CA634B" w:rsidP="00CA634B">
      <w:pPr>
        <w:pStyle w:val="Voetnoottekst"/>
        <w:spacing w:line="360" w:lineRule="auto"/>
        <w:rPr>
          <w:sz w:val="22"/>
          <w:szCs w:val="22"/>
        </w:rPr>
      </w:pPr>
      <w:r w:rsidRPr="00B654DD">
        <w:rPr>
          <w:sz w:val="22"/>
          <w:szCs w:val="22"/>
        </w:rPr>
        <w:t>Rb Rotterdam (ktr.) 1 september 2016, ECLI:NL:RBROT:2016:6495</w:t>
      </w:r>
    </w:p>
    <w:p w:rsidR="00797D4C" w:rsidRPr="00797D4C" w:rsidRDefault="00797D4C" w:rsidP="00CA634B">
      <w:pPr>
        <w:pStyle w:val="Voetnoottekst"/>
        <w:spacing w:line="360" w:lineRule="auto"/>
        <w:rPr>
          <w:sz w:val="22"/>
          <w:szCs w:val="22"/>
        </w:rPr>
      </w:pPr>
      <w:r>
        <w:rPr>
          <w:sz w:val="22"/>
          <w:szCs w:val="22"/>
        </w:rPr>
        <w:t>Rb Rotterdam (ktr.) 13 mei 2016</w:t>
      </w:r>
      <w:r w:rsidRPr="00797D4C">
        <w:rPr>
          <w:sz w:val="22"/>
          <w:szCs w:val="22"/>
        </w:rPr>
        <w:t>, ECLI:NL:RBROT:2016:3665</w:t>
      </w:r>
    </w:p>
    <w:p w:rsidR="00CA634B" w:rsidRDefault="00CA634B" w:rsidP="00CA634B">
      <w:pPr>
        <w:pStyle w:val="Voetnoottekst"/>
        <w:spacing w:line="360" w:lineRule="auto"/>
        <w:rPr>
          <w:sz w:val="22"/>
          <w:szCs w:val="22"/>
        </w:rPr>
      </w:pPr>
      <w:r w:rsidRPr="00B654DD">
        <w:rPr>
          <w:sz w:val="22"/>
          <w:szCs w:val="22"/>
        </w:rPr>
        <w:t>Rb Rotterdam, (ktr.) 19 april 2016, ECLI:NL:RBROT:2016:2857</w:t>
      </w:r>
      <w:r w:rsidRPr="00CA634B">
        <w:rPr>
          <w:sz w:val="22"/>
          <w:szCs w:val="22"/>
        </w:rPr>
        <w:t xml:space="preserve"> </w:t>
      </w:r>
    </w:p>
    <w:p w:rsidR="00CA634B" w:rsidRPr="00B654DD" w:rsidRDefault="00CA634B" w:rsidP="00CA634B">
      <w:pPr>
        <w:pStyle w:val="Voetnoottekst"/>
        <w:spacing w:line="360" w:lineRule="auto"/>
        <w:rPr>
          <w:sz w:val="22"/>
          <w:szCs w:val="22"/>
        </w:rPr>
      </w:pPr>
      <w:r w:rsidRPr="00B654DD">
        <w:rPr>
          <w:sz w:val="22"/>
          <w:szCs w:val="22"/>
        </w:rPr>
        <w:t>Rb Rotterdam (ktr.) 11 december 2015, ECLI:NL:RBROT:2015:9963</w:t>
      </w:r>
    </w:p>
    <w:p w:rsidR="00CA634B" w:rsidRPr="00CA634B" w:rsidRDefault="00CA634B" w:rsidP="00CA634B">
      <w:pPr>
        <w:pStyle w:val="Voetnoottekst"/>
        <w:spacing w:line="360" w:lineRule="auto"/>
        <w:rPr>
          <w:sz w:val="22"/>
          <w:szCs w:val="22"/>
        </w:rPr>
      </w:pPr>
      <w:r w:rsidRPr="00B654DD">
        <w:rPr>
          <w:sz w:val="22"/>
          <w:szCs w:val="22"/>
        </w:rPr>
        <w:t>Rb Rotterdam (ktr.) 28 augustus 2015, ECLI:NL:RBOBR:2015:5275</w:t>
      </w:r>
    </w:p>
    <w:p w:rsidR="00ED2891" w:rsidRDefault="00ED2891" w:rsidP="00590830">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b/>
          <w:bCs/>
        </w:rPr>
      </w:pPr>
    </w:p>
    <w:p w:rsidR="00EF1BB8" w:rsidRDefault="00CA634B" w:rsidP="00590830">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b/>
          <w:bCs/>
        </w:rPr>
      </w:pPr>
      <w:r>
        <w:rPr>
          <w:b/>
          <w:bCs/>
        </w:rPr>
        <w:t>U</w:t>
      </w:r>
    </w:p>
    <w:p w:rsidR="00097FAF" w:rsidRDefault="004B047B" w:rsidP="00B654DD">
      <w:pPr>
        <w:pStyle w:val="Voetnoottekst"/>
        <w:spacing w:line="360" w:lineRule="auto"/>
        <w:rPr>
          <w:sz w:val="22"/>
          <w:szCs w:val="22"/>
        </w:rPr>
      </w:pPr>
      <w:r>
        <w:rPr>
          <w:sz w:val="22"/>
          <w:szCs w:val="22"/>
        </w:rPr>
        <w:t>Rb Utrecht (ktr.)</w:t>
      </w:r>
      <w:r w:rsidR="00097FAF">
        <w:rPr>
          <w:sz w:val="22"/>
          <w:szCs w:val="22"/>
        </w:rPr>
        <w:t xml:space="preserve"> 27 mei 2016, </w:t>
      </w:r>
      <w:r w:rsidR="00097FAF" w:rsidRPr="00097FAF">
        <w:rPr>
          <w:sz w:val="22"/>
          <w:szCs w:val="22"/>
        </w:rPr>
        <w:t>ECLI:NL:RBMNE:2016:2980</w:t>
      </w:r>
    </w:p>
    <w:p w:rsidR="00B654DD" w:rsidRPr="00B654DD" w:rsidRDefault="00B654DD" w:rsidP="00B654DD">
      <w:pPr>
        <w:pStyle w:val="Voetnoottekst"/>
        <w:spacing w:line="360" w:lineRule="auto"/>
        <w:rPr>
          <w:sz w:val="22"/>
          <w:szCs w:val="22"/>
        </w:rPr>
      </w:pPr>
      <w:r w:rsidRPr="00B654DD">
        <w:rPr>
          <w:sz w:val="22"/>
          <w:szCs w:val="22"/>
        </w:rPr>
        <w:t>Rb Utrecht (ktr.) 18 februari 2016, ECLI:NL:RBMNE:2016:854</w:t>
      </w:r>
    </w:p>
    <w:p w:rsidR="00ED2891" w:rsidRDefault="00ED2891" w:rsidP="00B654DD">
      <w:pPr>
        <w:pStyle w:val="Voetnoottekst"/>
        <w:spacing w:line="360" w:lineRule="auto"/>
        <w:rPr>
          <w:b/>
          <w:bCs/>
          <w:sz w:val="22"/>
          <w:szCs w:val="22"/>
        </w:rPr>
      </w:pPr>
    </w:p>
    <w:p w:rsidR="00CA634B" w:rsidRPr="00CA634B" w:rsidRDefault="00CA634B" w:rsidP="00B654DD">
      <w:pPr>
        <w:pStyle w:val="Voetnoottekst"/>
        <w:spacing w:line="360" w:lineRule="auto"/>
        <w:rPr>
          <w:b/>
          <w:bCs/>
          <w:sz w:val="22"/>
          <w:szCs w:val="22"/>
        </w:rPr>
      </w:pPr>
      <w:r w:rsidRPr="00CA634B">
        <w:rPr>
          <w:b/>
          <w:bCs/>
          <w:sz w:val="22"/>
          <w:szCs w:val="22"/>
        </w:rPr>
        <w:t>Z</w:t>
      </w:r>
    </w:p>
    <w:p w:rsidR="00ED2891" w:rsidRPr="00227DA3" w:rsidRDefault="00B654DD" w:rsidP="00227DA3">
      <w:pPr>
        <w:pStyle w:val="Voetnoottekst"/>
        <w:spacing w:line="360" w:lineRule="auto"/>
        <w:rPr>
          <w:sz w:val="22"/>
          <w:szCs w:val="22"/>
        </w:rPr>
      </w:pPr>
      <w:r w:rsidRPr="00B654DD">
        <w:rPr>
          <w:sz w:val="22"/>
          <w:szCs w:val="22"/>
        </w:rPr>
        <w:t>Rb Zeeland-West-Brabant (ktr.) 13 juli 2016, ECLI:NL:RBZWB:2016:4337</w:t>
      </w:r>
    </w:p>
    <w:p w:rsidR="002E6154" w:rsidRPr="00F67FD7" w:rsidRDefault="002E6154" w:rsidP="002E6154">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b/>
          <w:bCs/>
          <w:sz w:val="24"/>
          <w:szCs w:val="24"/>
        </w:rPr>
      </w:pPr>
      <w:r w:rsidRPr="00F67FD7">
        <w:rPr>
          <w:b/>
          <w:bCs/>
          <w:sz w:val="24"/>
          <w:szCs w:val="24"/>
        </w:rPr>
        <w:lastRenderedPageBreak/>
        <w:t>GERECHTSHOVEN</w:t>
      </w:r>
    </w:p>
    <w:p w:rsidR="002E6154" w:rsidRPr="00A32DB8" w:rsidRDefault="00A32DB8" w:rsidP="00A32DB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rPr>
      </w:pPr>
      <w:r w:rsidRPr="00A32DB8">
        <w:rPr>
          <w:b/>
          <w:bCs/>
        </w:rPr>
        <w:t>A</w:t>
      </w:r>
    </w:p>
    <w:p w:rsidR="00A32DB8" w:rsidRPr="00A32DB8" w:rsidRDefault="00A32DB8" w:rsidP="007901C4">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sidRPr="00A32DB8">
        <w:t>Hof Arnhem-Leeuwarden 25 augustus 2016</w:t>
      </w:r>
      <w:r w:rsidR="004B047B">
        <w:t>,</w:t>
      </w:r>
      <w:r w:rsidRPr="00A32DB8">
        <w:t xml:space="preserve"> ECLI:NL:GHARL:2016:6882</w:t>
      </w:r>
    </w:p>
    <w:p w:rsidR="00A32DB8" w:rsidRPr="00A32DB8" w:rsidRDefault="00A32DB8" w:rsidP="007901C4">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rPr>
          <w:b/>
          <w:bCs/>
        </w:rPr>
      </w:pPr>
      <w:r w:rsidRPr="00A32DB8">
        <w:t>Hof Arnhem-Leeuwarden 19 augustus 2016</w:t>
      </w:r>
      <w:r w:rsidR="004B047B">
        <w:t>,</w:t>
      </w:r>
      <w:r w:rsidRPr="00A32DB8">
        <w:t xml:space="preserve"> ECLI:NL:GHARL:2016:6792</w:t>
      </w:r>
    </w:p>
    <w:p w:rsidR="00A32DB8" w:rsidRPr="00A32DB8" w:rsidRDefault="00A32DB8" w:rsidP="007901C4">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360" w:lineRule="auto"/>
        <w:ind w:right="-23"/>
      </w:pPr>
      <w:r w:rsidRPr="00A32DB8">
        <w:t xml:space="preserve">Hof Arnhem-Leeuwarden 31 maart 2016, ECLI:NL:GHARL:2016:2601 </w:t>
      </w:r>
    </w:p>
    <w:p w:rsidR="00A32DB8" w:rsidRPr="00A32DB8" w:rsidRDefault="00A32DB8" w:rsidP="00A32DB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b/>
          <w:bCs/>
        </w:rPr>
      </w:pPr>
      <w:r w:rsidRPr="00A32DB8">
        <w:rPr>
          <w:b/>
          <w:bCs/>
        </w:rPr>
        <w:t>D</w:t>
      </w:r>
    </w:p>
    <w:p w:rsidR="00B654DD" w:rsidRPr="00A32DB8" w:rsidRDefault="00B654DD" w:rsidP="00A32DB8">
      <w:pPr>
        <w:pStyle w:val="Voetnoottekst"/>
        <w:spacing w:line="360" w:lineRule="auto"/>
        <w:rPr>
          <w:sz w:val="22"/>
          <w:szCs w:val="22"/>
        </w:rPr>
      </w:pPr>
      <w:r w:rsidRPr="00A32DB8">
        <w:rPr>
          <w:sz w:val="22"/>
          <w:szCs w:val="22"/>
        </w:rPr>
        <w:t>Hof Den Haag 22 maart 2016, ECLI:NL:GHDHA: 2016:715</w:t>
      </w:r>
    </w:p>
    <w:p w:rsidR="00A32DB8" w:rsidRPr="00A32DB8" w:rsidRDefault="00A32DB8" w:rsidP="00A32DB8">
      <w:pPr>
        <w:pStyle w:val="Voetnoottekst"/>
        <w:spacing w:line="360" w:lineRule="auto"/>
        <w:rPr>
          <w:sz w:val="22"/>
          <w:szCs w:val="22"/>
        </w:rPr>
      </w:pPr>
    </w:p>
    <w:p w:rsidR="00A32DB8" w:rsidRPr="00723910" w:rsidRDefault="00A32DB8" w:rsidP="00A32DB8">
      <w:pPr>
        <w:pStyle w:val="Voetnoottekst"/>
        <w:spacing w:line="360" w:lineRule="auto"/>
        <w:rPr>
          <w:b/>
          <w:bCs/>
          <w:sz w:val="22"/>
          <w:szCs w:val="22"/>
          <w:lang w:val="en-US"/>
        </w:rPr>
      </w:pPr>
      <w:r w:rsidRPr="00723910">
        <w:rPr>
          <w:b/>
          <w:bCs/>
          <w:sz w:val="22"/>
          <w:szCs w:val="22"/>
          <w:lang w:val="en-US"/>
        </w:rPr>
        <w:t>H</w:t>
      </w:r>
    </w:p>
    <w:p w:rsidR="00D158B1" w:rsidRPr="00723910" w:rsidRDefault="00D158B1" w:rsidP="00E52FF6">
      <w:pPr>
        <w:pStyle w:val="Geenafstand"/>
        <w:spacing w:line="360" w:lineRule="auto"/>
        <w:rPr>
          <w:lang w:val="en-US"/>
        </w:rPr>
      </w:pPr>
      <w:r w:rsidRPr="00723910">
        <w:rPr>
          <w:lang w:val="en-US"/>
        </w:rPr>
        <w:t>Hof ’s-Hertogenbosch, 10 november 2016, ECLI:NL:GHSHE:2016:5001</w:t>
      </w:r>
    </w:p>
    <w:p w:rsidR="00B654DD" w:rsidRPr="00723910" w:rsidRDefault="00B654DD" w:rsidP="00E52FF6">
      <w:pPr>
        <w:pStyle w:val="Geenafstand"/>
        <w:spacing w:line="360" w:lineRule="auto"/>
        <w:rPr>
          <w:lang w:val="en-US"/>
        </w:rPr>
      </w:pPr>
      <w:r w:rsidRPr="00723910">
        <w:rPr>
          <w:lang w:val="en-US"/>
        </w:rPr>
        <w:t xml:space="preserve">Hof </w:t>
      </w:r>
      <w:r w:rsidRPr="00723910">
        <w:rPr>
          <w:shd w:val="clear" w:color="auto" w:fill="FFFFFF"/>
          <w:lang w:val="en-US"/>
        </w:rPr>
        <w:t xml:space="preserve">’s-Hertogenbosch 21 </w:t>
      </w:r>
      <w:r w:rsidR="00D451CA">
        <w:rPr>
          <w:shd w:val="clear" w:color="auto" w:fill="FFFFFF"/>
          <w:lang w:val="en-US"/>
        </w:rPr>
        <w:t>a</w:t>
      </w:r>
      <w:r w:rsidR="00C42787" w:rsidRPr="00723910">
        <w:rPr>
          <w:shd w:val="clear" w:color="auto" w:fill="FFFFFF"/>
          <w:lang w:val="en-US"/>
        </w:rPr>
        <w:t>pril</w:t>
      </w:r>
      <w:r w:rsidRPr="00723910">
        <w:rPr>
          <w:shd w:val="clear" w:color="auto" w:fill="FFFFFF"/>
          <w:lang w:val="en-US"/>
        </w:rPr>
        <w:t xml:space="preserve"> 2016, </w:t>
      </w:r>
      <w:r w:rsidRPr="00723910">
        <w:rPr>
          <w:lang w:val="en-US"/>
        </w:rPr>
        <w:t>ECLI:NL:GHSHE:2016:1538</w:t>
      </w:r>
    </w:p>
    <w:p w:rsidR="00A32DB8" w:rsidRPr="00E52FF6" w:rsidRDefault="00CA634B" w:rsidP="00E52FF6">
      <w:pPr>
        <w:pStyle w:val="Geenafstand"/>
        <w:spacing w:line="360" w:lineRule="auto"/>
        <w:rPr>
          <w:b/>
        </w:rPr>
      </w:pPr>
      <w:r w:rsidRPr="00E52FF6">
        <w:t>Hof ’s-Hertogenbosch 23 juni 2016, ECLI:NL:GHSHE:2016:2514</w:t>
      </w:r>
    </w:p>
    <w:p w:rsidR="00CA634B" w:rsidRPr="00E52FF6" w:rsidRDefault="002E6154" w:rsidP="00E52FF6">
      <w:pPr>
        <w:pStyle w:val="Geenafstand"/>
        <w:spacing w:line="360" w:lineRule="auto"/>
        <w:rPr>
          <w:b/>
        </w:rPr>
      </w:pPr>
      <w:r w:rsidRPr="00E52FF6">
        <w:t>Hof</w:t>
      </w:r>
      <w:r w:rsidR="00A32DB8" w:rsidRPr="00E52FF6">
        <w:rPr>
          <w:color w:val="333333"/>
        </w:rPr>
        <w:t xml:space="preserve"> </w:t>
      </w:r>
      <w:r w:rsidR="00A32DB8" w:rsidRPr="00E52FF6">
        <w:t>‘</w:t>
      </w:r>
      <w:r w:rsidRPr="00E52FF6">
        <w:t>s-Hertogenbosch, 8 september 2016</w:t>
      </w:r>
      <w:r w:rsidR="004B047B">
        <w:t>,</w:t>
      </w:r>
      <w:r w:rsidRPr="00E52FF6">
        <w:t xml:space="preserve"> ECLI:NL:GHSHE:2016:4047</w:t>
      </w:r>
    </w:p>
    <w:p w:rsidR="003B3A17" w:rsidRDefault="00BD5B24" w:rsidP="00E52FF6">
      <w:pPr>
        <w:pStyle w:val="Geenafstand"/>
        <w:spacing w:line="360" w:lineRule="auto"/>
      </w:pPr>
      <w:r w:rsidRPr="00E52FF6">
        <w:t>Hof ’s-Hertogenbosch 4 februari 2016, ECLI:NL:RBGHSHE:2016:320</w:t>
      </w:r>
    </w:p>
    <w:p w:rsidR="00D80A89" w:rsidRPr="00E52FF6" w:rsidRDefault="00D80A89" w:rsidP="00E52FF6">
      <w:pPr>
        <w:pStyle w:val="Geenafstand"/>
        <w:spacing w:line="360" w:lineRule="auto"/>
      </w:pPr>
      <w:r w:rsidRPr="00E52FF6">
        <w:t xml:space="preserve">Hof </w:t>
      </w:r>
      <w:r>
        <w:t>’</w:t>
      </w:r>
      <w:r w:rsidRPr="00E52FF6">
        <w:t>s-Hertogenbosch</w:t>
      </w:r>
      <w:r>
        <w:t xml:space="preserve"> 23 juni 2016, </w:t>
      </w:r>
      <w:r w:rsidRPr="00D80A89">
        <w:t>ECLI:NL:GHSHE:2016:2512</w:t>
      </w:r>
    </w:p>
    <w:p w:rsidR="00F2190D" w:rsidRDefault="00F2190D" w:rsidP="00F2190D">
      <w:pPr>
        <w:pStyle w:val="Lijstalinea"/>
        <w:rPr>
          <w:b/>
        </w:rPr>
      </w:pPr>
    </w:p>
    <w:p w:rsidR="00E44462" w:rsidRPr="008F5124" w:rsidRDefault="00E44462" w:rsidP="00AC5571">
      <w:pPr>
        <w:rPr>
          <w:b/>
        </w:rPr>
      </w:pPr>
    </w:p>
    <w:sectPr w:rsidR="00E44462" w:rsidRPr="008F5124" w:rsidSect="00064D5C">
      <w:footerReference w:type="default" r:id="rId9"/>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88" w:rsidRDefault="00F66488" w:rsidP="00564E43">
      <w:pPr>
        <w:spacing w:after="0" w:line="240" w:lineRule="auto"/>
      </w:pPr>
      <w:r>
        <w:separator/>
      </w:r>
    </w:p>
  </w:endnote>
  <w:endnote w:type="continuationSeparator" w:id="0">
    <w:p w:rsidR="00F66488" w:rsidRDefault="00F66488" w:rsidP="0056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58377"/>
      <w:docPartObj>
        <w:docPartGallery w:val="Page Numbers (Bottom of Page)"/>
        <w:docPartUnique/>
      </w:docPartObj>
    </w:sdtPr>
    <w:sdtEndPr>
      <w:rPr>
        <w:color w:val="808080" w:themeColor="background1" w:themeShade="80"/>
        <w:spacing w:val="60"/>
      </w:rPr>
    </w:sdtEndPr>
    <w:sdtContent>
      <w:p w:rsidR="00F66488" w:rsidRDefault="00F66488">
        <w:pPr>
          <w:pStyle w:val="Voettekst"/>
          <w:pBdr>
            <w:top w:val="single" w:sz="4" w:space="1" w:color="D9D9D9" w:themeColor="background1" w:themeShade="D9"/>
          </w:pBdr>
          <w:rPr>
            <w:b/>
            <w:bCs/>
          </w:rPr>
        </w:pPr>
        <w:r>
          <w:fldChar w:fldCharType="begin"/>
        </w:r>
        <w:r>
          <w:instrText xml:space="preserve"> PAGE   \* MERGEFORMAT </w:instrText>
        </w:r>
        <w:r>
          <w:fldChar w:fldCharType="separate"/>
        </w:r>
        <w:r w:rsidR="00AE3810" w:rsidRPr="00AE3810">
          <w:rPr>
            <w:b/>
            <w:bCs/>
            <w:noProof/>
          </w:rPr>
          <w:t>21</w:t>
        </w:r>
        <w:r>
          <w:rPr>
            <w:b/>
            <w:bCs/>
            <w:noProof/>
          </w:rPr>
          <w:fldChar w:fldCharType="end"/>
        </w:r>
        <w:r>
          <w:rPr>
            <w:b/>
            <w:bCs/>
          </w:rPr>
          <w:t xml:space="preserve"> | </w:t>
        </w:r>
        <w:r>
          <w:rPr>
            <w:color w:val="808080" w:themeColor="background1" w:themeShade="80"/>
            <w:spacing w:val="60"/>
          </w:rPr>
          <w:t>Page</w:t>
        </w:r>
      </w:p>
    </w:sdtContent>
  </w:sdt>
  <w:p w:rsidR="00F66488" w:rsidRDefault="00F664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88" w:rsidRDefault="00F66488" w:rsidP="00564E43">
      <w:pPr>
        <w:spacing w:after="0" w:line="240" w:lineRule="auto"/>
      </w:pPr>
      <w:r>
        <w:separator/>
      </w:r>
    </w:p>
  </w:footnote>
  <w:footnote w:type="continuationSeparator" w:id="0">
    <w:p w:rsidR="00F66488" w:rsidRDefault="00F66488" w:rsidP="00564E43">
      <w:pPr>
        <w:spacing w:after="0" w:line="240" w:lineRule="auto"/>
      </w:pPr>
      <w:r>
        <w:continuationSeparator/>
      </w:r>
    </w:p>
  </w:footnote>
  <w:footnote w:id="1">
    <w:p w:rsidR="00F66488" w:rsidRPr="007901C4" w:rsidRDefault="00F66488">
      <w:pPr>
        <w:pStyle w:val="Voetnoottekst"/>
        <w:rPr>
          <w:sz w:val="18"/>
          <w:szCs w:val="18"/>
        </w:rPr>
      </w:pPr>
      <w:r>
        <w:rPr>
          <w:rStyle w:val="Voetnootmarkering"/>
        </w:rPr>
        <w:footnoteRef/>
      </w:r>
      <w:r>
        <w:t xml:space="preserve"> </w:t>
      </w:r>
      <w:r w:rsidRPr="007901C4">
        <w:rPr>
          <w:sz w:val="18"/>
          <w:szCs w:val="18"/>
        </w:rPr>
        <w:t>Kamerstukken II 2013/14, 33 818, nr. 3, p. 5</w:t>
      </w:r>
    </w:p>
  </w:footnote>
  <w:footnote w:id="2">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Mr. R.M. Beltzer, (2015), ‘Handboek Wet Werk en Zekerheid’, p 122</w:t>
      </w:r>
    </w:p>
  </w:footnote>
  <w:footnote w:id="3">
    <w:p w:rsidR="00F66488" w:rsidRPr="007901C4" w:rsidRDefault="00F66488">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7901C4">
        <w:rPr>
          <w:rFonts w:hint="eastAsia"/>
          <w:sz w:val="18"/>
          <w:szCs w:val="18"/>
          <w:lang w:eastAsia="ja-JP"/>
        </w:rPr>
        <w:t xml:space="preserve">Mr. W.H.A.C.M. Bouwens (2015), </w:t>
      </w:r>
      <w:r w:rsidRPr="007901C4">
        <w:rPr>
          <w:sz w:val="18"/>
          <w:szCs w:val="18"/>
          <w:lang w:eastAsia="ja-JP"/>
        </w:rPr>
        <w:t>‘Schets</w:t>
      </w:r>
      <w:r w:rsidRPr="007901C4">
        <w:rPr>
          <w:rFonts w:hint="eastAsia"/>
          <w:sz w:val="18"/>
          <w:szCs w:val="18"/>
          <w:lang w:eastAsia="ja-JP"/>
        </w:rPr>
        <w:t xml:space="preserve"> van het Nederlandse arbeidsrecht</w:t>
      </w:r>
      <w:r w:rsidRPr="007901C4">
        <w:rPr>
          <w:sz w:val="18"/>
          <w:szCs w:val="18"/>
          <w:lang w:eastAsia="ja-JP"/>
        </w:rPr>
        <w:t>’</w:t>
      </w:r>
      <w:r w:rsidRPr="007901C4">
        <w:rPr>
          <w:rFonts w:hint="eastAsia"/>
          <w:sz w:val="18"/>
          <w:szCs w:val="18"/>
          <w:lang w:eastAsia="ja-JP"/>
        </w:rPr>
        <w:t>, p 182</w:t>
      </w:r>
    </w:p>
  </w:footnote>
  <w:footnote w:id="4">
    <w:p w:rsidR="00F66488" w:rsidRPr="007901C4" w:rsidRDefault="00F66488">
      <w:pPr>
        <w:pStyle w:val="Voetnoottekst"/>
        <w:rPr>
          <w:sz w:val="18"/>
          <w:szCs w:val="18"/>
          <w:lang w:eastAsia="ja-JP"/>
        </w:rPr>
      </w:pPr>
      <w:r w:rsidRPr="007901C4">
        <w:rPr>
          <w:rStyle w:val="Voetnootmarkering"/>
          <w:sz w:val="18"/>
          <w:szCs w:val="18"/>
        </w:rPr>
        <w:footnoteRef/>
      </w:r>
      <w:r w:rsidRPr="007901C4">
        <w:rPr>
          <w:sz w:val="18"/>
          <w:szCs w:val="18"/>
        </w:rPr>
        <w:t xml:space="preserve"> Mr. D.M. van Genderen, (2015) ‘Arbeidsrecht in de praktijk’ p </w:t>
      </w:r>
      <w:r w:rsidRPr="007901C4">
        <w:rPr>
          <w:rFonts w:hint="eastAsia"/>
          <w:sz w:val="18"/>
          <w:szCs w:val="18"/>
          <w:lang w:eastAsia="ja-JP"/>
        </w:rPr>
        <w:t>252</w:t>
      </w:r>
    </w:p>
  </w:footnote>
  <w:footnote w:id="5">
    <w:p w:rsidR="00F66488" w:rsidRPr="007901C4" w:rsidRDefault="00F66488" w:rsidP="00170836">
      <w:pPr>
        <w:pStyle w:val="Voetnoottekst"/>
        <w:rPr>
          <w:sz w:val="18"/>
          <w:szCs w:val="18"/>
        </w:rPr>
      </w:pPr>
      <w:r w:rsidRPr="007901C4">
        <w:rPr>
          <w:rStyle w:val="Voetnootmarkering"/>
          <w:sz w:val="18"/>
          <w:szCs w:val="18"/>
        </w:rPr>
        <w:footnoteRef/>
      </w:r>
      <w:r w:rsidRPr="007901C4">
        <w:rPr>
          <w:sz w:val="18"/>
          <w:szCs w:val="18"/>
        </w:rPr>
        <w:t xml:space="preserve"> </w:t>
      </w:r>
      <w:r w:rsidRPr="004609D3">
        <w:rPr>
          <w:rStyle w:val="Nadruk1"/>
          <w:color w:val="000000"/>
          <w:sz w:val="18"/>
          <w:szCs w:val="18"/>
          <w:shd w:val="clear" w:color="auto" w:fill="FFFFFF"/>
        </w:rPr>
        <w:t xml:space="preserve">Rb. Overijssel (ktr.) 13 september 2016, </w:t>
      </w:r>
      <w:r w:rsidRPr="00B27870">
        <w:rPr>
          <w:rStyle w:val="Nadruk1"/>
          <w:color w:val="000000"/>
          <w:sz w:val="18"/>
          <w:szCs w:val="18"/>
          <w:shd w:val="clear" w:color="auto" w:fill="FFFFFF"/>
        </w:rPr>
        <w:t xml:space="preserve">ECLI:NL:RBOVE:2016:3438 </w:t>
      </w:r>
    </w:p>
  </w:footnote>
  <w:footnote w:id="6">
    <w:p w:rsidR="00F66488" w:rsidRPr="007901C4" w:rsidRDefault="00F66488" w:rsidP="00310225">
      <w:pPr>
        <w:pStyle w:val="Voetnoottekst"/>
        <w:rPr>
          <w:sz w:val="18"/>
          <w:szCs w:val="18"/>
        </w:rPr>
      </w:pPr>
      <w:r w:rsidRPr="007901C4">
        <w:rPr>
          <w:rStyle w:val="Voetnootmarkering"/>
          <w:sz w:val="18"/>
          <w:szCs w:val="18"/>
        </w:rPr>
        <w:footnoteRef/>
      </w:r>
      <w:r w:rsidRPr="007901C4">
        <w:rPr>
          <w:sz w:val="18"/>
          <w:szCs w:val="18"/>
        </w:rPr>
        <w:t xml:space="preserve"> Mr. L. van den Eijnden, (2015) ‘Naar een nieuw arbeidsrecht’, p. 46-48</w:t>
      </w:r>
    </w:p>
  </w:footnote>
  <w:footnote w:id="7">
    <w:p w:rsidR="00F66488" w:rsidRPr="007901C4" w:rsidRDefault="00F66488">
      <w:pPr>
        <w:pStyle w:val="Voetnoottekst"/>
        <w:rPr>
          <w:sz w:val="18"/>
          <w:szCs w:val="18"/>
          <w:lang w:eastAsia="ja-JP"/>
        </w:rPr>
      </w:pPr>
      <w:r w:rsidRPr="007901C4">
        <w:rPr>
          <w:rStyle w:val="Voetnootmarkering"/>
          <w:sz w:val="18"/>
          <w:szCs w:val="18"/>
        </w:rPr>
        <w:footnoteRef/>
      </w:r>
      <w:r w:rsidRPr="007901C4">
        <w:rPr>
          <w:sz w:val="18"/>
          <w:szCs w:val="18"/>
        </w:rPr>
        <w:t xml:space="preserve"> Mr. D.M. van Genderen, (2015) ‘Arbeidsrecht in de praktijk’ p </w:t>
      </w:r>
      <w:r w:rsidRPr="007901C4">
        <w:rPr>
          <w:rFonts w:hint="eastAsia"/>
          <w:sz w:val="18"/>
          <w:szCs w:val="18"/>
          <w:lang w:eastAsia="ja-JP"/>
        </w:rPr>
        <w:t>252</w:t>
      </w:r>
    </w:p>
  </w:footnote>
  <w:footnote w:id="8">
    <w:p w:rsidR="00F66488" w:rsidRPr="007901C4" w:rsidRDefault="00F66488" w:rsidP="00C866C2">
      <w:pPr>
        <w:pStyle w:val="Voetnoottekst"/>
        <w:rPr>
          <w:i/>
          <w:sz w:val="18"/>
          <w:szCs w:val="18"/>
        </w:rPr>
      </w:pPr>
      <w:r w:rsidRPr="007901C4">
        <w:rPr>
          <w:rStyle w:val="Voetnootmarkering"/>
          <w:sz w:val="18"/>
          <w:szCs w:val="18"/>
        </w:rPr>
        <w:footnoteRef/>
      </w:r>
      <w:r w:rsidRPr="007901C4">
        <w:rPr>
          <w:sz w:val="18"/>
          <w:szCs w:val="18"/>
        </w:rPr>
        <w:t xml:space="preserve"> Sagel, </w:t>
      </w:r>
      <w:r w:rsidRPr="007901C4">
        <w:rPr>
          <w:i/>
          <w:sz w:val="18"/>
          <w:szCs w:val="18"/>
        </w:rPr>
        <w:t xml:space="preserve">Tijdschrift Recht en Arbeid </w:t>
      </w:r>
      <w:r w:rsidRPr="007901C4">
        <w:rPr>
          <w:sz w:val="18"/>
          <w:szCs w:val="18"/>
        </w:rPr>
        <w:t>2014</w:t>
      </w:r>
      <w:r w:rsidRPr="007901C4">
        <w:rPr>
          <w:i/>
          <w:sz w:val="18"/>
          <w:szCs w:val="18"/>
        </w:rPr>
        <w:t xml:space="preserve">, </w:t>
      </w:r>
      <w:r w:rsidRPr="007901C4">
        <w:rPr>
          <w:sz w:val="18"/>
          <w:szCs w:val="18"/>
        </w:rPr>
        <w:t>afl 12, p. 1</w:t>
      </w:r>
    </w:p>
  </w:footnote>
  <w:footnote w:id="9">
    <w:p w:rsidR="00F66488" w:rsidRPr="007901C4" w:rsidRDefault="00F66488" w:rsidP="002B2EF8">
      <w:pPr>
        <w:pStyle w:val="Voetnoottekst"/>
        <w:rPr>
          <w:sz w:val="18"/>
          <w:szCs w:val="18"/>
        </w:rPr>
      </w:pPr>
      <w:r>
        <w:rPr>
          <w:rStyle w:val="Voetnootmarkering"/>
        </w:rPr>
        <w:footnoteRef/>
      </w:r>
      <w:r>
        <w:t xml:space="preserve"> </w:t>
      </w:r>
      <w:r w:rsidRPr="007901C4">
        <w:rPr>
          <w:sz w:val="18"/>
          <w:szCs w:val="18"/>
        </w:rPr>
        <w:t xml:space="preserve">Frikke, </w:t>
      </w:r>
      <w:r w:rsidRPr="007901C4">
        <w:rPr>
          <w:i/>
          <w:sz w:val="18"/>
          <w:szCs w:val="18"/>
        </w:rPr>
        <w:t xml:space="preserve">Tijdschrift Recht en Arbeid </w:t>
      </w:r>
      <w:r w:rsidRPr="007901C4">
        <w:rPr>
          <w:sz w:val="18"/>
          <w:szCs w:val="18"/>
        </w:rPr>
        <w:t>2016, afl. 6/7, p. 26</w:t>
      </w:r>
    </w:p>
  </w:footnote>
  <w:footnote w:id="10">
    <w:p w:rsidR="00F66488" w:rsidRPr="007901C4" w:rsidRDefault="00F66488" w:rsidP="00564E43">
      <w:pPr>
        <w:pStyle w:val="Voetnoottekst"/>
        <w:rPr>
          <w:sz w:val="18"/>
          <w:szCs w:val="18"/>
        </w:rPr>
      </w:pPr>
      <w:r w:rsidRPr="007901C4">
        <w:rPr>
          <w:rStyle w:val="Voetnootmarkering"/>
          <w:sz w:val="18"/>
          <w:szCs w:val="18"/>
        </w:rPr>
        <w:footnoteRef/>
      </w:r>
      <w:r w:rsidRPr="007901C4">
        <w:rPr>
          <w:sz w:val="18"/>
          <w:szCs w:val="18"/>
        </w:rPr>
        <w:t xml:space="preserve"> Kamerstukken II 2013/14, 33 818, nr. 3, p. 32-34 en nr. 4, p. 34</w:t>
      </w:r>
    </w:p>
  </w:footnote>
  <w:footnote w:id="11">
    <w:p w:rsidR="00F66488" w:rsidRDefault="00F66488" w:rsidP="008E7FD2">
      <w:pPr>
        <w:pStyle w:val="Voetnoottekst"/>
        <w:rPr>
          <w:lang w:eastAsia="ja-JP"/>
        </w:rPr>
      </w:pPr>
      <w:r>
        <w:rPr>
          <w:rStyle w:val="Voetnootmarkering"/>
        </w:rPr>
        <w:footnoteRef/>
      </w:r>
      <w:r>
        <w:t xml:space="preserve"> </w:t>
      </w:r>
      <w:r w:rsidRPr="007901C4">
        <w:rPr>
          <w:rFonts w:hint="eastAsia"/>
          <w:sz w:val="18"/>
          <w:szCs w:val="18"/>
          <w:lang w:eastAsia="ja-JP"/>
        </w:rPr>
        <w:t>Sagel 2016, p. 1-3</w:t>
      </w:r>
    </w:p>
  </w:footnote>
  <w:footnote w:id="12">
    <w:p w:rsidR="00F66488" w:rsidRPr="007901C4" w:rsidRDefault="00F66488" w:rsidP="00F11F4C">
      <w:pPr>
        <w:pStyle w:val="Geenafstand"/>
        <w:rPr>
          <w:sz w:val="18"/>
          <w:szCs w:val="18"/>
        </w:rPr>
      </w:pPr>
      <w:r>
        <w:rPr>
          <w:rStyle w:val="Voetnootmarkering"/>
        </w:rPr>
        <w:footnoteRef/>
      </w:r>
      <w:r>
        <w:t xml:space="preserve"> </w:t>
      </w:r>
      <w:r w:rsidRPr="004609D3">
        <w:rPr>
          <w:sz w:val="18"/>
          <w:szCs w:val="18"/>
        </w:rPr>
        <w:t>Rb Utrecht (ktr.) 18 februari 2016, ECLI:NL:RBMNE:2016:854, Rb Amsterdam (ktr.) 6 oktober 2015, ECLI:NL:RBAMS:2015:7278, Rb Alkmaar (ktr.) 18 december 2015, ECLI:NL:RBNHO:2015:11461, Rb. Amsterdam (k</w:t>
      </w:r>
      <w:r w:rsidRPr="00B27870">
        <w:rPr>
          <w:sz w:val="18"/>
          <w:szCs w:val="18"/>
        </w:rPr>
        <w:t>tr</w:t>
      </w:r>
      <w:r w:rsidRPr="007901C4">
        <w:rPr>
          <w:sz w:val="18"/>
          <w:szCs w:val="18"/>
        </w:rPr>
        <w:t>.) 7 december 2015, ECLI:NL:RBAMS:2015:8752, Rb. Alkmaar (ktr.) 4 november 2015, ECLI:NL:RBNHO:2015:9668, Rb. Rotterdam (ktr.) 11 december 2015, ECLI:NL:RBROT:2015:9963, Rb Den Haag (ktr.) 17 maart 2016, ECLI:NL:RBDHA:2016:3404, Rb Utrecht (ktr.) 18 februari 2016, ECLI:NL:RBMNE:2016:854, Rb. Amsterdam (ktr.) 7 december 2015, ECLI:NL:RBAMS:2015:8752, Rb. Leeuwarden (ktr.) 25 november 2015, ECLI:NL:RBNNE:2015:5423</w:t>
      </w:r>
    </w:p>
  </w:footnote>
  <w:footnote w:id="13">
    <w:p w:rsidR="00F66488" w:rsidRPr="007901C4" w:rsidRDefault="00F66488" w:rsidP="00055B23">
      <w:pPr>
        <w:pStyle w:val="Voetnoottekst"/>
        <w:rPr>
          <w:rFonts w:cstheme="minorHAnsi"/>
          <w:sz w:val="18"/>
          <w:szCs w:val="18"/>
        </w:rPr>
      </w:pPr>
      <w:r>
        <w:rPr>
          <w:rStyle w:val="Voetnootmarkering"/>
        </w:rPr>
        <w:footnoteRef/>
      </w:r>
      <w:r>
        <w:t xml:space="preserve"> </w:t>
      </w:r>
      <w:r w:rsidRPr="004609D3">
        <w:rPr>
          <w:sz w:val="18"/>
          <w:szCs w:val="18"/>
        </w:rPr>
        <w:t>Rb Alkmaar (ktr.) 18 december 2015, ECLI:NL:RBNHO:2015:11461, Rb Noord-Nederland (ktr.) 24 februari 2016, ECLI:NL:RBNNE:2016:715, Rb Amsterdam (ktr.) 6 oktober 2015, ECLI:NL:RBAMS:2015:7278, Rb Den</w:t>
      </w:r>
      <w:r w:rsidRPr="00B27870">
        <w:rPr>
          <w:sz w:val="18"/>
          <w:szCs w:val="18"/>
        </w:rPr>
        <w:t xml:space="preserve"> Haag (ktr.) 17 maart 2016, ECLI:NL:RBDHA:2016:3404, Rb Noord-Holland 28 juni 2016 (ktr.) ECLI:NL:RBNHO:2016:5447, </w:t>
      </w:r>
      <w:r w:rsidRPr="007901C4">
        <w:rPr>
          <w:rFonts w:cstheme="minorHAnsi"/>
          <w:sz w:val="18"/>
          <w:szCs w:val="18"/>
        </w:rPr>
        <w:t xml:space="preserve">Rb. Amsterdam (ktr.) </w:t>
      </w:r>
    </w:p>
    <w:p w:rsidR="00F66488" w:rsidRPr="007901C4" w:rsidRDefault="00F66488">
      <w:pPr>
        <w:pStyle w:val="Voetnoottekst"/>
        <w:rPr>
          <w:sz w:val="18"/>
          <w:szCs w:val="18"/>
        </w:rPr>
      </w:pPr>
      <w:r w:rsidRPr="007901C4">
        <w:rPr>
          <w:rFonts w:cstheme="minorHAnsi"/>
          <w:sz w:val="18"/>
          <w:szCs w:val="18"/>
        </w:rPr>
        <w:t>7 december 2015, ECLI:NL:RBAMS:2015:8752, Rb. Alkmaar (ktr.) 4 november 2015, ECLI:NL:RBNHO:2015:9668, Rb. Leeuwarden (ktr.) 25 november 2015, ECLI:NL:RBNNE:2015:5423, Rb Rotterdam (ktr.) 11 december 2015, ECLI:NL:RBROT:2015:9963</w:t>
      </w:r>
    </w:p>
  </w:footnote>
  <w:footnote w:id="14">
    <w:p w:rsidR="00F66488" w:rsidRPr="007901C4" w:rsidRDefault="00F66488" w:rsidP="00055B23">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Rb</w:t>
      </w:r>
      <w:r w:rsidRPr="00B27870">
        <w:rPr>
          <w:sz w:val="18"/>
          <w:szCs w:val="18"/>
        </w:rPr>
        <w:t xml:space="preserve"> Rotterdam (ktr.) 11 december 2015, ECLI:NL:RBROT:2015:9963, Rb Lelystad, 12 januari 2016, ECLI:NL:RBMNE:2016:986, Rb Utrecht (kt</w:t>
      </w:r>
      <w:r w:rsidRPr="007901C4">
        <w:rPr>
          <w:sz w:val="18"/>
          <w:szCs w:val="18"/>
        </w:rPr>
        <w:t>r.) 18 februari 2016, ECLI:NL:RBMNE:2016:854, Rb Amsterdam (ktr.) 12 april 2016, ECLI:NL:RBAMS:2016:2127, Rb. Leeuwarden (ktr.) 25 november 2015, ECLI:NL:RBNNE:2015:5423</w:t>
      </w:r>
      <w:r w:rsidRPr="007901C4">
        <w:rPr>
          <w:rFonts w:hint="eastAsia"/>
          <w:sz w:val="18"/>
          <w:szCs w:val="18"/>
          <w:lang w:eastAsia="ja-JP"/>
        </w:rPr>
        <w:t xml:space="preserve">, </w:t>
      </w:r>
      <w:r w:rsidRPr="007901C4">
        <w:rPr>
          <w:sz w:val="18"/>
          <w:szCs w:val="18"/>
        </w:rPr>
        <w:t>Hof Den Haag 22 maart 2016, ECLI:NL:GHDHA: 2016:715</w:t>
      </w:r>
    </w:p>
  </w:footnote>
  <w:footnote w:id="15">
    <w:p w:rsidR="00F66488" w:rsidRPr="007901C4" w:rsidRDefault="00F66488" w:rsidP="00165902">
      <w:pPr>
        <w:pStyle w:val="Voetnoottekst"/>
        <w:rPr>
          <w:sz w:val="18"/>
          <w:szCs w:val="18"/>
          <w:lang w:eastAsia="ja-JP"/>
        </w:rPr>
      </w:pPr>
      <w:r w:rsidRPr="007901C4">
        <w:rPr>
          <w:rStyle w:val="Voetnootmarkering"/>
          <w:sz w:val="18"/>
          <w:szCs w:val="18"/>
        </w:rPr>
        <w:footnoteRef/>
      </w:r>
      <w:r w:rsidRPr="007901C4">
        <w:rPr>
          <w:sz w:val="18"/>
          <w:szCs w:val="18"/>
        </w:rPr>
        <w:t xml:space="preserve"> Rb Limburg (ktr.) 1 september 2016, ECLI:NL:RBLIM:2016:7622, Rb Noord-Holland 28 juni 2016 (ktr.) ECLI:NL:RBNHO:2016:5447, Rb Zeeland-West-Brabant (ktr.) 13 juli 2016, ECLI:NL:RBZWB:2016:4337, Rb Noord-Holland (ktr.), 27 oktober 2015, ECLI:NL:RBNHO:2015:9470, Rb Haarlem (ktr.) 28 juli 2016, ECLI:NL:RBNHO:2016:6300, Rb Overijssel (ktr.) 18 maart 2016, ECLI:NL:RBOVE:2016:939,Rb Amsterdam (ktr.) 6 oktober 2015, ECLI:NL:RBAMS:2015:7278, Rb Rotterdam (ktr.) 11 november 2016, ECLI:NL:RBROT:2016:8668, Rb Limburg (ktr.) 27 januari 2016, ECLI:NL:RBLIM:2016:661, Hof ’s-Hertogenbosch, 10 november 2016, ECLI:NL:GHSHE:2016:5001</w:t>
      </w:r>
    </w:p>
  </w:footnote>
  <w:footnote w:id="16">
    <w:p w:rsidR="00F66488" w:rsidRPr="007901C4" w:rsidRDefault="00F66488" w:rsidP="007E4847">
      <w:pPr>
        <w:pStyle w:val="Voetnoottekst"/>
        <w:rPr>
          <w:sz w:val="18"/>
          <w:szCs w:val="18"/>
        </w:rPr>
      </w:pPr>
      <w:r w:rsidRPr="00055B23">
        <w:rPr>
          <w:rStyle w:val="Voetnootmarkering"/>
          <w:sz w:val="18"/>
          <w:szCs w:val="18"/>
        </w:rPr>
        <w:footnoteRef/>
      </w:r>
      <w:r w:rsidRPr="00055B23">
        <w:rPr>
          <w:sz w:val="18"/>
          <w:szCs w:val="18"/>
        </w:rPr>
        <w:t xml:space="preserve"> </w:t>
      </w:r>
      <w:r w:rsidRPr="007901C4">
        <w:rPr>
          <w:sz w:val="18"/>
          <w:szCs w:val="18"/>
        </w:rPr>
        <w:t>R</w:t>
      </w:r>
      <w:r w:rsidRPr="004609D3">
        <w:rPr>
          <w:sz w:val="18"/>
          <w:szCs w:val="18"/>
        </w:rPr>
        <w:t>b Den Haag (ktr.) 3 februari 2016, ECLI:NL:RBDHA:2016:761, Rb Noord- Hollland (ktr.), Rb Limburg (ktr.) 1 augustus 2016 ECLI:NL:RBLIM:2016:6805, Rb Limburg (ktr.) 13 juli 2016, ECLI:NL:</w:t>
      </w:r>
      <w:r w:rsidRPr="00B27870">
        <w:rPr>
          <w:sz w:val="18"/>
          <w:szCs w:val="18"/>
        </w:rPr>
        <w:t>RBLIM:2016:6211, Rb Noord-Nederland (ktr.) 1 september 2016, ECLI:NL:RBNNE:2016:2300, Rb Rotterdam (ktr.) 28 augustus 2015, ECLI:NL:RBOBR:2015:5275, Rb Limburg, (ktr.) 23 mei 2016, ECLI:NL:RBLIM:2016:4343, Rb Limburg (ktr.) 1 augustus 2016 E</w:t>
      </w:r>
      <w:r w:rsidRPr="007901C4">
        <w:rPr>
          <w:sz w:val="18"/>
          <w:szCs w:val="18"/>
        </w:rPr>
        <w:t>CLI:NL:RBLIM:2016:6805, Rb Limburg (ktr.) 20 juli 2016, ECLI:NL:RBLIM:2016:6261, Rb Den Haag (ktr.) 21 april 2016, ECLI:NL:RBDHA:2016:4333</w:t>
      </w:r>
    </w:p>
    <w:p w:rsidR="00F66488" w:rsidRPr="007901C4" w:rsidRDefault="00F66488" w:rsidP="007E4847">
      <w:pPr>
        <w:pStyle w:val="Voetnoottekst"/>
        <w:rPr>
          <w:sz w:val="18"/>
          <w:szCs w:val="18"/>
        </w:rPr>
      </w:pPr>
      <w:r w:rsidRPr="007901C4">
        <w:rPr>
          <w:sz w:val="18"/>
          <w:szCs w:val="18"/>
        </w:rPr>
        <w:t>17 mei 2016, ECLI:NL:RBNHO:2016:4052, Rb Rotterdam (ktr.) 28 augustus 2015, ECLI:NL:RBOBR:2015:5275, Rb Amsterdam (ktr.) 8 december 2015, ECLI:NL:RBAMS:2015:8949, Rb Limburg, (ktr.) 23 mei 2016, ECLI:NL:RBLIM:2016:4343, Rb Limburg (ktr.) 1 augustus 2016 ECLI:NL:RBLIM:2016:6805, Rb Limburg (ktr.) 20 juli 2016, ECLI:NL:RBLIM:2016:6261, Rb Den Haag (ktr.) 21 april 2016, ECLI:NL:RBDHA:2016:4333</w:t>
      </w:r>
    </w:p>
  </w:footnote>
  <w:footnote w:id="17">
    <w:p w:rsidR="00F66488" w:rsidRPr="00B27870" w:rsidRDefault="00F66488" w:rsidP="00055B23">
      <w:pPr>
        <w:pStyle w:val="Voetnoottekst"/>
        <w:rPr>
          <w:sz w:val="18"/>
          <w:szCs w:val="18"/>
        </w:rPr>
      </w:pPr>
      <w:r w:rsidRPr="007901C4">
        <w:rPr>
          <w:rStyle w:val="Voetnootmarkering"/>
          <w:sz w:val="18"/>
          <w:szCs w:val="18"/>
        </w:rPr>
        <w:footnoteRef/>
      </w:r>
      <w:r w:rsidRPr="007901C4">
        <w:rPr>
          <w:sz w:val="18"/>
          <w:szCs w:val="18"/>
        </w:rPr>
        <w:t xml:space="preserve"> Rb Noord-Nederland (ktr.), 24 februari 2016, ECLI:NL:RBNNE:2016:756, Rb Noord- Hollland (ktr.) mei 2016, ECLI:NL:RBNHO:2016:4052, </w:t>
      </w:r>
      <w:r w:rsidRPr="004609D3">
        <w:rPr>
          <w:sz w:val="18"/>
          <w:szCs w:val="18"/>
        </w:rPr>
        <w:t>Rb Limburg, (ktr.) 23 mei 2016, ECLI:NL:RBLIM:2016:4343</w:t>
      </w:r>
    </w:p>
    <w:p w:rsidR="00F66488" w:rsidRPr="007901C4" w:rsidRDefault="00F66488" w:rsidP="00055B23">
      <w:pPr>
        <w:pStyle w:val="Voetnoottekst"/>
        <w:rPr>
          <w:sz w:val="18"/>
          <w:szCs w:val="18"/>
        </w:rPr>
      </w:pPr>
      <w:r w:rsidRPr="007901C4">
        <w:rPr>
          <w:sz w:val="18"/>
          <w:szCs w:val="18"/>
        </w:rPr>
        <w:t>Rb Rotterdam (ktr.) 28 augustus 2015, ECLI:NL:RBOBR:2015:5275</w:t>
      </w:r>
    </w:p>
    <w:p w:rsidR="00F66488" w:rsidRPr="007901C4" w:rsidRDefault="00F66488" w:rsidP="00055B23">
      <w:pPr>
        <w:pStyle w:val="Voetnoottekst"/>
        <w:rPr>
          <w:sz w:val="18"/>
          <w:szCs w:val="18"/>
        </w:rPr>
      </w:pPr>
      <w:r w:rsidRPr="007901C4">
        <w:rPr>
          <w:sz w:val="18"/>
          <w:szCs w:val="18"/>
        </w:rPr>
        <w:t>R</w:t>
      </w:r>
      <w:r w:rsidRPr="004609D3">
        <w:rPr>
          <w:sz w:val="18"/>
          <w:szCs w:val="18"/>
        </w:rPr>
        <w:t>b Den Haag (ktr.) 3 februari 2016, ECLI:NL:RBDHA:2016:761</w:t>
      </w:r>
    </w:p>
    <w:p w:rsidR="00F66488" w:rsidRPr="007901C4" w:rsidRDefault="00F66488">
      <w:pPr>
        <w:pStyle w:val="Voetnoottekst"/>
        <w:rPr>
          <w:sz w:val="18"/>
          <w:szCs w:val="18"/>
        </w:rPr>
      </w:pPr>
      <w:r w:rsidRPr="004609D3">
        <w:rPr>
          <w:sz w:val="18"/>
          <w:szCs w:val="18"/>
        </w:rPr>
        <w:t>Hof Arnhem-Leeuwarden 19 augustus 2016 ECLI:NL:GHARL:2016:6792</w:t>
      </w:r>
    </w:p>
  </w:footnote>
  <w:footnote w:id="18">
    <w:p w:rsidR="00F66488" w:rsidRPr="007901C4" w:rsidRDefault="00F66488" w:rsidP="00DC2755">
      <w:pPr>
        <w:pStyle w:val="Geenafstand"/>
        <w:rPr>
          <w:sz w:val="18"/>
          <w:szCs w:val="18"/>
        </w:rPr>
      </w:pPr>
      <w:r w:rsidRPr="004609D3">
        <w:rPr>
          <w:rStyle w:val="Voetnootmarkering"/>
          <w:sz w:val="18"/>
          <w:szCs w:val="18"/>
        </w:rPr>
        <w:footnoteRef/>
      </w:r>
      <w:r w:rsidRPr="00B27870">
        <w:rPr>
          <w:sz w:val="18"/>
          <w:szCs w:val="18"/>
        </w:rPr>
        <w:t xml:space="preserve"> Rb Limburg (ktr.) 20 juli 2016, ECLI:NL:RBLIM:2016:6261, Rb Rotterdam, (ktr.) 19 april 2016, ECLI:NL:RBROT:2016:285</w:t>
      </w:r>
      <w:r w:rsidRPr="007901C4">
        <w:rPr>
          <w:sz w:val="18"/>
          <w:szCs w:val="18"/>
          <w:lang w:eastAsia="ja-JP"/>
        </w:rPr>
        <w:t xml:space="preserve">7, </w:t>
      </w:r>
      <w:r w:rsidRPr="007901C4">
        <w:rPr>
          <w:sz w:val="18"/>
          <w:szCs w:val="18"/>
        </w:rPr>
        <w:t>Rb Amsterdam (ktr.) 8 december 2015, ECLI:NL:RBAMS:2015:8949, Rb Noord-Holland, 17 mei 2016, ECLI:NL:RBNHO:2016:4052</w:t>
      </w:r>
    </w:p>
  </w:footnote>
  <w:footnote w:id="19">
    <w:p w:rsidR="00F66488" w:rsidRPr="007901C4" w:rsidRDefault="00F66488" w:rsidP="00DC2755">
      <w:pPr>
        <w:pStyle w:val="Voetnoottekst"/>
        <w:rPr>
          <w:sz w:val="18"/>
          <w:szCs w:val="18"/>
        </w:rPr>
      </w:pPr>
      <w:r w:rsidRPr="007901C4">
        <w:rPr>
          <w:rStyle w:val="Voetnootmarkering"/>
          <w:sz w:val="18"/>
          <w:szCs w:val="18"/>
        </w:rPr>
        <w:footnoteRef/>
      </w:r>
      <w:r w:rsidRPr="007901C4">
        <w:rPr>
          <w:sz w:val="18"/>
          <w:szCs w:val="18"/>
        </w:rPr>
        <w:t xml:space="preserve"> Rb. Enschede (ktr.) 20 augustus 2015, ECLI:NL:RBOVE:2015:3899, Hof </w:t>
      </w:r>
      <w:r w:rsidRPr="007901C4">
        <w:rPr>
          <w:bCs/>
          <w:color w:val="000000"/>
          <w:sz w:val="18"/>
          <w:szCs w:val="18"/>
          <w:shd w:val="clear" w:color="auto" w:fill="FFFFFF"/>
        </w:rPr>
        <w:t xml:space="preserve">’s-Hertogenbosch 21 april 2016, </w:t>
      </w:r>
      <w:r w:rsidRPr="007901C4">
        <w:rPr>
          <w:sz w:val="18"/>
          <w:szCs w:val="18"/>
        </w:rPr>
        <w:t xml:space="preserve">ECLI:NL:GHSHE:2016:1538 </w:t>
      </w:r>
    </w:p>
  </w:footnote>
  <w:footnote w:id="20">
    <w:p w:rsidR="00F66488" w:rsidRPr="00825227" w:rsidRDefault="00F66488">
      <w:pPr>
        <w:pStyle w:val="Voetnoottekst"/>
        <w:rPr>
          <w:sz w:val="18"/>
          <w:szCs w:val="18"/>
        </w:rPr>
      </w:pPr>
      <w:r>
        <w:rPr>
          <w:rStyle w:val="Voetnootmarkering"/>
        </w:rPr>
        <w:footnoteRef/>
      </w:r>
      <w:r>
        <w:t xml:space="preserve"> </w:t>
      </w:r>
      <w:r w:rsidRPr="00825227">
        <w:rPr>
          <w:sz w:val="18"/>
          <w:szCs w:val="18"/>
        </w:rPr>
        <w:t>Mr. R.M. Beltzer, (2015), ‘Handboek Wet Werk en Zekerheid’, p 122</w:t>
      </w:r>
    </w:p>
  </w:footnote>
  <w:footnote w:id="21">
    <w:p w:rsidR="00F66488" w:rsidRPr="00825227" w:rsidRDefault="00F66488" w:rsidP="0006357F">
      <w:pPr>
        <w:pStyle w:val="Voetnoottekst"/>
        <w:rPr>
          <w:sz w:val="18"/>
          <w:szCs w:val="18"/>
          <w:lang w:eastAsia="ja-JP"/>
        </w:rPr>
      </w:pPr>
      <w:r w:rsidRPr="00825227">
        <w:rPr>
          <w:rStyle w:val="Voetnootmarkering"/>
          <w:sz w:val="18"/>
          <w:szCs w:val="18"/>
        </w:rPr>
        <w:footnoteRef/>
      </w:r>
      <w:r w:rsidRPr="00825227">
        <w:rPr>
          <w:sz w:val="18"/>
          <w:szCs w:val="18"/>
        </w:rPr>
        <w:t xml:space="preserve"> Rb Limburg (ktr.) 27 januari 2016, ECLI:NL:RBLIM:2016:661, Rb Amsterdam (ktr.) 17 mei 2016, ECLI:NL:RBAMS:2016:3068, </w:t>
      </w:r>
      <w:r w:rsidRPr="00825227">
        <w:rPr>
          <w:rFonts w:hint="eastAsia"/>
          <w:sz w:val="18"/>
          <w:szCs w:val="18"/>
          <w:lang w:eastAsia="ja-JP"/>
        </w:rPr>
        <w:t xml:space="preserve">Rb Limburg (ktr.)1 september 2016, </w:t>
      </w:r>
      <w:r w:rsidRPr="00825227">
        <w:rPr>
          <w:sz w:val="18"/>
          <w:szCs w:val="18"/>
          <w:lang w:eastAsia="ja-JP"/>
        </w:rPr>
        <w:t>ECLI:NL:RBLIM:2016:7622</w:t>
      </w:r>
      <w:r w:rsidRPr="00825227">
        <w:rPr>
          <w:sz w:val="18"/>
          <w:szCs w:val="18"/>
        </w:rPr>
        <w:t>, Hof ’s-Hertogenbosch 23 juni 2016, ECLI:NL:GHSHE:2016:2514, Rb Noord-Nederland 14 juli 2016, ECLI:NL:RBNNE:2016:3628, Rb Noord-Holland 28 juni 2016 (ktr.) ECLI:NL:RBNHO:2016:5447, Rb Utrecht (ktr.), 27 mei 2016, ECLI:NL:RBMNE:2016:2980</w:t>
      </w:r>
    </w:p>
  </w:footnote>
  <w:footnote w:id="22">
    <w:p w:rsidR="00F66488" w:rsidRPr="00825227" w:rsidRDefault="00F66488" w:rsidP="002C62C7">
      <w:pPr>
        <w:pStyle w:val="Geenafstand"/>
        <w:rPr>
          <w:sz w:val="18"/>
          <w:szCs w:val="18"/>
        </w:rPr>
      </w:pPr>
      <w:r w:rsidRPr="00825227">
        <w:rPr>
          <w:rStyle w:val="Voetnootmarkering"/>
          <w:sz w:val="18"/>
          <w:szCs w:val="18"/>
        </w:rPr>
        <w:footnoteRef/>
      </w:r>
      <w:r w:rsidRPr="00825227">
        <w:rPr>
          <w:sz w:val="18"/>
          <w:szCs w:val="18"/>
        </w:rPr>
        <w:t xml:space="preserve"> Rb. Amsterdam (krt.) 7 december 2015, ECLI:NL:RBAMS:2015:8752, Rb Noord-Holland 28 juni 2016 (ktr.) ECLI:NL:RBNHO:2016:5447, Rb Amersfoort (ktr.) 15 oktober 2016 ECLI:NL:RBMNE:2015:7538, Hof Arnhem-Leeuwarden 31 maart 2016, ECLI:NL:GHARL:2016:2601, Hof ’s-Hertogenbosch 10 november 2016, ECLI:NL:GHSHE:2016:5001, Rb Rotterdam (ktr.) 11 december 2015, ECLI:NL:RBROT:2015:9963, Rb Alkmaar (ktr.) 18 december 2015, ECLI:NL:RBNHO:2015:11461, Rechtbank Overijssel (ktr.) 18 maart 2016, ECLI:NL:RBOVE:2016:939</w:t>
      </w:r>
      <w:r w:rsidRPr="00825227">
        <w:rPr>
          <w:rFonts w:hint="eastAsia"/>
          <w:sz w:val="18"/>
          <w:szCs w:val="18"/>
          <w:lang w:eastAsia="ja-JP"/>
        </w:rPr>
        <w:t>,</w:t>
      </w:r>
      <w:r w:rsidRPr="00825227">
        <w:rPr>
          <w:sz w:val="18"/>
          <w:szCs w:val="18"/>
        </w:rPr>
        <w:t xml:space="preserve"> Hof ’s-Hertogenbosch 23 juni 2016, ECLI:NL:GHSHE:2016:2514</w:t>
      </w:r>
    </w:p>
  </w:footnote>
  <w:footnote w:id="23">
    <w:p w:rsidR="00F66488" w:rsidRPr="00825227" w:rsidRDefault="00F66488" w:rsidP="002C62C7">
      <w:pPr>
        <w:pStyle w:val="Geenafstand"/>
        <w:rPr>
          <w:sz w:val="18"/>
          <w:szCs w:val="18"/>
          <w:lang w:eastAsia="ja-JP"/>
        </w:rPr>
      </w:pPr>
      <w:r w:rsidRPr="00825227">
        <w:rPr>
          <w:rStyle w:val="Voetnootmarkering"/>
          <w:sz w:val="18"/>
          <w:szCs w:val="18"/>
        </w:rPr>
        <w:footnoteRef/>
      </w:r>
      <w:r w:rsidRPr="00825227">
        <w:rPr>
          <w:sz w:val="18"/>
          <w:szCs w:val="18"/>
        </w:rPr>
        <w:t xml:space="preserve"> Rb Amsterdam (ktr.) 12 april 2016, ECLI:NL:RBAMS:2016:2127, Rb Haarlem (ktr.) 28 juli 2016, </w:t>
      </w:r>
      <w:r w:rsidRPr="00825227">
        <w:rPr>
          <w:rFonts w:hint="eastAsia"/>
          <w:sz w:val="18"/>
          <w:szCs w:val="18"/>
          <w:lang w:eastAsia="ja-JP"/>
        </w:rPr>
        <w:t xml:space="preserve">Rb Limburg (ktr.) 1 september 2016, </w:t>
      </w:r>
      <w:r w:rsidRPr="00825227">
        <w:rPr>
          <w:sz w:val="18"/>
          <w:szCs w:val="18"/>
          <w:lang w:eastAsia="ja-JP"/>
        </w:rPr>
        <w:t xml:space="preserve">ECLI:NL:RBLIM:2016:7622, </w:t>
      </w:r>
      <w:r w:rsidRPr="00825227">
        <w:rPr>
          <w:sz w:val="18"/>
          <w:szCs w:val="18"/>
        </w:rPr>
        <w:t>Rb Noord-Holland 28 juni 2016 (ktr.) ECLI:NL:RBNHO:2016:5447</w:t>
      </w:r>
    </w:p>
  </w:footnote>
  <w:footnote w:id="24">
    <w:p w:rsidR="00F66488" w:rsidRPr="007901C4" w:rsidRDefault="00F66488" w:rsidP="0006357F">
      <w:pPr>
        <w:pStyle w:val="Voetnoottekst"/>
        <w:rPr>
          <w:sz w:val="18"/>
          <w:szCs w:val="18"/>
        </w:rPr>
      </w:pPr>
      <w:r w:rsidRPr="007901C4">
        <w:rPr>
          <w:rStyle w:val="Voetnootmarkering"/>
          <w:sz w:val="18"/>
          <w:szCs w:val="18"/>
        </w:rPr>
        <w:footnoteRef/>
      </w:r>
      <w:r w:rsidRPr="007901C4">
        <w:rPr>
          <w:sz w:val="18"/>
          <w:szCs w:val="18"/>
        </w:rPr>
        <w:t xml:space="preserve"> Rb Utrecht (ktr.), 27 mei 2016, ECLI:NL:RBMNE:2016:2980, Rb Overijssel (ktr.) 13 september 2016, ECLI:NL:RBOVE:2016:3438, Rb. Alkmaar (ktr.) 4 november 2015, ECLI:NL:RBNHO:2015:9668, Rb Noord-Nederland 14 juli 2016, ECLI:NL:RBNNE:2016:3628, Rb Amsterdam (ktr.) 12 april 2016, ECLI:NL:RBAMS:2016:2127</w:t>
      </w:r>
    </w:p>
    <w:p w:rsidR="00F66488" w:rsidRPr="007901C4" w:rsidRDefault="00F66488">
      <w:pPr>
        <w:pStyle w:val="Voetnoottekst"/>
        <w:rPr>
          <w:sz w:val="18"/>
          <w:szCs w:val="18"/>
        </w:rPr>
      </w:pPr>
    </w:p>
  </w:footnote>
  <w:footnote w:id="25">
    <w:p w:rsidR="00F66488" w:rsidRPr="007901C4" w:rsidRDefault="00F66488" w:rsidP="00515E6B">
      <w:pPr>
        <w:pStyle w:val="Voetnoottekst"/>
        <w:rPr>
          <w:sz w:val="18"/>
          <w:szCs w:val="18"/>
        </w:rPr>
      </w:pPr>
      <w:r>
        <w:rPr>
          <w:rStyle w:val="Voetnootmarkering"/>
        </w:rPr>
        <w:footnoteRef/>
      </w:r>
      <w:r>
        <w:t xml:space="preserve"> </w:t>
      </w:r>
      <w:r w:rsidRPr="007901C4">
        <w:rPr>
          <w:sz w:val="18"/>
          <w:szCs w:val="18"/>
        </w:rPr>
        <w:t>Mr. R.M. Beltzer, (2015), ‘Handboek Wet Werk en Zekerheid’, p 122</w:t>
      </w:r>
    </w:p>
  </w:footnote>
  <w:footnote w:id="26">
    <w:p w:rsidR="00F66488" w:rsidRPr="004609D3"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 – Holland (ktr.) 22 januari 2016, ECLI:NL:RBNHO:2016:553</w:t>
      </w:r>
    </w:p>
  </w:footnote>
  <w:footnote w:id="27">
    <w:p w:rsidR="00F66488" w:rsidRPr="007901C4" w:rsidRDefault="00F66488" w:rsidP="004912E5">
      <w:pPr>
        <w:pStyle w:val="Voetnoottekst"/>
        <w:rPr>
          <w:sz w:val="18"/>
          <w:szCs w:val="18"/>
        </w:rPr>
      </w:pPr>
      <w:r w:rsidRPr="007901C4">
        <w:rPr>
          <w:rStyle w:val="Voetnootmarkering"/>
          <w:sz w:val="18"/>
          <w:szCs w:val="18"/>
        </w:rPr>
        <w:footnoteRef/>
      </w:r>
      <w:r w:rsidRPr="007901C4">
        <w:rPr>
          <w:sz w:val="18"/>
          <w:szCs w:val="18"/>
        </w:rPr>
        <w:t xml:space="preserve"> Kamerstukken II 2013/14, 33 818, nr. 3, p. 39-40</w:t>
      </w:r>
    </w:p>
  </w:footnote>
  <w:footnote w:id="28">
    <w:p w:rsidR="00F66488" w:rsidRPr="007901C4" w:rsidRDefault="00F66488" w:rsidP="00515E6B">
      <w:pPr>
        <w:pStyle w:val="Voetnoottekst"/>
        <w:rPr>
          <w:sz w:val="18"/>
          <w:szCs w:val="18"/>
        </w:rPr>
      </w:pPr>
      <w:r w:rsidRPr="007901C4">
        <w:rPr>
          <w:rStyle w:val="Voetnootmarkering"/>
          <w:sz w:val="18"/>
          <w:szCs w:val="18"/>
        </w:rPr>
        <w:footnoteRef/>
      </w:r>
      <w:r w:rsidRPr="007901C4">
        <w:rPr>
          <w:sz w:val="18"/>
          <w:szCs w:val="18"/>
        </w:rPr>
        <w:t xml:space="preserve"> Kamerstukken II 2013/14, 33 818, nr. 3, p. 5</w:t>
      </w:r>
    </w:p>
  </w:footnote>
  <w:footnote w:id="29">
    <w:p w:rsidR="00F66488" w:rsidRPr="007901C4" w:rsidRDefault="00F66488" w:rsidP="00515E6B">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Loonstra 2016, p.110</w:t>
      </w:r>
    </w:p>
  </w:footnote>
  <w:footnote w:id="30">
    <w:p w:rsidR="00F66488" w:rsidRPr="004609D3" w:rsidRDefault="00F66488" w:rsidP="00515E6B">
      <w:pPr>
        <w:pStyle w:val="Geenafstand"/>
        <w:rPr>
          <w:sz w:val="18"/>
          <w:szCs w:val="18"/>
        </w:rPr>
      </w:pPr>
      <w:r w:rsidRPr="004609D3">
        <w:rPr>
          <w:rStyle w:val="Voetnootmarkering"/>
          <w:sz w:val="18"/>
          <w:szCs w:val="18"/>
        </w:rPr>
        <w:footnoteRef/>
      </w:r>
      <w:r w:rsidRPr="004609D3">
        <w:rPr>
          <w:sz w:val="18"/>
          <w:szCs w:val="18"/>
        </w:rPr>
        <w:t xml:space="preserve"> Mr. R.M. Beltzer, (2015), ‘Handboek Wet Werk en Zekerheid’, p 122</w:t>
      </w:r>
    </w:p>
  </w:footnote>
  <w:footnote w:id="31">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Rechtspraak.nl, Aanbevelingen van de kring van de kantonrechters, p. 3</w:t>
      </w:r>
    </w:p>
  </w:footnote>
  <w:footnote w:id="32">
    <w:p w:rsidR="00F66488" w:rsidRPr="004609D3" w:rsidRDefault="00F66488" w:rsidP="00177872">
      <w:pPr>
        <w:pStyle w:val="Geenafstand"/>
        <w:rPr>
          <w:sz w:val="18"/>
          <w:szCs w:val="18"/>
        </w:rPr>
      </w:pPr>
      <w:r w:rsidRPr="007901C4">
        <w:rPr>
          <w:rStyle w:val="Voetnootmarkering"/>
          <w:sz w:val="18"/>
          <w:szCs w:val="18"/>
        </w:rPr>
        <w:footnoteRef/>
      </w:r>
      <w:r w:rsidRPr="007901C4">
        <w:rPr>
          <w:sz w:val="18"/>
          <w:szCs w:val="18"/>
        </w:rPr>
        <w:t xml:space="preserve"> </w:t>
      </w:r>
      <w:r w:rsidRPr="004609D3">
        <w:rPr>
          <w:sz w:val="18"/>
          <w:szCs w:val="18"/>
        </w:rPr>
        <w:t>Mr. C.J. Loonsta (2014), ‘Hoofdstukken Sociaal Recht’,  p. 111</w:t>
      </w:r>
    </w:p>
  </w:footnote>
  <w:footnote w:id="33">
    <w:p w:rsidR="00F66488" w:rsidRPr="007901C4" w:rsidRDefault="00F66488" w:rsidP="00515E6B">
      <w:pPr>
        <w:pStyle w:val="Voetnoottekst"/>
        <w:rPr>
          <w:sz w:val="18"/>
          <w:szCs w:val="18"/>
        </w:rPr>
      </w:pPr>
      <w:r w:rsidRPr="007901C4">
        <w:rPr>
          <w:rStyle w:val="Voetnootmarkering"/>
          <w:sz w:val="18"/>
          <w:szCs w:val="18"/>
        </w:rPr>
        <w:footnoteRef/>
      </w:r>
      <w:r w:rsidRPr="007901C4">
        <w:rPr>
          <w:sz w:val="18"/>
          <w:szCs w:val="18"/>
        </w:rPr>
        <w:t xml:space="preserve"> Mr. R.M. Beltzer, (2015), ‘Handboek Wet Werk en Zekerheid’, p</w:t>
      </w:r>
      <w:r>
        <w:rPr>
          <w:sz w:val="18"/>
          <w:szCs w:val="18"/>
        </w:rPr>
        <w:t>.</w:t>
      </w:r>
      <w:r w:rsidRPr="007901C4">
        <w:rPr>
          <w:sz w:val="18"/>
          <w:szCs w:val="18"/>
        </w:rPr>
        <w:t xml:space="preserve"> 122</w:t>
      </w:r>
    </w:p>
  </w:footnote>
  <w:footnote w:id="34">
    <w:p w:rsidR="00F66488" w:rsidRPr="007901C4" w:rsidRDefault="00F66488" w:rsidP="00515E6B">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7901C4">
        <w:rPr>
          <w:rFonts w:hint="eastAsia"/>
          <w:sz w:val="18"/>
          <w:szCs w:val="18"/>
          <w:lang w:eastAsia="ja-JP"/>
        </w:rPr>
        <w:t xml:space="preserve">Mr. W.H.A.C.M. Bouwens (2015), </w:t>
      </w:r>
      <w:r w:rsidRPr="007901C4">
        <w:rPr>
          <w:sz w:val="18"/>
          <w:szCs w:val="18"/>
          <w:lang w:eastAsia="ja-JP"/>
        </w:rPr>
        <w:t>‘</w:t>
      </w:r>
      <w:r w:rsidRPr="007901C4">
        <w:rPr>
          <w:rFonts w:hint="eastAsia"/>
          <w:sz w:val="18"/>
          <w:szCs w:val="18"/>
          <w:lang w:eastAsia="ja-JP"/>
        </w:rPr>
        <w:t>Schets van het Nederlandse arbeidsrecht</w:t>
      </w:r>
      <w:r w:rsidRPr="007901C4">
        <w:rPr>
          <w:sz w:val="18"/>
          <w:szCs w:val="18"/>
          <w:lang w:eastAsia="ja-JP"/>
        </w:rPr>
        <w:t>’</w:t>
      </w:r>
      <w:r w:rsidRPr="007901C4">
        <w:rPr>
          <w:rFonts w:hint="eastAsia"/>
          <w:sz w:val="18"/>
          <w:szCs w:val="18"/>
          <w:lang w:eastAsia="ja-JP"/>
        </w:rPr>
        <w:t>, p</w:t>
      </w:r>
      <w:r>
        <w:rPr>
          <w:sz w:val="18"/>
          <w:szCs w:val="18"/>
          <w:lang w:eastAsia="ja-JP"/>
        </w:rPr>
        <w:t>.</w:t>
      </w:r>
      <w:r w:rsidRPr="007901C4">
        <w:rPr>
          <w:rFonts w:hint="eastAsia"/>
          <w:sz w:val="18"/>
          <w:szCs w:val="18"/>
          <w:lang w:eastAsia="ja-JP"/>
        </w:rPr>
        <w:t xml:space="preserve"> 182</w:t>
      </w:r>
    </w:p>
  </w:footnote>
  <w:footnote w:id="35">
    <w:p w:rsidR="00F66488" w:rsidRPr="00871E84" w:rsidRDefault="00F66488" w:rsidP="00F83386">
      <w:pPr>
        <w:pStyle w:val="Voetnoottekst"/>
        <w:rPr>
          <w:sz w:val="18"/>
          <w:szCs w:val="18"/>
        </w:rPr>
      </w:pPr>
      <w:r w:rsidRPr="00871E84">
        <w:rPr>
          <w:rStyle w:val="Voetnootmarkering"/>
          <w:sz w:val="18"/>
          <w:szCs w:val="18"/>
        </w:rPr>
        <w:footnoteRef/>
      </w:r>
      <w:r w:rsidRPr="00871E84">
        <w:rPr>
          <w:sz w:val="18"/>
          <w:szCs w:val="18"/>
        </w:rPr>
        <w:t xml:space="preserve"> </w:t>
      </w:r>
      <w:r w:rsidRPr="00871E84">
        <w:rPr>
          <w:rFonts w:hint="eastAsia"/>
          <w:sz w:val="18"/>
          <w:szCs w:val="18"/>
          <w:lang w:eastAsia="ja-JP"/>
        </w:rPr>
        <w:t>Mr. W.H.A.C.M. Bouwens (2015),</w:t>
      </w:r>
      <w:r>
        <w:rPr>
          <w:rFonts w:hint="eastAsia"/>
          <w:lang w:eastAsia="ja-JP"/>
        </w:rPr>
        <w:t xml:space="preserve"> </w:t>
      </w:r>
      <w:r w:rsidRPr="00871E84">
        <w:rPr>
          <w:sz w:val="18"/>
          <w:szCs w:val="18"/>
          <w:lang w:eastAsia="ja-JP"/>
        </w:rPr>
        <w:t>‘Schets</w:t>
      </w:r>
      <w:r w:rsidRPr="00871E84">
        <w:rPr>
          <w:rFonts w:hint="eastAsia"/>
          <w:sz w:val="18"/>
          <w:szCs w:val="18"/>
          <w:lang w:eastAsia="ja-JP"/>
        </w:rPr>
        <w:t xml:space="preserve"> van het Nederlandse arbeidsrecht</w:t>
      </w:r>
      <w:r w:rsidRPr="00871E84">
        <w:rPr>
          <w:sz w:val="18"/>
          <w:szCs w:val="18"/>
          <w:lang w:eastAsia="ja-JP"/>
        </w:rPr>
        <w:t>’</w:t>
      </w:r>
      <w:r w:rsidRPr="00871E84">
        <w:rPr>
          <w:rFonts w:hint="eastAsia"/>
          <w:sz w:val="18"/>
          <w:szCs w:val="18"/>
          <w:lang w:eastAsia="ja-JP"/>
        </w:rPr>
        <w:t>, p</w:t>
      </w:r>
      <w:r>
        <w:rPr>
          <w:sz w:val="18"/>
          <w:szCs w:val="18"/>
          <w:lang w:eastAsia="ja-JP"/>
        </w:rPr>
        <w:t>.</w:t>
      </w:r>
      <w:r w:rsidRPr="00871E84">
        <w:rPr>
          <w:rFonts w:hint="eastAsia"/>
          <w:sz w:val="18"/>
          <w:szCs w:val="18"/>
          <w:lang w:eastAsia="ja-JP"/>
        </w:rPr>
        <w:t xml:space="preserve"> 182</w:t>
      </w:r>
    </w:p>
  </w:footnote>
  <w:footnote w:id="36">
    <w:p w:rsidR="00F66488" w:rsidRPr="007901C4" w:rsidRDefault="00F66488" w:rsidP="004319CD">
      <w:pPr>
        <w:pStyle w:val="Voetnoottekst"/>
        <w:rPr>
          <w:sz w:val="18"/>
          <w:szCs w:val="18"/>
          <w:lang w:eastAsia="ja-JP"/>
        </w:rPr>
      </w:pPr>
      <w:r>
        <w:rPr>
          <w:rStyle w:val="Voetnootmarkering"/>
        </w:rPr>
        <w:footnoteRef/>
      </w:r>
      <w:r>
        <w:t xml:space="preserve"> </w:t>
      </w:r>
      <w:r w:rsidRPr="007901C4">
        <w:rPr>
          <w:sz w:val="18"/>
          <w:szCs w:val="18"/>
        </w:rPr>
        <w:t xml:space="preserve">Mr. D.M. van Genderen, (2015) ‘Arbeidsrecht in de praktijk’ p </w:t>
      </w:r>
      <w:r w:rsidRPr="007901C4">
        <w:rPr>
          <w:rFonts w:hint="eastAsia"/>
          <w:sz w:val="18"/>
          <w:szCs w:val="18"/>
          <w:lang w:eastAsia="ja-JP"/>
        </w:rPr>
        <w:t>252</w:t>
      </w:r>
    </w:p>
  </w:footnote>
  <w:footnote w:id="37">
    <w:p w:rsidR="00F66488" w:rsidRPr="007901C4" w:rsidRDefault="00F66488" w:rsidP="00515E6B">
      <w:pPr>
        <w:pStyle w:val="Voetnoottekst"/>
        <w:rPr>
          <w:sz w:val="18"/>
          <w:szCs w:val="18"/>
        </w:rPr>
      </w:pPr>
      <w:r w:rsidRPr="007901C4">
        <w:rPr>
          <w:rStyle w:val="Voetnootmarkering"/>
          <w:sz w:val="18"/>
          <w:szCs w:val="18"/>
        </w:rPr>
        <w:footnoteRef/>
      </w:r>
      <w:r w:rsidRPr="007901C4">
        <w:rPr>
          <w:sz w:val="18"/>
          <w:szCs w:val="18"/>
        </w:rPr>
        <w:t xml:space="preserve"> </w:t>
      </w:r>
      <w:r w:rsidRPr="004609D3">
        <w:rPr>
          <w:rStyle w:val="Nadruk1"/>
          <w:color w:val="000000"/>
          <w:sz w:val="18"/>
          <w:szCs w:val="18"/>
          <w:shd w:val="clear" w:color="auto" w:fill="FFFFFF"/>
        </w:rPr>
        <w:t xml:space="preserve">Rb. Overijssel (ktr.) 13 september 2016, </w:t>
      </w:r>
      <w:r w:rsidRPr="00187249">
        <w:rPr>
          <w:rStyle w:val="Nadruk1"/>
          <w:color w:val="000000"/>
          <w:sz w:val="18"/>
          <w:szCs w:val="18"/>
          <w:shd w:val="clear" w:color="auto" w:fill="FFFFFF"/>
        </w:rPr>
        <w:t xml:space="preserve">ECLI:NL:RBOVE:2016:3438 </w:t>
      </w:r>
    </w:p>
  </w:footnote>
  <w:footnote w:id="38">
    <w:p w:rsidR="00F66488" w:rsidRPr="00B27870" w:rsidRDefault="00F66488" w:rsidP="0019470B">
      <w:pPr>
        <w:pStyle w:val="Geenafstand"/>
        <w:rPr>
          <w:sz w:val="18"/>
          <w:szCs w:val="18"/>
        </w:rPr>
      </w:pPr>
      <w:r w:rsidRPr="004609D3">
        <w:rPr>
          <w:rStyle w:val="Voetnootmarkering"/>
          <w:sz w:val="18"/>
          <w:szCs w:val="18"/>
        </w:rPr>
        <w:footnoteRef/>
      </w:r>
      <w:r w:rsidRPr="00187249">
        <w:rPr>
          <w:sz w:val="18"/>
          <w:szCs w:val="18"/>
        </w:rPr>
        <w:t xml:space="preserve"> Mr. L. van den Eijnden, (2015) ‘Naar een nieuw arbeidsrecht’, p. 46-48, Mr. G.J.J. Heerma van Voss &amp; B. Barentsen, ‘</w:t>
      </w:r>
      <w:r w:rsidRPr="00187249">
        <w:rPr>
          <w:i/>
          <w:sz w:val="18"/>
          <w:szCs w:val="18"/>
        </w:rPr>
        <w:t>Inleiding Nederlands sociaal recht</w:t>
      </w:r>
      <w:r w:rsidRPr="00B27870">
        <w:rPr>
          <w:sz w:val="18"/>
          <w:szCs w:val="18"/>
        </w:rPr>
        <w:t>’</w:t>
      </w:r>
    </w:p>
  </w:footnote>
  <w:footnote w:id="39">
    <w:p w:rsidR="00F66488" w:rsidRPr="00187249" w:rsidRDefault="00F66488" w:rsidP="0019470B">
      <w:pPr>
        <w:pStyle w:val="Geenafstand"/>
        <w:rPr>
          <w:sz w:val="18"/>
          <w:szCs w:val="18"/>
        </w:rPr>
      </w:pPr>
      <w:r w:rsidRPr="007901C4">
        <w:rPr>
          <w:rStyle w:val="Voetnootmarkering"/>
          <w:sz w:val="18"/>
          <w:szCs w:val="18"/>
        </w:rPr>
        <w:footnoteRef/>
      </w:r>
      <w:r w:rsidRPr="007901C4">
        <w:rPr>
          <w:sz w:val="18"/>
          <w:szCs w:val="18"/>
        </w:rPr>
        <w:t xml:space="preserve"> </w:t>
      </w:r>
      <w:r w:rsidRPr="004609D3">
        <w:rPr>
          <w:sz w:val="18"/>
          <w:szCs w:val="18"/>
        </w:rPr>
        <w:t>Mr. G.J.J. Heerma van Voss &amp; B</w:t>
      </w:r>
      <w:r w:rsidRPr="00187249">
        <w:rPr>
          <w:sz w:val="18"/>
          <w:szCs w:val="18"/>
        </w:rPr>
        <w:t>. Barentsen, ‘</w:t>
      </w:r>
      <w:r w:rsidRPr="00187249">
        <w:rPr>
          <w:i/>
          <w:sz w:val="18"/>
          <w:szCs w:val="18"/>
        </w:rPr>
        <w:t>Inleiding Nederlands sociaal recht</w:t>
      </w:r>
      <w:r w:rsidRPr="00187249">
        <w:rPr>
          <w:sz w:val="18"/>
          <w:szCs w:val="18"/>
        </w:rPr>
        <w:t>’</w:t>
      </w:r>
    </w:p>
  </w:footnote>
  <w:footnote w:id="40">
    <w:p w:rsidR="00F66488" w:rsidRPr="007901C4" w:rsidRDefault="00F66488" w:rsidP="0019470B">
      <w:pPr>
        <w:pStyle w:val="Voetnoottekst"/>
        <w:rPr>
          <w:sz w:val="18"/>
          <w:szCs w:val="18"/>
          <w:lang w:eastAsia="ja-JP"/>
        </w:rPr>
      </w:pPr>
      <w:r w:rsidRPr="00B27870">
        <w:rPr>
          <w:rStyle w:val="Voetnootmarkering"/>
          <w:sz w:val="18"/>
          <w:szCs w:val="18"/>
        </w:rPr>
        <w:footnoteRef/>
      </w:r>
      <w:r w:rsidRPr="007901C4">
        <w:rPr>
          <w:sz w:val="18"/>
          <w:szCs w:val="18"/>
        </w:rPr>
        <w:t xml:space="preserve"> Mr. D.M. van Genderen, (2015) ‘Arbeidsrecht in de praktijk’ p </w:t>
      </w:r>
      <w:r w:rsidRPr="007901C4">
        <w:rPr>
          <w:rFonts w:hint="eastAsia"/>
          <w:sz w:val="18"/>
          <w:szCs w:val="18"/>
          <w:lang w:eastAsia="ja-JP"/>
        </w:rPr>
        <w:t>252</w:t>
      </w:r>
    </w:p>
  </w:footnote>
  <w:footnote w:id="41">
    <w:p w:rsidR="00F66488" w:rsidRPr="007901C4" w:rsidRDefault="00F66488" w:rsidP="0019470B">
      <w:pPr>
        <w:pStyle w:val="Voetnoottekst"/>
        <w:rPr>
          <w:i/>
          <w:sz w:val="18"/>
          <w:szCs w:val="18"/>
        </w:rPr>
      </w:pPr>
      <w:r w:rsidRPr="007901C4">
        <w:rPr>
          <w:rStyle w:val="Voetnootmarkering"/>
          <w:sz w:val="18"/>
          <w:szCs w:val="18"/>
        </w:rPr>
        <w:footnoteRef/>
      </w:r>
      <w:r w:rsidRPr="007901C4">
        <w:rPr>
          <w:sz w:val="18"/>
          <w:szCs w:val="18"/>
        </w:rPr>
        <w:t xml:space="preserve"> Sagel, </w:t>
      </w:r>
      <w:r w:rsidRPr="007901C4">
        <w:rPr>
          <w:i/>
          <w:sz w:val="18"/>
          <w:szCs w:val="18"/>
        </w:rPr>
        <w:t xml:space="preserve">Tijdschrift Recht en Arbeid </w:t>
      </w:r>
      <w:r w:rsidRPr="007901C4">
        <w:rPr>
          <w:sz w:val="18"/>
          <w:szCs w:val="18"/>
        </w:rPr>
        <w:t>2014</w:t>
      </w:r>
      <w:r w:rsidRPr="007901C4">
        <w:rPr>
          <w:i/>
          <w:sz w:val="18"/>
          <w:szCs w:val="18"/>
        </w:rPr>
        <w:t xml:space="preserve">, </w:t>
      </w:r>
      <w:r w:rsidRPr="007901C4">
        <w:rPr>
          <w:sz w:val="18"/>
          <w:szCs w:val="18"/>
        </w:rPr>
        <w:t>afl 12, p. 1</w:t>
      </w:r>
    </w:p>
  </w:footnote>
  <w:footnote w:id="42">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Frikke, </w:t>
      </w:r>
      <w:r w:rsidRPr="007901C4">
        <w:rPr>
          <w:i/>
          <w:sz w:val="18"/>
          <w:szCs w:val="18"/>
        </w:rPr>
        <w:t xml:space="preserve">Tijdschrift Recht en Arbeid </w:t>
      </w:r>
      <w:r w:rsidRPr="007901C4">
        <w:rPr>
          <w:sz w:val="18"/>
          <w:szCs w:val="18"/>
        </w:rPr>
        <w:t>2016/11, afl. 3</w:t>
      </w:r>
    </w:p>
  </w:footnote>
  <w:footnote w:id="43">
    <w:p w:rsidR="00F66488" w:rsidRPr="007901C4" w:rsidRDefault="00F66488" w:rsidP="00200C20">
      <w:pPr>
        <w:pStyle w:val="Voetnoottekst"/>
        <w:rPr>
          <w:sz w:val="18"/>
          <w:szCs w:val="18"/>
        </w:rPr>
      </w:pPr>
      <w:r w:rsidRPr="004609D3">
        <w:rPr>
          <w:rStyle w:val="Voetnootmarkering"/>
          <w:sz w:val="18"/>
          <w:szCs w:val="18"/>
        </w:rPr>
        <w:footnoteRef/>
      </w:r>
      <w:r w:rsidRPr="00187249">
        <w:rPr>
          <w:sz w:val="18"/>
          <w:szCs w:val="18"/>
        </w:rPr>
        <w:t xml:space="preserve"> Kamerstukken II 2013/14, 33 818, nr.4, p.</w:t>
      </w:r>
      <w:r w:rsidRPr="007901C4">
        <w:rPr>
          <w:sz w:val="18"/>
          <w:szCs w:val="18"/>
        </w:rPr>
        <w:t xml:space="preserve"> 61</w:t>
      </w:r>
    </w:p>
  </w:footnote>
  <w:footnote w:id="44">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Frikke, </w:t>
      </w:r>
      <w:r w:rsidRPr="007901C4">
        <w:rPr>
          <w:i/>
          <w:sz w:val="18"/>
          <w:szCs w:val="18"/>
        </w:rPr>
        <w:t xml:space="preserve">Tijdschrift Recht en Arbeid </w:t>
      </w:r>
      <w:r w:rsidRPr="007901C4">
        <w:rPr>
          <w:sz w:val="18"/>
          <w:szCs w:val="18"/>
        </w:rPr>
        <w:t>2016, afl. 6/7, p. 26</w:t>
      </w:r>
    </w:p>
  </w:footnote>
  <w:footnote w:id="45">
    <w:p w:rsidR="00F66488" w:rsidRPr="007901C4" w:rsidRDefault="00F66488" w:rsidP="003C60EC">
      <w:pPr>
        <w:pStyle w:val="Voetnoottekst"/>
        <w:rPr>
          <w:sz w:val="18"/>
          <w:szCs w:val="18"/>
          <w:lang w:eastAsia="ja-JP"/>
        </w:rPr>
      </w:pPr>
      <w:r>
        <w:rPr>
          <w:rStyle w:val="Voetnootmarkering"/>
        </w:rPr>
        <w:footnoteRef/>
      </w:r>
      <w:r>
        <w:t xml:space="preserve"> </w:t>
      </w:r>
      <w:r w:rsidRPr="007901C4">
        <w:rPr>
          <w:rFonts w:hint="eastAsia"/>
          <w:sz w:val="18"/>
          <w:szCs w:val="18"/>
          <w:lang w:eastAsia="ja-JP"/>
        </w:rPr>
        <w:t>Sagel 2016, p. 1-3</w:t>
      </w:r>
    </w:p>
  </w:footnote>
  <w:footnote w:id="46">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7901C4">
        <w:rPr>
          <w:bCs/>
          <w:iCs/>
          <w:sz w:val="18"/>
          <w:szCs w:val="18"/>
        </w:rPr>
        <w:t>Kamerstukken II 2013/14, 33 818, nr. 3, p 32-34</w:t>
      </w:r>
    </w:p>
  </w:footnote>
  <w:footnote w:id="47">
    <w:p w:rsidR="00F66488" w:rsidRPr="007901C4" w:rsidRDefault="00F66488" w:rsidP="00BC4D12">
      <w:pPr>
        <w:pStyle w:val="Geenafstand"/>
        <w:rPr>
          <w:sz w:val="18"/>
          <w:szCs w:val="18"/>
        </w:rPr>
      </w:pPr>
      <w:r w:rsidRPr="004609D3">
        <w:rPr>
          <w:rStyle w:val="Voetnootmarkering"/>
          <w:sz w:val="18"/>
          <w:szCs w:val="18"/>
        </w:rPr>
        <w:footnoteRef/>
      </w:r>
      <w:r w:rsidRPr="004609D3">
        <w:rPr>
          <w:sz w:val="18"/>
          <w:szCs w:val="18"/>
        </w:rPr>
        <w:t xml:space="preserve"> Mr. L. van den Eijnden, (2015) ‘Naar een nieuw arbeidsrecht’, p. 46-48, Mr. G.J.J. Heerma van Voss</w:t>
      </w:r>
      <w:r w:rsidRPr="00187249">
        <w:rPr>
          <w:sz w:val="18"/>
          <w:szCs w:val="18"/>
        </w:rPr>
        <w:t xml:space="preserve"> &amp; B. Barentsen, ‘</w:t>
      </w:r>
      <w:r w:rsidRPr="00187249">
        <w:rPr>
          <w:i/>
          <w:sz w:val="18"/>
          <w:szCs w:val="18"/>
        </w:rPr>
        <w:t>Inleiding Nederlands sociaal recht</w:t>
      </w:r>
      <w:r w:rsidRPr="00B27870">
        <w:rPr>
          <w:sz w:val="18"/>
          <w:szCs w:val="18"/>
        </w:rPr>
        <w:t>’, Van Zanten-Baris, ‘</w:t>
      </w:r>
      <w:r w:rsidRPr="007901C4">
        <w:rPr>
          <w:i/>
          <w:sz w:val="18"/>
          <w:szCs w:val="18"/>
        </w:rPr>
        <w:t xml:space="preserve">De billijke vergoeding in volle omgang’, </w:t>
      </w:r>
      <w:r w:rsidRPr="007901C4">
        <w:rPr>
          <w:sz w:val="18"/>
          <w:szCs w:val="18"/>
        </w:rPr>
        <w:t>Arbeidsrecht 2014/55</w:t>
      </w:r>
    </w:p>
  </w:footnote>
  <w:footnote w:id="48">
    <w:p w:rsidR="00F66488" w:rsidRPr="00187249" w:rsidRDefault="00F66488" w:rsidP="00BC4D12">
      <w:pPr>
        <w:pStyle w:val="Geenafstand"/>
        <w:rPr>
          <w:sz w:val="18"/>
          <w:szCs w:val="18"/>
        </w:rPr>
      </w:pPr>
      <w:r w:rsidRPr="007901C4">
        <w:rPr>
          <w:rStyle w:val="Voetnootmarkering"/>
          <w:sz w:val="18"/>
          <w:szCs w:val="18"/>
        </w:rPr>
        <w:footnoteRef/>
      </w:r>
      <w:r w:rsidRPr="007901C4">
        <w:rPr>
          <w:sz w:val="18"/>
          <w:szCs w:val="18"/>
        </w:rPr>
        <w:t xml:space="preserve"> </w:t>
      </w:r>
      <w:r w:rsidRPr="004609D3">
        <w:rPr>
          <w:sz w:val="18"/>
          <w:szCs w:val="18"/>
        </w:rPr>
        <w:t>Mr. G.J.J. Heerma van Voss &amp; B. Barentsen, ‘</w:t>
      </w:r>
      <w:r w:rsidRPr="004609D3">
        <w:rPr>
          <w:i/>
          <w:sz w:val="18"/>
          <w:szCs w:val="18"/>
        </w:rPr>
        <w:t>Inleiding Nederlands sociaal recht</w:t>
      </w:r>
      <w:r w:rsidRPr="00187249">
        <w:rPr>
          <w:sz w:val="18"/>
          <w:szCs w:val="18"/>
        </w:rPr>
        <w:t>’</w:t>
      </w:r>
    </w:p>
  </w:footnote>
  <w:footnote w:id="49">
    <w:p w:rsidR="00F66488" w:rsidRPr="00B27870" w:rsidRDefault="00F66488" w:rsidP="00BC4D12">
      <w:pPr>
        <w:pStyle w:val="Voetnoottekst"/>
        <w:rPr>
          <w:sz w:val="18"/>
          <w:szCs w:val="18"/>
          <w:lang w:eastAsia="ja-JP"/>
        </w:rPr>
      </w:pPr>
      <w:r w:rsidRPr="00D64877">
        <w:rPr>
          <w:rStyle w:val="Voetnootmarkering"/>
          <w:sz w:val="18"/>
          <w:szCs w:val="18"/>
        </w:rPr>
        <w:footnoteRef/>
      </w:r>
      <w:r w:rsidRPr="00D64877">
        <w:rPr>
          <w:sz w:val="18"/>
          <w:szCs w:val="18"/>
        </w:rPr>
        <w:t xml:space="preserve"> </w:t>
      </w:r>
      <w:r w:rsidRPr="004609D3">
        <w:rPr>
          <w:sz w:val="18"/>
          <w:szCs w:val="18"/>
        </w:rPr>
        <w:t>Mr. D.M. van Genderen, (2015) ‘Arbei</w:t>
      </w:r>
      <w:r w:rsidRPr="00187249">
        <w:rPr>
          <w:sz w:val="18"/>
          <w:szCs w:val="18"/>
        </w:rPr>
        <w:t xml:space="preserve">dsrecht in de praktijk’ p </w:t>
      </w:r>
      <w:r w:rsidRPr="00191800">
        <w:rPr>
          <w:rFonts w:hint="eastAsia"/>
          <w:sz w:val="18"/>
          <w:szCs w:val="18"/>
          <w:lang w:eastAsia="ja-JP"/>
        </w:rPr>
        <w:t>252</w:t>
      </w:r>
      <w:r w:rsidRPr="00191800">
        <w:rPr>
          <w:sz w:val="18"/>
          <w:szCs w:val="18"/>
          <w:lang w:eastAsia="ja-JP"/>
        </w:rPr>
        <w:t xml:space="preserve">, </w:t>
      </w:r>
      <w:r w:rsidRPr="00191800">
        <w:rPr>
          <w:sz w:val="18"/>
          <w:szCs w:val="18"/>
        </w:rPr>
        <w:t>Mr. R.M. Beltzer, (2015), ‘Handboek Wet Werk en Zekerheid’, p 123</w:t>
      </w:r>
    </w:p>
  </w:footnote>
  <w:footnote w:id="50">
    <w:p w:rsidR="00F66488" w:rsidRPr="00B27870" w:rsidRDefault="00F66488" w:rsidP="007827B9">
      <w:pPr>
        <w:pStyle w:val="Geenafstand"/>
        <w:rPr>
          <w:sz w:val="18"/>
          <w:szCs w:val="18"/>
        </w:rPr>
      </w:pPr>
      <w:r w:rsidRPr="007901C4">
        <w:rPr>
          <w:rStyle w:val="Voetnootmarkering"/>
          <w:sz w:val="18"/>
          <w:szCs w:val="18"/>
        </w:rPr>
        <w:footnoteRef/>
      </w:r>
      <w:r w:rsidRPr="007901C4">
        <w:rPr>
          <w:sz w:val="18"/>
          <w:szCs w:val="18"/>
        </w:rPr>
        <w:t xml:space="preserve"> </w:t>
      </w:r>
      <w:r w:rsidRPr="004609D3">
        <w:rPr>
          <w:sz w:val="18"/>
          <w:szCs w:val="18"/>
        </w:rPr>
        <w:t xml:space="preserve">Kamerstukken II 2013/14, 33 818, nr. 3, p. 32-34 en nr. 4, p. 34, Mr. D.M. van Genderen, (2015) ‘Arbeidsrecht in de praktijk’ p </w:t>
      </w:r>
      <w:r w:rsidRPr="00187249">
        <w:rPr>
          <w:rFonts w:hint="eastAsia"/>
          <w:sz w:val="18"/>
          <w:szCs w:val="18"/>
          <w:lang w:eastAsia="ja-JP"/>
        </w:rPr>
        <w:t>251</w:t>
      </w:r>
      <w:r w:rsidRPr="00191800">
        <w:rPr>
          <w:sz w:val="18"/>
          <w:szCs w:val="18"/>
          <w:lang w:eastAsia="ja-JP"/>
        </w:rPr>
        <w:t>,</w:t>
      </w:r>
      <w:r w:rsidRPr="007901C4">
        <w:rPr>
          <w:sz w:val="18"/>
          <w:szCs w:val="18"/>
          <w:lang w:eastAsia="ja-JP"/>
        </w:rPr>
        <w:t xml:space="preserve"> </w:t>
      </w:r>
      <w:r w:rsidRPr="004609D3">
        <w:rPr>
          <w:sz w:val="18"/>
          <w:szCs w:val="18"/>
        </w:rPr>
        <w:t>Van Zanten-Baris, ‘</w:t>
      </w:r>
      <w:r w:rsidRPr="00187249">
        <w:rPr>
          <w:i/>
          <w:sz w:val="18"/>
          <w:szCs w:val="18"/>
        </w:rPr>
        <w:t>De bi</w:t>
      </w:r>
      <w:r w:rsidRPr="00191800">
        <w:rPr>
          <w:i/>
          <w:sz w:val="18"/>
          <w:szCs w:val="18"/>
        </w:rPr>
        <w:t xml:space="preserve">llijke vergoeding in volle omgang’, </w:t>
      </w:r>
      <w:r w:rsidRPr="00191800">
        <w:rPr>
          <w:sz w:val="18"/>
          <w:szCs w:val="18"/>
        </w:rPr>
        <w:t>Arbeidsrecht 2014/55, Mr. R.M. Beltzer, (2015), ‘Handboe</w:t>
      </w:r>
      <w:r w:rsidRPr="00B27870">
        <w:rPr>
          <w:sz w:val="18"/>
          <w:szCs w:val="18"/>
        </w:rPr>
        <w:t>k Wet Werk en Zekerheid’, p 123</w:t>
      </w:r>
    </w:p>
  </w:footnote>
  <w:footnote w:id="51">
    <w:p w:rsidR="00F66488" w:rsidRPr="007901C4" w:rsidRDefault="00F66488" w:rsidP="00365E9E">
      <w:pPr>
        <w:pStyle w:val="Geenafstand"/>
        <w:rPr>
          <w:sz w:val="18"/>
          <w:szCs w:val="18"/>
        </w:rPr>
      </w:pPr>
      <w:r w:rsidRPr="007901C4">
        <w:rPr>
          <w:rStyle w:val="Voetnootmarkering"/>
          <w:sz w:val="18"/>
          <w:szCs w:val="18"/>
        </w:rPr>
        <w:footnoteRef/>
      </w:r>
      <w:r w:rsidRPr="007901C4">
        <w:rPr>
          <w:sz w:val="18"/>
          <w:szCs w:val="18"/>
        </w:rPr>
        <w:t xml:space="preserve"> </w:t>
      </w:r>
      <w:r w:rsidRPr="007901C4">
        <w:rPr>
          <w:rFonts w:hint="eastAsia"/>
          <w:sz w:val="18"/>
          <w:szCs w:val="18"/>
          <w:lang w:eastAsia="ja-JP"/>
        </w:rPr>
        <w:t xml:space="preserve">Mr. W.H.A.C.M. Bouwens (2015), </w:t>
      </w:r>
      <w:r w:rsidRPr="007901C4">
        <w:rPr>
          <w:sz w:val="18"/>
          <w:szCs w:val="18"/>
          <w:lang w:eastAsia="ja-JP"/>
        </w:rPr>
        <w:t>‘Schets</w:t>
      </w:r>
      <w:r w:rsidRPr="007901C4">
        <w:rPr>
          <w:rFonts w:hint="eastAsia"/>
          <w:sz w:val="18"/>
          <w:szCs w:val="18"/>
          <w:lang w:eastAsia="ja-JP"/>
        </w:rPr>
        <w:t xml:space="preserve"> van het Nederlandse arbeidsrecht</w:t>
      </w:r>
      <w:r w:rsidRPr="007901C4">
        <w:rPr>
          <w:sz w:val="18"/>
          <w:szCs w:val="18"/>
          <w:lang w:eastAsia="ja-JP"/>
        </w:rPr>
        <w:t>’</w:t>
      </w:r>
      <w:r w:rsidRPr="007901C4">
        <w:rPr>
          <w:rFonts w:hint="eastAsia"/>
          <w:sz w:val="18"/>
          <w:szCs w:val="18"/>
          <w:lang w:eastAsia="ja-JP"/>
        </w:rPr>
        <w:t>, p 184</w:t>
      </w:r>
      <w:r w:rsidRPr="007901C4">
        <w:rPr>
          <w:sz w:val="18"/>
          <w:szCs w:val="18"/>
          <w:lang w:eastAsia="ja-JP"/>
        </w:rPr>
        <w:t xml:space="preserve">, </w:t>
      </w:r>
      <w:r w:rsidRPr="007901C4">
        <w:rPr>
          <w:sz w:val="18"/>
          <w:szCs w:val="18"/>
        </w:rPr>
        <w:t>Mr. R.M. Beltzer, (2015), ‘Handboek Wet Werk en Zekerheid’, p 122</w:t>
      </w:r>
    </w:p>
  </w:footnote>
  <w:footnote w:id="52">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Mr. D.M. van Genderen, (2015) ‘Arbeidsrecht in de praktijk’ p </w:t>
      </w:r>
      <w:r w:rsidRPr="007901C4">
        <w:rPr>
          <w:rFonts w:hint="eastAsia"/>
          <w:sz w:val="18"/>
          <w:szCs w:val="18"/>
          <w:lang w:eastAsia="ja-JP"/>
        </w:rPr>
        <w:t>252</w:t>
      </w:r>
    </w:p>
  </w:footnote>
  <w:footnote w:id="53">
    <w:p w:rsidR="00F66488" w:rsidRPr="007901C4" w:rsidRDefault="00F66488" w:rsidP="001775EE">
      <w:pPr>
        <w:pStyle w:val="Voetnoottekst"/>
        <w:rPr>
          <w:i/>
          <w:sz w:val="18"/>
          <w:szCs w:val="18"/>
        </w:rPr>
      </w:pPr>
      <w:r>
        <w:rPr>
          <w:rStyle w:val="Voetnootmarkering"/>
        </w:rPr>
        <w:footnoteRef/>
      </w:r>
      <w:r>
        <w:t xml:space="preserve"> </w:t>
      </w:r>
      <w:r w:rsidRPr="007901C4">
        <w:rPr>
          <w:sz w:val="18"/>
          <w:szCs w:val="18"/>
        </w:rPr>
        <w:t xml:space="preserve">Sagel, </w:t>
      </w:r>
      <w:r w:rsidRPr="007901C4">
        <w:rPr>
          <w:i/>
          <w:sz w:val="18"/>
          <w:szCs w:val="18"/>
        </w:rPr>
        <w:t xml:space="preserve">Tijdschrift Recht en Arbeid </w:t>
      </w:r>
      <w:r w:rsidRPr="007901C4">
        <w:rPr>
          <w:sz w:val="18"/>
          <w:szCs w:val="18"/>
        </w:rPr>
        <w:t>2014</w:t>
      </w:r>
      <w:r w:rsidRPr="007901C4">
        <w:rPr>
          <w:i/>
          <w:sz w:val="18"/>
          <w:szCs w:val="18"/>
        </w:rPr>
        <w:t xml:space="preserve">, </w:t>
      </w:r>
      <w:r w:rsidRPr="007901C4">
        <w:rPr>
          <w:sz w:val="18"/>
          <w:szCs w:val="18"/>
        </w:rPr>
        <w:t>afl. 12, p. 1</w:t>
      </w:r>
    </w:p>
  </w:footnote>
  <w:footnote w:id="54">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Peters 2016, p. 2 </w:t>
      </w:r>
    </w:p>
  </w:footnote>
  <w:footnote w:id="55">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Kamers</w:t>
      </w:r>
      <w:r w:rsidRPr="00187249">
        <w:rPr>
          <w:sz w:val="18"/>
          <w:szCs w:val="18"/>
        </w:rPr>
        <w:t>tukken II 2013/14, 33 818, nr. 4</w:t>
      </w:r>
      <w:r w:rsidRPr="00191800">
        <w:rPr>
          <w:sz w:val="18"/>
          <w:szCs w:val="18"/>
        </w:rPr>
        <w:t xml:space="preserve">, p. 34, </w:t>
      </w:r>
      <w:r w:rsidRPr="00332A25">
        <w:rPr>
          <w:sz w:val="18"/>
          <w:szCs w:val="18"/>
        </w:rPr>
        <w:t>Mr. R.M. Beltzer, (2015), ‘Handboe</w:t>
      </w:r>
      <w:r w:rsidRPr="00993FCC">
        <w:rPr>
          <w:sz w:val="18"/>
          <w:szCs w:val="18"/>
        </w:rPr>
        <w:t>k Wet Werk en Zekerheid’, p 123</w:t>
      </w:r>
    </w:p>
  </w:footnote>
  <w:footnote w:id="56">
    <w:p w:rsidR="00F66488" w:rsidRPr="007901C4" w:rsidRDefault="00F66488" w:rsidP="003A446C">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Mr. R.M. Beltzer, (2015), ‘Handboek Wet Werk en Zekerheid’, p 122</w:t>
      </w:r>
      <w:r w:rsidRPr="00187249">
        <w:rPr>
          <w:sz w:val="18"/>
          <w:szCs w:val="18"/>
        </w:rPr>
        <w:t xml:space="preserve">, </w:t>
      </w:r>
      <w:r w:rsidRPr="00191800">
        <w:rPr>
          <w:sz w:val="18"/>
          <w:szCs w:val="18"/>
        </w:rPr>
        <w:t>Kamerstukken II 2013/14, 33 818, nr. 3</w:t>
      </w:r>
      <w:r w:rsidRPr="00332A25">
        <w:rPr>
          <w:sz w:val="18"/>
          <w:szCs w:val="18"/>
        </w:rPr>
        <w:t xml:space="preserve">, p. </w:t>
      </w:r>
      <w:r w:rsidRPr="00993FCC">
        <w:rPr>
          <w:sz w:val="18"/>
          <w:szCs w:val="18"/>
        </w:rPr>
        <w:t>32-33,   nr.4, p. 61</w:t>
      </w:r>
    </w:p>
  </w:footnote>
  <w:footnote w:id="57">
    <w:p w:rsidR="00F66488" w:rsidRPr="007901C4" w:rsidRDefault="00F66488" w:rsidP="00C246CB">
      <w:pPr>
        <w:pStyle w:val="Voetnoottekst"/>
        <w:rPr>
          <w:sz w:val="18"/>
          <w:szCs w:val="18"/>
        </w:rPr>
      </w:pPr>
      <w:r w:rsidRPr="007901C4">
        <w:rPr>
          <w:rStyle w:val="Voetnootmarkering"/>
          <w:sz w:val="18"/>
          <w:szCs w:val="18"/>
        </w:rPr>
        <w:footnoteRef/>
      </w:r>
      <w:r w:rsidRPr="007901C4">
        <w:rPr>
          <w:sz w:val="18"/>
          <w:szCs w:val="18"/>
        </w:rPr>
        <w:t xml:space="preserve"> Frikke, </w:t>
      </w:r>
      <w:r w:rsidRPr="007901C4">
        <w:rPr>
          <w:i/>
          <w:sz w:val="18"/>
          <w:szCs w:val="18"/>
        </w:rPr>
        <w:t xml:space="preserve">Tijdschrift Recht en Arbeid </w:t>
      </w:r>
      <w:r w:rsidRPr="007901C4">
        <w:rPr>
          <w:sz w:val="18"/>
          <w:szCs w:val="18"/>
        </w:rPr>
        <w:t xml:space="preserve">2016, afl. 6/7, p. 26, </w:t>
      </w:r>
      <w:r w:rsidRPr="004609D3">
        <w:rPr>
          <w:sz w:val="18"/>
          <w:szCs w:val="18"/>
        </w:rPr>
        <w:t>Kamers</w:t>
      </w:r>
      <w:r w:rsidRPr="00187249">
        <w:rPr>
          <w:sz w:val="18"/>
          <w:szCs w:val="18"/>
        </w:rPr>
        <w:t>tukken II 2013/14, 33 818,</w:t>
      </w:r>
      <w:r w:rsidRPr="00191800">
        <w:rPr>
          <w:sz w:val="18"/>
          <w:szCs w:val="18"/>
        </w:rPr>
        <w:t xml:space="preserve"> nr. 4</w:t>
      </w:r>
      <w:r w:rsidRPr="00024282">
        <w:rPr>
          <w:sz w:val="18"/>
          <w:szCs w:val="18"/>
        </w:rPr>
        <w:t xml:space="preserve">, p. 33-34, </w:t>
      </w:r>
      <w:r w:rsidRPr="00024282">
        <w:rPr>
          <w:rFonts w:hint="eastAsia"/>
          <w:sz w:val="18"/>
          <w:szCs w:val="18"/>
          <w:lang w:eastAsia="ja-JP"/>
        </w:rPr>
        <w:t xml:space="preserve">Mr. W.H.A.C.M. Bouwens (2015), </w:t>
      </w:r>
      <w:r w:rsidRPr="00B27870">
        <w:rPr>
          <w:sz w:val="18"/>
          <w:szCs w:val="18"/>
          <w:lang w:eastAsia="ja-JP"/>
        </w:rPr>
        <w:t>‘</w:t>
      </w:r>
      <w:r w:rsidRPr="007901C4">
        <w:rPr>
          <w:sz w:val="18"/>
          <w:szCs w:val="18"/>
          <w:lang w:eastAsia="ja-JP"/>
        </w:rPr>
        <w:t>Schets</w:t>
      </w:r>
      <w:r w:rsidRPr="007901C4">
        <w:rPr>
          <w:rFonts w:hint="eastAsia"/>
          <w:sz w:val="18"/>
          <w:szCs w:val="18"/>
          <w:lang w:eastAsia="ja-JP"/>
        </w:rPr>
        <w:t xml:space="preserve"> van het Nederlandse arbeidsrecht</w:t>
      </w:r>
      <w:r w:rsidRPr="007901C4">
        <w:rPr>
          <w:sz w:val="18"/>
          <w:szCs w:val="18"/>
          <w:lang w:eastAsia="ja-JP"/>
        </w:rPr>
        <w:t>’</w:t>
      </w:r>
      <w:r w:rsidRPr="007901C4">
        <w:rPr>
          <w:rFonts w:hint="eastAsia"/>
          <w:sz w:val="18"/>
          <w:szCs w:val="18"/>
          <w:lang w:eastAsia="ja-JP"/>
        </w:rPr>
        <w:t>, p 184</w:t>
      </w:r>
      <w:r w:rsidRPr="007901C4">
        <w:rPr>
          <w:sz w:val="18"/>
          <w:szCs w:val="18"/>
          <w:lang w:eastAsia="ja-JP"/>
        </w:rPr>
        <w:t xml:space="preserve">, </w:t>
      </w:r>
      <w:r w:rsidRPr="007901C4">
        <w:rPr>
          <w:sz w:val="18"/>
          <w:szCs w:val="18"/>
        </w:rPr>
        <w:t>Mr. R.M. Beltzer, (2015), ‘Handboek Wet Werk en Zekerheid’, p 122</w:t>
      </w:r>
    </w:p>
  </w:footnote>
  <w:footnote w:id="58">
    <w:p w:rsidR="00F66488" w:rsidRPr="007901C4" w:rsidRDefault="00F66488">
      <w:pPr>
        <w:pStyle w:val="Voetnoottekst"/>
        <w:rPr>
          <w:sz w:val="18"/>
          <w:szCs w:val="18"/>
        </w:rPr>
      </w:pPr>
      <w:r>
        <w:rPr>
          <w:rStyle w:val="Voetnootmarkering"/>
        </w:rPr>
        <w:footnoteRef/>
      </w:r>
      <w:r>
        <w:t xml:space="preserve"> </w:t>
      </w:r>
      <w:r w:rsidRPr="004609D3">
        <w:rPr>
          <w:rFonts w:hint="eastAsia"/>
          <w:sz w:val="18"/>
          <w:szCs w:val="18"/>
          <w:lang w:eastAsia="ja-JP"/>
        </w:rPr>
        <w:t xml:space="preserve">Mr. W.H.A.C.M. Bouwens (2015), </w:t>
      </w:r>
      <w:r w:rsidRPr="00187249">
        <w:rPr>
          <w:sz w:val="18"/>
          <w:szCs w:val="18"/>
          <w:lang w:eastAsia="ja-JP"/>
        </w:rPr>
        <w:t>‘</w:t>
      </w:r>
      <w:r w:rsidRPr="00191800">
        <w:rPr>
          <w:sz w:val="18"/>
          <w:szCs w:val="18"/>
          <w:lang w:eastAsia="ja-JP"/>
        </w:rPr>
        <w:t>Schets</w:t>
      </w:r>
      <w:r w:rsidRPr="00191800">
        <w:rPr>
          <w:rFonts w:hint="eastAsia"/>
          <w:sz w:val="18"/>
          <w:szCs w:val="18"/>
          <w:lang w:eastAsia="ja-JP"/>
        </w:rPr>
        <w:t xml:space="preserve"> van het Nederlandse arbeidsrecht</w:t>
      </w:r>
      <w:r w:rsidRPr="00024282">
        <w:rPr>
          <w:sz w:val="18"/>
          <w:szCs w:val="18"/>
          <w:lang w:eastAsia="ja-JP"/>
        </w:rPr>
        <w:t>’</w:t>
      </w:r>
      <w:r w:rsidRPr="00024282">
        <w:rPr>
          <w:rFonts w:hint="eastAsia"/>
          <w:sz w:val="18"/>
          <w:szCs w:val="18"/>
          <w:lang w:eastAsia="ja-JP"/>
        </w:rPr>
        <w:t>, p 184</w:t>
      </w:r>
      <w:r w:rsidRPr="007901C4">
        <w:rPr>
          <w:sz w:val="18"/>
          <w:szCs w:val="18"/>
        </w:rPr>
        <w:t xml:space="preserve">  </w:t>
      </w:r>
    </w:p>
  </w:footnote>
  <w:footnote w:id="59">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Kam</w:t>
      </w:r>
      <w:r w:rsidRPr="00187249">
        <w:rPr>
          <w:sz w:val="18"/>
          <w:szCs w:val="18"/>
        </w:rPr>
        <w:t>ers</w:t>
      </w:r>
      <w:r w:rsidRPr="00191800">
        <w:rPr>
          <w:sz w:val="18"/>
          <w:szCs w:val="18"/>
        </w:rPr>
        <w:t>tukken II 2013/14, 33 818, nr. 3</w:t>
      </w:r>
      <w:r w:rsidRPr="00024282">
        <w:rPr>
          <w:sz w:val="18"/>
          <w:szCs w:val="18"/>
        </w:rPr>
        <w:t>, p. 32</w:t>
      </w:r>
    </w:p>
  </w:footnote>
  <w:footnote w:id="60">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S.M.M. Peters 2016, p. 2 </w:t>
      </w:r>
    </w:p>
  </w:footnote>
  <w:footnote w:id="61">
    <w:p w:rsidR="00F66488" w:rsidRPr="007901C4" w:rsidRDefault="00F66488" w:rsidP="00240E71">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Hof Arnhem-Leeuwarden 31 maart 2016, ECLI:NL:GHARL:2016:2601</w:t>
      </w:r>
    </w:p>
  </w:footnote>
  <w:footnote w:id="62">
    <w:p w:rsidR="00F66488" w:rsidRPr="007901C4" w:rsidRDefault="00F66488" w:rsidP="00240E71">
      <w:pPr>
        <w:pStyle w:val="Voetnoottekst"/>
        <w:rPr>
          <w:sz w:val="18"/>
          <w:szCs w:val="18"/>
        </w:rPr>
      </w:pPr>
      <w:r w:rsidRPr="007901C4">
        <w:rPr>
          <w:rStyle w:val="Voetnootmarkering"/>
          <w:sz w:val="18"/>
          <w:szCs w:val="18"/>
        </w:rPr>
        <w:footnoteRef/>
      </w:r>
      <w:r w:rsidRPr="007901C4">
        <w:rPr>
          <w:sz w:val="18"/>
          <w:szCs w:val="18"/>
        </w:rPr>
        <w:t xml:space="preserve"> Kamerstuk 2015/16, 34 351, nr.1, p. 9 </w:t>
      </w:r>
    </w:p>
  </w:footnote>
  <w:footnote w:id="63">
    <w:p w:rsidR="00F66488" w:rsidRPr="007901C4" w:rsidRDefault="00F66488" w:rsidP="00240E71">
      <w:pPr>
        <w:pStyle w:val="Voetnoottekst"/>
        <w:rPr>
          <w:sz w:val="18"/>
          <w:szCs w:val="18"/>
        </w:rPr>
      </w:pPr>
      <w:r>
        <w:rPr>
          <w:rStyle w:val="Voetnootmarkering"/>
        </w:rPr>
        <w:footnoteRef/>
      </w:r>
      <w:r>
        <w:t xml:space="preserve"> </w:t>
      </w:r>
      <w:r w:rsidRPr="007901C4">
        <w:rPr>
          <w:sz w:val="18"/>
          <w:szCs w:val="18"/>
        </w:rPr>
        <w:t xml:space="preserve">Peters 2016, p 2 </w:t>
      </w:r>
    </w:p>
  </w:footnote>
  <w:footnote w:id="64">
    <w:p w:rsidR="00F66488" w:rsidRPr="007901C4" w:rsidRDefault="00F66488" w:rsidP="007C12C7">
      <w:pPr>
        <w:pStyle w:val="Geenafstand"/>
        <w:rPr>
          <w:sz w:val="18"/>
          <w:szCs w:val="18"/>
        </w:rPr>
      </w:pPr>
      <w:r>
        <w:rPr>
          <w:rStyle w:val="Voetnootmarkering"/>
        </w:rPr>
        <w:footnoteRef/>
      </w:r>
      <w:r>
        <w:t xml:space="preserve"> </w:t>
      </w:r>
      <w:r w:rsidRPr="004609D3">
        <w:rPr>
          <w:sz w:val="18"/>
          <w:szCs w:val="18"/>
        </w:rPr>
        <w:t>Rb Utrecht (ktr.) 18 februari 2016, ECLI:NL:RBMNE:2016:854, Rb Amsterdam (ktr.) 6 oktober 2015, ECLI:NL:RBAMS:2015:7278, Rb Alkmaar (ktr.) 18 december 2015, ECLI:NL:RBNHO:2015:11461, Rb. Amsterdam (</w:t>
      </w:r>
      <w:r w:rsidRPr="007901C4">
        <w:rPr>
          <w:sz w:val="18"/>
          <w:szCs w:val="18"/>
        </w:rPr>
        <w:t>ktr.) 7 december 2015, ECLI:NL:RBAMS:2015:8752, Rb. Alkmaar (ktr.) 4 november 2015, ECLI:NL:RBNHO:2015:9668, Rb. Rotterdam (ktr.) 11 december 2015, ECLI:NL:RBROT:2015:9963, Rb Den Haag (ktr.) 17 maart 2016, ECLI:NL:RBDHA:2016:3404, Rb Utrecht (ktr.) 18 februari 2016, ECLI:NL:RBMNE:2016:854, Rb. Amsterdam (ktr.) 7 december 2015, ECLI:NL:RBAMS:2015:8752, Rb. Leeuwarden (ktr.) 25 november 2015, ECLI:NL:RBNNE:2015:5423</w:t>
      </w:r>
    </w:p>
  </w:footnote>
  <w:footnote w:id="65">
    <w:p w:rsidR="00F66488" w:rsidRPr="007901C4" w:rsidRDefault="00F66488" w:rsidP="00436D8A">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Leeuwarden (</w:t>
      </w:r>
      <w:r w:rsidRPr="00187249">
        <w:rPr>
          <w:sz w:val="18"/>
          <w:szCs w:val="18"/>
        </w:rPr>
        <w:t>ktr.</w:t>
      </w:r>
      <w:r w:rsidRPr="0033210E">
        <w:rPr>
          <w:sz w:val="18"/>
          <w:szCs w:val="18"/>
        </w:rPr>
        <w:t>) 25 november 2015, ECLI:NL:RBNNE:2015:5423</w:t>
      </w:r>
    </w:p>
  </w:footnote>
  <w:footnote w:id="66">
    <w:p w:rsidR="00F66488" w:rsidRPr="007901C4" w:rsidRDefault="00F66488" w:rsidP="00436D8A">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 xml:space="preserve">Rb Utrecht (ktr.) 18 februari 2016, ECLI:NL:RBMNE:2016:854, </w:t>
      </w:r>
      <w:r w:rsidRPr="00187249">
        <w:rPr>
          <w:sz w:val="18"/>
          <w:szCs w:val="18"/>
        </w:rPr>
        <w:t>Rb Den Haag (ktr.) 17 maart 2016, ECLI:NL:RBDHA:2016:3404</w:t>
      </w:r>
      <w:r w:rsidRPr="0033210E">
        <w:rPr>
          <w:sz w:val="18"/>
          <w:szCs w:val="18"/>
        </w:rPr>
        <w:t>, Rb. Amsterdam (ktr.) 7 december 2015, ECLI:NL:RBAMS:2015:8752</w:t>
      </w:r>
    </w:p>
  </w:footnote>
  <w:footnote w:id="67">
    <w:p w:rsidR="00F66488" w:rsidRPr="007901C4" w:rsidRDefault="00F66488" w:rsidP="00436D8A">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Alkmaar (</w:t>
      </w:r>
      <w:r w:rsidRPr="00187249">
        <w:rPr>
          <w:sz w:val="18"/>
          <w:szCs w:val="18"/>
        </w:rPr>
        <w:t>ktr.</w:t>
      </w:r>
      <w:r w:rsidRPr="0033210E">
        <w:rPr>
          <w:sz w:val="18"/>
          <w:szCs w:val="18"/>
        </w:rPr>
        <w:t>) 4 november 2015, ECLI:NL:RBNHO:2015:9668, Rb Limburg (ktr.) 1 september 2016, ECLI:NL:RBLIM:2016:7622</w:t>
      </w:r>
      <w:r w:rsidRPr="00B27870">
        <w:rPr>
          <w:sz w:val="18"/>
          <w:szCs w:val="18"/>
        </w:rPr>
        <w:t>, Rb. Leeuwarden (</w:t>
      </w:r>
      <w:r w:rsidRPr="007901C4">
        <w:rPr>
          <w:sz w:val="18"/>
          <w:szCs w:val="18"/>
        </w:rPr>
        <w:t>ktr.) 25 november 2015, ECLI:NL:RBNNE:2015:5423, Rb Den Haag (ktr.) 17 maart 2016, ECLI:NL:RBDHA:2016:3404</w:t>
      </w:r>
    </w:p>
  </w:footnote>
  <w:footnote w:id="68">
    <w:p w:rsidR="00F66488" w:rsidRPr="007901C4" w:rsidRDefault="00F66488" w:rsidP="00954237">
      <w:pPr>
        <w:pStyle w:val="Voetnoottekst"/>
        <w:rPr>
          <w:sz w:val="18"/>
          <w:szCs w:val="18"/>
        </w:rPr>
      </w:pPr>
      <w:r w:rsidRPr="002964B8">
        <w:rPr>
          <w:rStyle w:val="Voetnootmarkering"/>
          <w:sz w:val="18"/>
          <w:szCs w:val="18"/>
        </w:rPr>
        <w:footnoteRef/>
      </w:r>
      <w:r w:rsidRPr="002964B8">
        <w:rPr>
          <w:sz w:val="18"/>
          <w:szCs w:val="18"/>
        </w:rPr>
        <w:t xml:space="preserve"> </w:t>
      </w:r>
      <w:r w:rsidRPr="004609D3">
        <w:rPr>
          <w:sz w:val="18"/>
          <w:szCs w:val="18"/>
        </w:rPr>
        <w:t>Rb Noord – Holland (ktr.) 22 januari 2016, ECLI:NL:RBNHO:2016:553, Rb. Amsterdam (</w:t>
      </w:r>
      <w:r w:rsidRPr="0033210E">
        <w:rPr>
          <w:sz w:val="18"/>
          <w:szCs w:val="18"/>
        </w:rPr>
        <w:t>ktr.) 7 december 2015, ECLI:NL:RBAMS:2015:8752</w:t>
      </w:r>
      <w:r w:rsidRPr="00B27870">
        <w:rPr>
          <w:sz w:val="18"/>
          <w:szCs w:val="18"/>
        </w:rPr>
        <w:t>, Rb. Alkmaar (</w:t>
      </w:r>
      <w:r w:rsidRPr="007901C4">
        <w:rPr>
          <w:sz w:val="18"/>
          <w:szCs w:val="18"/>
        </w:rPr>
        <w:t>ktr.) 4 november 2015, ECLI:NL:RBNHO:2015:9668, Rb Den Haag (ktr.) 17 maart 2016, ECLI:NL:RBDHA:2016:3404</w:t>
      </w:r>
    </w:p>
  </w:footnote>
  <w:footnote w:id="69">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rFonts w:cstheme="minorHAnsi"/>
          <w:sz w:val="18"/>
          <w:szCs w:val="18"/>
        </w:rPr>
        <w:t>Rb Den Haag (ktr.) 17 maart 2016, ECLI:NL:RBDHA:2016:3404</w:t>
      </w:r>
    </w:p>
  </w:footnote>
  <w:footnote w:id="70">
    <w:p w:rsidR="00F66488" w:rsidRPr="007901C4" w:rsidRDefault="00F66488" w:rsidP="00B07DF0">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Leeuwarden (</w:t>
      </w:r>
      <w:r w:rsidRPr="00187249">
        <w:rPr>
          <w:sz w:val="18"/>
          <w:szCs w:val="18"/>
        </w:rPr>
        <w:t>ktr.</w:t>
      </w:r>
      <w:r w:rsidRPr="0033210E">
        <w:rPr>
          <w:sz w:val="18"/>
          <w:szCs w:val="18"/>
        </w:rPr>
        <w:t>) 25 november 2015, ECLI:NL:RBNNE:2015:5423</w:t>
      </w:r>
    </w:p>
  </w:footnote>
  <w:footnote w:id="71">
    <w:p w:rsidR="00F66488" w:rsidRPr="007901C4" w:rsidRDefault="00F66488" w:rsidP="00436D8A">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Den Haag (ktr.) 17 maart 2016, ECLI:NL:RBDHA:2016:3404</w:t>
      </w:r>
    </w:p>
  </w:footnote>
  <w:footnote w:id="72">
    <w:p w:rsidR="00F66488" w:rsidRPr="007901C4" w:rsidRDefault="00F66488" w:rsidP="00E25C81">
      <w:pPr>
        <w:pStyle w:val="Voetnoottekst"/>
        <w:rPr>
          <w:sz w:val="18"/>
          <w:szCs w:val="18"/>
        </w:rPr>
      </w:pPr>
      <w:r w:rsidRPr="007901C4">
        <w:rPr>
          <w:rStyle w:val="Voetnootmarkering"/>
          <w:sz w:val="18"/>
          <w:szCs w:val="18"/>
        </w:rPr>
        <w:footnoteRef/>
      </w:r>
      <w:r w:rsidRPr="007901C4">
        <w:rPr>
          <w:sz w:val="18"/>
          <w:szCs w:val="18"/>
        </w:rPr>
        <w:t xml:space="preserve"> </w:t>
      </w:r>
      <w:r w:rsidRPr="004609D3">
        <w:rPr>
          <w:rFonts w:cstheme="minorHAnsi"/>
          <w:sz w:val="18"/>
          <w:szCs w:val="18"/>
        </w:rPr>
        <w:t>Rb. Leeuwarden (</w:t>
      </w:r>
      <w:r w:rsidRPr="00187249">
        <w:rPr>
          <w:rFonts w:cstheme="minorHAnsi"/>
          <w:sz w:val="18"/>
          <w:szCs w:val="18"/>
        </w:rPr>
        <w:t>ktr.</w:t>
      </w:r>
      <w:r w:rsidRPr="0033210E">
        <w:rPr>
          <w:rFonts w:cstheme="minorHAnsi"/>
          <w:sz w:val="18"/>
          <w:szCs w:val="18"/>
        </w:rPr>
        <w:t>) 25 november 2015, ECLI:NL:RBNNE:2015:5423,</w:t>
      </w:r>
      <w:r w:rsidRPr="0033210E">
        <w:rPr>
          <w:sz w:val="18"/>
          <w:szCs w:val="18"/>
        </w:rPr>
        <w:t xml:space="preserve"> Rb Limburg (ktr.) 1 september 2016, ECLI:NL:RBLIM:2016:7622</w:t>
      </w:r>
    </w:p>
  </w:footnote>
  <w:footnote w:id="73">
    <w:p w:rsidR="00F66488" w:rsidRPr="007901C4" w:rsidRDefault="00F66488" w:rsidP="00ED4ACF">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Alkmaar (</w:t>
      </w:r>
      <w:r w:rsidRPr="00187249">
        <w:rPr>
          <w:sz w:val="18"/>
          <w:szCs w:val="18"/>
        </w:rPr>
        <w:t>ktr.</w:t>
      </w:r>
      <w:r w:rsidRPr="0033210E">
        <w:rPr>
          <w:sz w:val="18"/>
          <w:szCs w:val="18"/>
        </w:rPr>
        <w:t>) 4 november 2015, ECLI:NL:RBNHO:2015:9668</w:t>
      </w:r>
    </w:p>
  </w:footnote>
  <w:footnote w:id="74">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Limburg (ktr.) 1 september 2016, ECLI:NL:RBLIM:2016:7622</w:t>
      </w:r>
    </w:p>
  </w:footnote>
  <w:footnote w:id="75">
    <w:p w:rsidR="00F66488" w:rsidRPr="007901C4" w:rsidRDefault="00F66488" w:rsidP="008E6FF1">
      <w:pPr>
        <w:pStyle w:val="Geenafstand"/>
        <w:rPr>
          <w:sz w:val="18"/>
          <w:szCs w:val="18"/>
        </w:rPr>
      </w:pPr>
      <w:r w:rsidRPr="004609D3">
        <w:rPr>
          <w:rStyle w:val="Voetnootmarkering"/>
          <w:sz w:val="18"/>
          <w:szCs w:val="18"/>
        </w:rPr>
        <w:footnoteRef/>
      </w:r>
      <w:r w:rsidRPr="004609D3">
        <w:rPr>
          <w:sz w:val="18"/>
          <w:szCs w:val="18"/>
        </w:rPr>
        <w:t xml:space="preserve"> Rb Limburg (ktr.) 1 september 2016, ECLI:NL:RBLI</w:t>
      </w:r>
      <w:r w:rsidRPr="00187249">
        <w:rPr>
          <w:sz w:val="18"/>
          <w:szCs w:val="18"/>
        </w:rPr>
        <w:t>M:2016:7622</w:t>
      </w:r>
      <w:r w:rsidRPr="0033210E">
        <w:rPr>
          <w:sz w:val="18"/>
          <w:szCs w:val="18"/>
        </w:rPr>
        <w:t>, Rb Utrecht (ktr.) 18 februari 2016, ECLI:NL:RBMNE:2016:854, Rb. Alkmaar (</w:t>
      </w:r>
      <w:r w:rsidRPr="007901C4">
        <w:rPr>
          <w:sz w:val="18"/>
          <w:szCs w:val="18"/>
        </w:rPr>
        <w:t xml:space="preserve">ktr.) 4 november 2015, ECLI:NL:RBNHO:2015:9668, Rb Den Haag (ktr.) 17 maart 2016, ECLI:NL:RBDHA:2016:3404, Rb. Amsterdam (ktr.) 7 december 2015, ECLI:NL:RBAMS:2015:8752, Rb. Leeuwarden (ktr.) 25 november 2015, ECLI:NL:RBNNE:2015:5423   </w:t>
      </w:r>
    </w:p>
  </w:footnote>
  <w:footnote w:id="76">
    <w:p w:rsidR="00F66488" w:rsidRPr="007901C4" w:rsidRDefault="00F66488" w:rsidP="00ED4ACF">
      <w:pPr>
        <w:pStyle w:val="Voetnoottekst"/>
        <w:rPr>
          <w:sz w:val="18"/>
          <w:szCs w:val="18"/>
        </w:rPr>
      </w:pPr>
      <w:r>
        <w:rPr>
          <w:rStyle w:val="Voetnootmarkering"/>
        </w:rPr>
        <w:footnoteRef/>
      </w:r>
      <w:r>
        <w:t xml:space="preserve"> </w:t>
      </w:r>
      <w:r w:rsidRPr="004609D3">
        <w:rPr>
          <w:sz w:val="18"/>
          <w:szCs w:val="18"/>
        </w:rPr>
        <w:t>Rb. Leeuwarden (</w:t>
      </w:r>
      <w:r w:rsidRPr="0033210E">
        <w:rPr>
          <w:sz w:val="18"/>
          <w:szCs w:val="18"/>
        </w:rPr>
        <w:t>ktr.) 25 november 2015, ECLI:NL:RBNNE:2015:5423</w:t>
      </w:r>
    </w:p>
  </w:footnote>
  <w:footnote w:id="77">
    <w:p w:rsidR="00F66488" w:rsidRPr="007901C4" w:rsidRDefault="00F66488" w:rsidP="005F0E1C">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Rb. Amsterdam (</w:t>
      </w:r>
      <w:r w:rsidRPr="0033210E">
        <w:rPr>
          <w:sz w:val="18"/>
          <w:szCs w:val="18"/>
        </w:rPr>
        <w:t>ktr.) 7 december 2015, ECLI:NL:RBAMS:2015:8752</w:t>
      </w:r>
      <w:r w:rsidRPr="0033210E">
        <w:rPr>
          <w:rFonts w:hint="eastAsia"/>
          <w:sz w:val="18"/>
          <w:szCs w:val="18"/>
          <w:lang w:eastAsia="ja-JP"/>
        </w:rPr>
        <w:t xml:space="preserve">, </w:t>
      </w:r>
      <w:r w:rsidRPr="0033210E">
        <w:rPr>
          <w:sz w:val="18"/>
          <w:szCs w:val="18"/>
        </w:rPr>
        <w:t>Hof Arnhem-Leeuwarden 31 maart 2016, ECLI:NL:GHARL:2016:2601</w:t>
      </w:r>
    </w:p>
  </w:footnote>
  <w:footnote w:id="78">
    <w:p w:rsidR="00F66488" w:rsidRPr="007901C4" w:rsidRDefault="00F66488" w:rsidP="004B25DC">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Alkmaar (</w:t>
      </w:r>
      <w:r w:rsidRPr="0033210E">
        <w:rPr>
          <w:sz w:val="18"/>
          <w:szCs w:val="18"/>
        </w:rPr>
        <w:t>ktr.) 4 november 2015, ECLI:NL:RBNHO:2015:9668</w:t>
      </w:r>
      <w:r w:rsidRPr="0033210E">
        <w:rPr>
          <w:rFonts w:hint="eastAsia"/>
          <w:sz w:val="18"/>
          <w:szCs w:val="18"/>
          <w:lang w:eastAsia="ja-JP"/>
        </w:rPr>
        <w:t xml:space="preserve">, </w:t>
      </w:r>
      <w:r w:rsidRPr="0033210E">
        <w:rPr>
          <w:sz w:val="18"/>
          <w:szCs w:val="18"/>
        </w:rPr>
        <w:t>Rb. Amsterdam (ktr.) 7 december 2015, ECLI:NL:RBAMS:2015:8752, Rb Utrecht (ktr.) 18 februari 2016, ECLI:NL:RBMNE:2016:854, Rb Noord – Holland (ktr.) 22 januari 2016,</w:t>
      </w:r>
      <w:r w:rsidRPr="007901C4">
        <w:rPr>
          <w:sz w:val="18"/>
          <w:szCs w:val="18"/>
        </w:rPr>
        <w:t xml:space="preserve"> </w:t>
      </w:r>
      <w:r w:rsidRPr="004609D3">
        <w:rPr>
          <w:sz w:val="18"/>
          <w:szCs w:val="18"/>
        </w:rPr>
        <w:t>ECLI:NL:RBNHO:2016:553</w:t>
      </w:r>
    </w:p>
  </w:footnote>
  <w:footnote w:id="79">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Rb Amsterdam (ktr.) 6 oktober 2015, ECLI:NL:RBAMS:2015:7278,</w:t>
      </w:r>
    </w:p>
  </w:footnote>
  <w:footnote w:id="80">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 xml:space="preserve">Rb Alkmaar (ktr.) 18 december 2015, </w:t>
      </w:r>
      <w:r w:rsidRPr="00187249">
        <w:rPr>
          <w:sz w:val="18"/>
          <w:szCs w:val="18"/>
        </w:rPr>
        <w:t>ECLI:NL:RBNHO:2015:11461</w:t>
      </w:r>
    </w:p>
  </w:footnote>
  <w:footnote w:id="81">
    <w:p w:rsidR="00F66488" w:rsidRPr="007901C4" w:rsidRDefault="00F66488" w:rsidP="002A560E">
      <w:pPr>
        <w:pStyle w:val="Voetnoottekst"/>
        <w:rPr>
          <w:rFonts w:cstheme="minorHAnsi"/>
          <w:sz w:val="18"/>
          <w:szCs w:val="18"/>
        </w:rPr>
      </w:pPr>
      <w:r w:rsidRPr="007901C4">
        <w:rPr>
          <w:rStyle w:val="Voetnootmarkering"/>
          <w:sz w:val="18"/>
          <w:szCs w:val="18"/>
        </w:rPr>
        <w:footnoteRef/>
      </w:r>
      <w:r w:rsidRPr="007901C4">
        <w:rPr>
          <w:sz w:val="18"/>
          <w:szCs w:val="18"/>
        </w:rPr>
        <w:t xml:space="preserve"> </w:t>
      </w:r>
      <w:r w:rsidRPr="004609D3">
        <w:rPr>
          <w:sz w:val="18"/>
          <w:szCs w:val="18"/>
        </w:rPr>
        <w:t>Rb Alkmaar (ktr.) 18 december 2015, ECLI:NL:RBNHO:2015:11461, Rb Noord-Nederland (ktr.) 24 februari 2016, ECLI:NL:RBNNE:2016:715,</w:t>
      </w:r>
      <w:r w:rsidRPr="00B27870">
        <w:rPr>
          <w:sz w:val="18"/>
          <w:szCs w:val="18"/>
        </w:rPr>
        <w:t xml:space="preserve"> Rb Amsterdam (ktr.) 6 oktober 2015, ECLI:NL:RBAMS:2015:7278, Rb Den Haag (ktr.) 17 maart 2016, ECLI:NL:RBDHA:2016:3404, Rb Noord-Holland 28 juni</w:t>
      </w:r>
      <w:r w:rsidRPr="007901C4">
        <w:rPr>
          <w:sz w:val="18"/>
          <w:szCs w:val="18"/>
        </w:rPr>
        <w:t xml:space="preserve"> 2016 (ktr.) ECLI:NL:RBNHO:2016:5447, </w:t>
      </w:r>
      <w:r w:rsidRPr="007901C4">
        <w:rPr>
          <w:rFonts w:cstheme="minorHAnsi"/>
          <w:sz w:val="18"/>
          <w:szCs w:val="18"/>
        </w:rPr>
        <w:t xml:space="preserve">Rb. Amsterdam (ktr.) </w:t>
      </w:r>
    </w:p>
    <w:p w:rsidR="00F66488" w:rsidRPr="007901C4" w:rsidRDefault="00F66488" w:rsidP="002A560E">
      <w:pPr>
        <w:pStyle w:val="Voetnoottekst"/>
        <w:rPr>
          <w:sz w:val="18"/>
          <w:szCs w:val="18"/>
        </w:rPr>
      </w:pPr>
      <w:r w:rsidRPr="007901C4">
        <w:rPr>
          <w:rFonts w:cstheme="minorHAnsi"/>
          <w:sz w:val="18"/>
          <w:szCs w:val="18"/>
        </w:rPr>
        <w:t>7 december 2015, ECLI:NL:RBAMS:2015:8752, Rb. Alkmaar (ktr.) 4 november 2015, ECLI:NL:RBNHO:2015:9668, Rb. Leeuwarden (ktr.) 25 november 2015, ECLI:NL:RBNNE:2015:5423, Rb Rotterdam (ktr.) 11 december 2015, ECLI:NL:RBROT:2015:9963</w:t>
      </w:r>
    </w:p>
  </w:footnote>
  <w:footnote w:id="82">
    <w:p w:rsidR="00F66488" w:rsidRPr="007901C4" w:rsidRDefault="00F66488" w:rsidP="00072EC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Alkmaar (ktr.) 18 december 2015, ECLI:NL:RBNHO:2015:11461</w:t>
      </w:r>
      <w:r w:rsidRPr="00187249">
        <w:rPr>
          <w:sz w:val="18"/>
          <w:szCs w:val="18"/>
        </w:rPr>
        <w:t xml:space="preserve"> (loonstop);</w:t>
      </w:r>
      <w:r w:rsidRPr="0033210E">
        <w:rPr>
          <w:sz w:val="18"/>
          <w:szCs w:val="18"/>
        </w:rPr>
        <w:t xml:space="preserve"> Rb Den Haag (ktr.) 17 maart 2016, ECLI:NL:RBDHA:2016:3404</w:t>
      </w:r>
      <w:r w:rsidRPr="00B27870">
        <w:rPr>
          <w:sz w:val="18"/>
          <w:szCs w:val="18"/>
        </w:rPr>
        <w:t xml:space="preserve"> (voortdurend op non-actief stellen); Rb Noord-Holland 28 juni 2016 (ktr.) ECL</w:t>
      </w:r>
      <w:r w:rsidRPr="007901C4">
        <w:rPr>
          <w:sz w:val="18"/>
          <w:szCs w:val="18"/>
        </w:rPr>
        <w:t>I:NL:RBNHO:2016:5447 (non-actiefstelling); Rb Amsterdam (ktr.) 6 oktober 2015, ECLI:NL:RBAMS:2015:7278 (niet aanspreken op vermeend gedrag)</w:t>
      </w:r>
    </w:p>
  </w:footnote>
  <w:footnote w:id="83">
    <w:p w:rsidR="00F66488" w:rsidRPr="007901C4" w:rsidRDefault="00F66488">
      <w:pPr>
        <w:pStyle w:val="Voetnoottekst"/>
        <w:rPr>
          <w:sz w:val="18"/>
          <w:szCs w:val="18"/>
        </w:rPr>
      </w:pPr>
      <w:r>
        <w:rPr>
          <w:rStyle w:val="Voetnootmarkering"/>
        </w:rPr>
        <w:footnoteRef/>
      </w:r>
      <w:r>
        <w:t xml:space="preserve"> </w:t>
      </w:r>
      <w:r w:rsidRPr="004609D3">
        <w:rPr>
          <w:sz w:val="18"/>
          <w:szCs w:val="18"/>
        </w:rPr>
        <w:t>Rb Noord-Nederland (ktr.) 24 februari 2016, ECLI:NL:RBNNE:2016:715</w:t>
      </w:r>
    </w:p>
  </w:footnote>
  <w:footnote w:id="84">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Noord-Holland 28 juni 2016 (ktr.) ECLI:NL:RBNHO:2016:5447</w:t>
      </w:r>
    </w:p>
  </w:footnote>
  <w:footnote w:id="85">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 xml:space="preserve">Rb Amsterdam (ktr.) 6 oktober 2015, ECLI:NL:RBAMS:2015:7278, </w:t>
      </w:r>
      <w:r w:rsidRPr="00187249">
        <w:rPr>
          <w:sz w:val="18"/>
          <w:szCs w:val="18"/>
        </w:rPr>
        <w:t>Amsterdam (</w:t>
      </w:r>
      <w:r w:rsidRPr="001A229A">
        <w:rPr>
          <w:sz w:val="18"/>
          <w:szCs w:val="18"/>
        </w:rPr>
        <w:t>ktr.) 15 december 2015, ECLI:NL:RBAMS:2015:9244</w:t>
      </w:r>
    </w:p>
  </w:footnote>
  <w:footnote w:id="86">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Amsterdam (</w:t>
      </w:r>
      <w:r w:rsidRPr="00187249">
        <w:rPr>
          <w:sz w:val="18"/>
          <w:szCs w:val="18"/>
        </w:rPr>
        <w:t>ktr.</w:t>
      </w:r>
      <w:r w:rsidRPr="0033210E">
        <w:rPr>
          <w:sz w:val="18"/>
          <w:szCs w:val="18"/>
        </w:rPr>
        <w:t>) 15 december 2015, ECLI:NL:RBAMS:2015:9244</w:t>
      </w:r>
    </w:p>
  </w:footnote>
  <w:footnote w:id="87">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Leeuwarden (</w:t>
      </w:r>
      <w:r w:rsidRPr="00187249">
        <w:rPr>
          <w:sz w:val="18"/>
          <w:szCs w:val="18"/>
        </w:rPr>
        <w:t>ktr.</w:t>
      </w:r>
      <w:r w:rsidRPr="0033210E">
        <w:rPr>
          <w:sz w:val="18"/>
          <w:szCs w:val="18"/>
        </w:rPr>
        <w:t>) 25 november 2015, ECLI:NL:RBNNE:2015:5423</w:t>
      </w:r>
    </w:p>
  </w:footnote>
  <w:footnote w:id="88">
    <w:p w:rsidR="00F66488" w:rsidRPr="007901C4" w:rsidRDefault="00F66488" w:rsidP="00E9497D">
      <w:pPr>
        <w:pStyle w:val="Geenafstand"/>
        <w:rPr>
          <w:sz w:val="18"/>
          <w:szCs w:val="18"/>
          <w:lang w:eastAsia="ja-JP"/>
        </w:rPr>
      </w:pPr>
      <w:r w:rsidRPr="004609D3">
        <w:rPr>
          <w:rStyle w:val="Voetnootmarkering"/>
          <w:sz w:val="18"/>
          <w:szCs w:val="18"/>
        </w:rPr>
        <w:footnoteRef/>
      </w:r>
      <w:r w:rsidRPr="004609D3">
        <w:rPr>
          <w:sz w:val="18"/>
          <w:szCs w:val="18"/>
        </w:rPr>
        <w:t xml:space="preserve"> Rb</w:t>
      </w:r>
      <w:r w:rsidRPr="00187249">
        <w:rPr>
          <w:sz w:val="18"/>
          <w:szCs w:val="18"/>
        </w:rPr>
        <w:t xml:space="preserve"> Rotterdam (ktr.) 11 december 2015, ECLI:NL:RBROT:2015:9963, Rb Lelystad, 12 januari 2016, ECLI:NL:RBMNE:2016</w:t>
      </w:r>
      <w:r w:rsidRPr="0033210E">
        <w:rPr>
          <w:sz w:val="18"/>
          <w:szCs w:val="18"/>
        </w:rPr>
        <w:t>:986, Rb Utrecht (ktr.) 18 februari 201</w:t>
      </w:r>
      <w:r w:rsidRPr="00B27870">
        <w:rPr>
          <w:sz w:val="18"/>
          <w:szCs w:val="18"/>
        </w:rPr>
        <w:t>6, ECLI:NL:RBMNE:2016:854, Rb Amsterdam (ktr.) 12 april 2016, ECLI:NL:RBAMS:2016:2</w:t>
      </w:r>
      <w:r w:rsidRPr="007901C4">
        <w:rPr>
          <w:sz w:val="18"/>
          <w:szCs w:val="18"/>
        </w:rPr>
        <w:t>127, Rb. Leeuwarden (ktr.) 25 november 2015, ECLI:NL:RBNNE:2015:5423</w:t>
      </w:r>
      <w:r w:rsidRPr="007901C4">
        <w:rPr>
          <w:rFonts w:hint="eastAsia"/>
          <w:sz w:val="18"/>
          <w:szCs w:val="18"/>
          <w:lang w:eastAsia="ja-JP"/>
        </w:rPr>
        <w:t xml:space="preserve">, </w:t>
      </w:r>
      <w:r w:rsidRPr="007901C4">
        <w:rPr>
          <w:sz w:val="18"/>
          <w:szCs w:val="18"/>
        </w:rPr>
        <w:t>Hof Den Haag 22 maart 2016, ECLI:NL:GHDHA: 2016:715</w:t>
      </w:r>
    </w:p>
  </w:footnote>
  <w:footnote w:id="89">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Leeuwarden (</w:t>
      </w:r>
      <w:r w:rsidRPr="0033210E">
        <w:rPr>
          <w:sz w:val="18"/>
          <w:szCs w:val="18"/>
        </w:rPr>
        <w:t>ktr.</w:t>
      </w:r>
      <w:r w:rsidRPr="001A229A">
        <w:rPr>
          <w:sz w:val="18"/>
          <w:szCs w:val="18"/>
        </w:rPr>
        <w:t>) 25 november 2015, ECLI:NL:RBNNE:2015:5423</w:t>
      </w:r>
    </w:p>
  </w:footnote>
  <w:footnote w:id="90">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Alkmaar (</w:t>
      </w:r>
      <w:r w:rsidRPr="00187249">
        <w:rPr>
          <w:sz w:val="18"/>
          <w:szCs w:val="18"/>
        </w:rPr>
        <w:t>ktr.</w:t>
      </w:r>
      <w:r w:rsidRPr="0033210E">
        <w:rPr>
          <w:sz w:val="18"/>
          <w:szCs w:val="18"/>
        </w:rPr>
        <w:t>) 4 november 2015, ECLI:NL:RBNHO:2015:9668</w:t>
      </w:r>
    </w:p>
  </w:footnote>
  <w:footnote w:id="91">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Leeuwarden (</w:t>
      </w:r>
      <w:r w:rsidRPr="00187249">
        <w:rPr>
          <w:sz w:val="18"/>
          <w:szCs w:val="18"/>
        </w:rPr>
        <w:t>ktr.</w:t>
      </w:r>
      <w:r w:rsidRPr="0033210E">
        <w:rPr>
          <w:sz w:val="18"/>
          <w:szCs w:val="18"/>
        </w:rPr>
        <w:t>) 25 november 2015, ECLI:NL:RBNNE:2015:5423</w:t>
      </w:r>
    </w:p>
  </w:footnote>
  <w:footnote w:id="92">
    <w:p w:rsidR="00F66488" w:rsidRDefault="00F66488" w:rsidP="00173B3E">
      <w:pPr>
        <w:pStyle w:val="Voetnoottekst"/>
      </w:pPr>
      <w:r>
        <w:rPr>
          <w:rStyle w:val="Voetnootmarkering"/>
        </w:rPr>
        <w:footnoteRef/>
      </w:r>
      <w:r>
        <w:t xml:space="preserve"> </w:t>
      </w:r>
      <w:r w:rsidRPr="007C12C7">
        <w:rPr>
          <w:sz w:val="18"/>
          <w:szCs w:val="18"/>
        </w:rPr>
        <w:t>Rb Den Haag (ktr.) 17 maart 2016, ECLI:NL:RBDHA:2016:3404</w:t>
      </w:r>
    </w:p>
  </w:footnote>
  <w:footnote w:id="93">
    <w:p w:rsidR="00F66488" w:rsidRPr="007901C4" w:rsidRDefault="00F66488" w:rsidP="00173B3E">
      <w:pPr>
        <w:pStyle w:val="Voetnoottekst"/>
        <w:rPr>
          <w:sz w:val="18"/>
          <w:szCs w:val="18"/>
        </w:rPr>
      </w:pPr>
      <w:r>
        <w:rPr>
          <w:rStyle w:val="Voetnootmarkering"/>
        </w:rPr>
        <w:footnoteRef/>
      </w:r>
      <w:r>
        <w:t xml:space="preserve"> </w:t>
      </w:r>
      <w:r w:rsidRPr="004609D3">
        <w:rPr>
          <w:sz w:val="18"/>
          <w:szCs w:val="18"/>
        </w:rPr>
        <w:t>Rb Utrecht (k</w:t>
      </w:r>
      <w:r w:rsidRPr="00187249">
        <w:rPr>
          <w:sz w:val="18"/>
          <w:szCs w:val="18"/>
        </w:rPr>
        <w:t>tr.) 18 februari 2016, ECLI:NL:RBMNE:2016:854</w:t>
      </w:r>
      <w:r w:rsidRPr="0033210E">
        <w:rPr>
          <w:sz w:val="18"/>
          <w:szCs w:val="18"/>
        </w:rPr>
        <w:t xml:space="preserve">, </w:t>
      </w:r>
      <w:r w:rsidRPr="00E60283">
        <w:rPr>
          <w:sz w:val="18"/>
          <w:szCs w:val="18"/>
        </w:rPr>
        <w:t>Rb Den Haag (ktr.) 17 maart 2016, ECLI:NL:RBDHA:2016:3404, Rb. Amsterdam (ktr.) 7 december 2015, ECLI:NL:RBAMS:2015:8752</w:t>
      </w:r>
    </w:p>
  </w:footnote>
  <w:footnote w:id="94">
    <w:p w:rsidR="00F66488" w:rsidRPr="007901C4" w:rsidRDefault="00F66488" w:rsidP="00173B3E">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Alkmaar (</w:t>
      </w:r>
      <w:r w:rsidRPr="0033210E">
        <w:rPr>
          <w:sz w:val="18"/>
          <w:szCs w:val="18"/>
        </w:rPr>
        <w:t>ktr.</w:t>
      </w:r>
      <w:r w:rsidRPr="00E60283">
        <w:rPr>
          <w:sz w:val="18"/>
          <w:szCs w:val="18"/>
        </w:rPr>
        <w:t>) 4 november 2015, ECLI:NL:RBNHO:2015:9668, Rb Limburg (ktr.) 1 september 2016, ECLI:NL:RBLIM:2016:7622, Rb. Leeuwarden (ktr.) 25 november 2015, ECLI:NL:RBNNE:2015:5423</w:t>
      </w:r>
    </w:p>
  </w:footnote>
  <w:footnote w:id="95">
    <w:p w:rsidR="00F66488" w:rsidRPr="007901C4" w:rsidRDefault="00F66488" w:rsidP="00173B3E">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Leeuwarden (</w:t>
      </w:r>
      <w:r w:rsidRPr="0033210E">
        <w:rPr>
          <w:sz w:val="18"/>
          <w:szCs w:val="18"/>
        </w:rPr>
        <w:t>ktr.</w:t>
      </w:r>
      <w:r w:rsidRPr="00E60283">
        <w:rPr>
          <w:sz w:val="18"/>
          <w:szCs w:val="18"/>
        </w:rPr>
        <w:t>) 25 november 2015, ECLI:NL:RBNNE:2015:5423</w:t>
      </w:r>
    </w:p>
  </w:footnote>
  <w:footnote w:id="96">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Lelystad, 12 januari 2016, ECLI:NL:RBMNE:2016:986</w:t>
      </w:r>
      <w:r w:rsidRPr="00187249">
        <w:rPr>
          <w:sz w:val="18"/>
          <w:szCs w:val="18"/>
        </w:rPr>
        <w:t xml:space="preserve">, </w:t>
      </w:r>
      <w:r w:rsidRPr="0033210E">
        <w:rPr>
          <w:sz w:val="18"/>
          <w:szCs w:val="18"/>
        </w:rPr>
        <w:t>Rb Utrecht (ktr.) 18 februari 2016</w:t>
      </w:r>
      <w:r w:rsidRPr="00E60283">
        <w:rPr>
          <w:sz w:val="18"/>
          <w:szCs w:val="18"/>
        </w:rPr>
        <w:t>, ECLI:NL:RBMNE:2016:854</w:t>
      </w:r>
    </w:p>
  </w:footnote>
  <w:footnote w:id="97">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Lelystad, 12 januari 2016, ECLI:NL:RBMNE:2016:986</w:t>
      </w:r>
    </w:p>
  </w:footnote>
  <w:footnote w:id="98">
    <w:p w:rsidR="00F66488" w:rsidRPr="007901C4" w:rsidRDefault="00F66488" w:rsidP="00173B3E">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Lelystad, 12 januari 2016, ECLI:NL:RBMNE:2016:986</w:t>
      </w:r>
    </w:p>
  </w:footnote>
  <w:footnote w:id="99">
    <w:p w:rsidR="00F66488" w:rsidRPr="007901C4" w:rsidRDefault="00F66488">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 xml:space="preserve">Rb Alkmaar (ktr.) 18 december 2015, </w:t>
      </w:r>
      <w:r w:rsidRPr="00187249">
        <w:rPr>
          <w:sz w:val="18"/>
          <w:szCs w:val="18"/>
        </w:rPr>
        <w:t>ECLI:NL:RBNHO:2015:11461</w:t>
      </w:r>
      <w:r w:rsidRPr="0033210E">
        <w:rPr>
          <w:rFonts w:hint="eastAsia"/>
          <w:sz w:val="18"/>
          <w:szCs w:val="18"/>
          <w:lang w:eastAsia="ja-JP"/>
        </w:rPr>
        <w:t xml:space="preserve">, </w:t>
      </w:r>
      <w:r w:rsidRPr="00E60283">
        <w:rPr>
          <w:sz w:val="18"/>
          <w:szCs w:val="18"/>
        </w:rPr>
        <w:t>Hof Den Haag 22 maart 2016, ECLI:NL:GHDHA: 2016:715</w:t>
      </w:r>
    </w:p>
  </w:footnote>
  <w:footnote w:id="100">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w:t>
      </w:r>
      <w:r w:rsidRPr="00187249">
        <w:rPr>
          <w:sz w:val="18"/>
          <w:szCs w:val="18"/>
        </w:rPr>
        <w:t xml:space="preserve"> Alkmaar (</w:t>
      </w:r>
      <w:r w:rsidRPr="00E60283">
        <w:rPr>
          <w:sz w:val="18"/>
          <w:szCs w:val="18"/>
        </w:rPr>
        <w:t>ktr.) 4 november 2015, ECLI:NL:RBNHO:2015:9668</w:t>
      </w:r>
    </w:p>
  </w:footnote>
  <w:footnote w:id="101">
    <w:p w:rsidR="00F66488" w:rsidRPr="007901C4" w:rsidRDefault="00F66488" w:rsidP="001256F6">
      <w:pPr>
        <w:pStyle w:val="Voetnoottekst"/>
        <w:rPr>
          <w:sz w:val="18"/>
          <w:szCs w:val="18"/>
        </w:rPr>
      </w:pPr>
      <w:r w:rsidRPr="007901C4">
        <w:rPr>
          <w:rStyle w:val="Voetnootmarkering"/>
          <w:sz w:val="18"/>
          <w:szCs w:val="18"/>
        </w:rPr>
        <w:footnoteRef/>
      </w:r>
      <w:r w:rsidRPr="004609D3">
        <w:rPr>
          <w:sz w:val="18"/>
          <w:szCs w:val="18"/>
        </w:rPr>
        <w:t>Rb Lelystad, 12 januari 2016, ECLI:NL:RBMNE:2016:986</w:t>
      </w:r>
    </w:p>
  </w:footnote>
  <w:footnote w:id="102">
    <w:p w:rsidR="00F66488" w:rsidRPr="007901C4" w:rsidRDefault="00F66488" w:rsidP="009B781B">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Amsterdam (ktr.) 12 april 2016, ECLI:NL:RBAMS:2016:2127</w:t>
      </w:r>
    </w:p>
  </w:footnote>
  <w:footnote w:id="103">
    <w:p w:rsidR="00F66488" w:rsidRPr="007901C4" w:rsidRDefault="00F66488" w:rsidP="001A7AF9">
      <w:pPr>
        <w:pStyle w:val="Voetnoottekst"/>
        <w:rPr>
          <w:sz w:val="18"/>
          <w:szCs w:val="18"/>
        </w:rPr>
      </w:pPr>
      <w:r w:rsidRPr="004609D3">
        <w:rPr>
          <w:rStyle w:val="Voetnootmarkering"/>
          <w:sz w:val="18"/>
          <w:szCs w:val="18"/>
        </w:rPr>
        <w:footnoteRef/>
      </w:r>
      <w:r w:rsidRPr="00187249">
        <w:rPr>
          <w:sz w:val="18"/>
          <w:szCs w:val="18"/>
        </w:rPr>
        <w:t xml:space="preserve"> </w:t>
      </w:r>
      <w:r w:rsidRPr="0033210E">
        <w:rPr>
          <w:sz w:val="18"/>
          <w:szCs w:val="18"/>
        </w:rPr>
        <w:t>Rb Limburg (ktr.) 1 september 2016, ECLI:NL:RBLIM:2016:7622, Rb Noord-Holland 28 j</w:t>
      </w:r>
      <w:r w:rsidRPr="00E60283">
        <w:rPr>
          <w:sz w:val="18"/>
          <w:szCs w:val="18"/>
        </w:rPr>
        <w:t xml:space="preserve">uni 2016 (ktr.) ECLI:NL:RBNHO:2016:5447, Rb Zeeland-West-Brabant (ktr.) 13 juli 2016, ECLI:NL:RBZWB:2016:4337, Rb Noord-Holland (ktr.), 27 oktober 2015, ECLI:NL:RBNHO:2015:9470, Rb Haarlem (ktr.) 28 juli </w:t>
      </w:r>
      <w:r w:rsidRPr="00B27870">
        <w:rPr>
          <w:sz w:val="18"/>
          <w:szCs w:val="18"/>
        </w:rPr>
        <w:t>2016, ECLI:NL:RBNHO:2016:6300, Rb Overijssel (ktr.) 18 maart 2016, ECLI:NL:RBOVE:2016:939,Rb Amsterdam (ktr.) 6 oktober 2015, ECLI:NL:RBA</w:t>
      </w:r>
      <w:r w:rsidRPr="007901C4">
        <w:rPr>
          <w:sz w:val="18"/>
          <w:szCs w:val="18"/>
        </w:rPr>
        <w:t xml:space="preserve">MS:2015:7278, Rb Rotterdam (ktr.) 11 november 2016, ECLI:NL:RBROT:2016:8668, Rb Limburg (ktr.) 27 januari 2016, ECLI:NL:RBLIM:2016:661, Hof ’s-Hertogenbosch, 10 november 2016, ECLI:NL:GHSHE:2016:5001 </w:t>
      </w:r>
    </w:p>
  </w:footnote>
  <w:footnote w:id="104">
    <w:p w:rsidR="00F66488" w:rsidRPr="004609D3" w:rsidRDefault="00F66488" w:rsidP="005C5EBB">
      <w:pPr>
        <w:pStyle w:val="Geenafstand"/>
        <w:rPr>
          <w:sz w:val="18"/>
          <w:szCs w:val="18"/>
        </w:rPr>
      </w:pPr>
      <w:r w:rsidRPr="006F7831">
        <w:rPr>
          <w:rStyle w:val="Voetnootmarkering"/>
          <w:sz w:val="18"/>
          <w:szCs w:val="18"/>
        </w:rPr>
        <w:footnoteRef/>
      </w:r>
      <w:r w:rsidRPr="006F7831">
        <w:rPr>
          <w:sz w:val="18"/>
          <w:szCs w:val="18"/>
        </w:rPr>
        <w:t xml:space="preserve"> </w:t>
      </w:r>
      <w:r w:rsidRPr="004609D3">
        <w:rPr>
          <w:sz w:val="18"/>
          <w:szCs w:val="18"/>
        </w:rPr>
        <w:t>Rb Rotterdam (ktr.) 11 november 2016, ECLI:NL:RBROT:2016:8668</w:t>
      </w:r>
    </w:p>
  </w:footnote>
  <w:footnote w:id="105">
    <w:p w:rsidR="00F66488" w:rsidRPr="007901C4" w:rsidRDefault="00F66488">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Rb Limburg (ktr.) 1 september 2016, ECLI:NL:RBLIM:2016:7622</w:t>
      </w:r>
    </w:p>
  </w:footnote>
  <w:footnote w:id="106">
    <w:p w:rsidR="00F66488" w:rsidRPr="007901C4" w:rsidRDefault="00F66488">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Rb Noord-Holland 28 juni 2016 (ktr.) ECLI:NL:RBNHO:2016:5447</w:t>
      </w:r>
    </w:p>
  </w:footnote>
  <w:footnote w:id="107">
    <w:p w:rsidR="00F66488" w:rsidRPr="0033210E" w:rsidRDefault="00F66488" w:rsidP="006F7831">
      <w:pPr>
        <w:pStyle w:val="Geenafstand"/>
        <w:rPr>
          <w:sz w:val="18"/>
          <w:szCs w:val="18"/>
        </w:rPr>
      </w:pPr>
      <w:r w:rsidRPr="004609D3">
        <w:rPr>
          <w:rStyle w:val="Voetnootmarkering"/>
          <w:sz w:val="18"/>
          <w:szCs w:val="18"/>
        </w:rPr>
        <w:footnoteRef/>
      </w:r>
      <w:r w:rsidRPr="00187249">
        <w:rPr>
          <w:sz w:val="18"/>
          <w:szCs w:val="18"/>
        </w:rPr>
        <w:t xml:space="preserve"> Hof ’s-Hertogenbosch, 10 november 2</w:t>
      </w:r>
      <w:r w:rsidRPr="0033210E">
        <w:rPr>
          <w:sz w:val="18"/>
          <w:szCs w:val="18"/>
        </w:rPr>
        <w:t xml:space="preserve">016, ECLI:NL:GHSHE:2016:5001 </w:t>
      </w:r>
    </w:p>
  </w:footnote>
  <w:footnote w:id="108">
    <w:p w:rsidR="00F66488" w:rsidRPr="007901C4" w:rsidRDefault="00F66488" w:rsidP="002942ED">
      <w:pPr>
        <w:pStyle w:val="Geenafstand"/>
        <w:rPr>
          <w:sz w:val="18"/>
          <w:szCs w:val="18"/>
        </w:rPr>
      </w:pPr>
      <w:r w:rsidRPr="00B27870">
        <w:rPr>
          <w:rStyle w:val="Voetnootmarkering"/>
          <w:sz w:val="18"/>
          <w:szCs w:val="18"/>
        </w:rPr>
        <w:footnoteRef/>
      </w:r>
      <w:r w:rsidRPr="007901C4">
        <w:rPr>
          <w:sz w:val="18"/>
          <w:szCs w:val="18"/>
        </w:rPr>
        <w:t xml:space="preserve"> Rb Limburg (ktr.) 27 januari 2016, ECLI:NL:RBLIM:2016:661</w:t>
      </w:r>
    </w:p>
  </w:footnote>
  <w:footnote w:id="109">
    <w:p w:rsidR="00F66488" w:rsidRPr="007901C4" w:rsidRDefault="00F66488" w:rsidP="005C5EBB">
      <w:pPr>
        <w:pStyle w:val="Geenafstand"/>
        <w:rPr>
          <w:sz w:val="18"/>
          <w:szCs w:val="18"/>
        </w:rPr>
      </w:pPr>
      <w:r w:rsidRPr="007901C4">
        <w:rPr>
          <w:rStyle w:val="Voetnootmarkering"/>
          <w:sz w:val="18"/>
          <w:szCs w:val="18"/>
        </w:rPr>
        <w:footnoteRef/>
      </w:r>
      <w:r w:rsidRPr="007901C4">
        <w:rPr>
          <w:sz w:val="18"/>
          <w:szCs w:val="18"/>
        </w:rPr>
        <w:t xml:space="preserve"> Rb Noord-Holland (ktr.), 27 oktober 2015, ECLI:NL:RBNHO:2015:9470</w:t>
      </w:r>
    </w:p>
  </w:footnote>
  <w:footnote w:id="110">
    <w:p w:rsidR="00F66488" w:rsidRPr="007901C4" w:rsidRDefault="00F66488" w:rsidP="00355B4A">
      <w:pPr>
        <w:pStyle w:val="Geenafstand"/>
        <w:rPr>
          <w:sz w:val="18"/>
          <w:szCs w:val="18"/>
          <w:lang w:eastAsia="ja-JP"/>
        </w:rPr>
      </w:pPr>
      <w:r w:rsidRPr="007901C4">
        <w:rPr>
          <w:rStyle w:val="Voetnootmarkering"/>
          <w:sz w:val="18"/>
          <w:szCs w:val="18"/>
        </w:rPr>
        <w:footnoteRef/>
      </w:r>
      <w:r w:rsidRPr="007901C4">
        <w:rPr>
          <w:sz w:val="18"/>
          <w:szCs w:val="18"/>
        </w:rPr>
        <w:t xml:space="preserve"> Rb Haarlem (ktr.) 28 juli 2016, ECLI:NL:RBNHO:2016:6300</w:t>
      </w:r>
    </w:p>
  </w:footnote>
  <w:footnote w:id="111">
    <w:p w:rsidR="00F66488" w:rsidRPr="007901C4" w:rsidRDefault="00F66488" w:rsidP="00355B4A">
      <w:pPr>
        <w:pStyle w:val="Geenafstand"/>
        <w:rPr>
          <w:sz w:val="18"/>
          <w:szCs w:val="18"/>
        </w:rPr>
      </w:pPr>
      <w:r w:rsidRPr="007901C4">
        <w:rPr>
          <w:rStyle w:val="Voetnootmarkering"/>
          <w:sz w:val="18"/>
          <w:szCs w:val="18"/>
        </w:rPr>
        <w:footnoteRef/>
      </w:r>
      <w:r w:rsidRPr="007901C4">
        <w:rPr>
          <w:sz w:val="18"/>
          <w:szCs w:val="18"/>
        </w:rPr>
        <w:t xml:space="preserve"> Rb (ktr.) Overijssel (ktr.) 18 maart 2016, ECLI:NL:RBOVE:2016:939</w:t>
      </w:r>
    </w:p>
  </w:footnote>
  <w:footnote w:id="112">
    <w:p w:rsidR="00F66488" w:rsidRPr="007901C4" w:rsidRDefault="00F66488" w:rsidP="001A05E3">
      <w:pPr>
        <w:pStyle w:val="Voetnoottekst"/>
        <w:rPr>
          <w:sz w:val="18"/>
          <w:szCs w:val="18"/>
        </w:rPr>
      </w:pPr>
      <w:r>
        <w:rPr>
          <w:rStyle w:val="Voetnootmarkering"/>
        </w:rPr>
        <w:footnoteRef/>
      </w:r>
      <w:r>
        <w:t xml:space="preserve"> </w:t>
      </w:r>
      <w:r w:rsidRPr="007901C4">
        <w:rPr>
          <w:sz w:val="18"/>
          <w:szCs w:val="18"/>
        </w:rPr>
        <w:t>R</w:t>
      </w:r>
      <w:r w:rsidRPr="004609D3">
        <w:rPr>
          <w:sz w:val="18"/>
          <w:szCs w:val="18"/>
        </w:rPr>
        <w:t>b Den Haag (ktr.) 3 februari 2016, ECLI:NL:RBDHA:2016:761, Rb Noord- Hollland (ktr.), Rb Limburg (ktr.) 1 augustus 2016 ECLI:NL:RBLIM:2016:6805, Rb Limburg (ktr.) 13 juli 2016, ECLI:NL:RBLIM:2016:6211, Rb Noord-Nederland (ktr</w:t>
      </w:r>
      <w:r w:rsidRPr="00B27870">
        <w:rPr>
          <w:sz w:val="18"/>
          <w:szCs w:val="18"/>
        </w:rPr>
        <w:t>.) 1 september 2016, ECLI:NL:RBNNE:2016:2300, Rb Rotterdam (ktr.) 28 augustus 2015, E</w:t>
      </w:r>
      <w:r w:rsidRPr="007901C4">
        <w:rPr>
          <w:sz w:val="18"/>
          <w:szCs w:val="18"/>
        </w:rPr>
        <w:t>CLI:NL:RBOBR:2015:5275, Rb Limburg, (ktr.) 23 mei 2016, ECLI:NL:RBLIM:2016:4343, Rb Limburg (ktr.) 1 augustus 2016 ECLI:NL:RBLIM:2016:6805, Rb Limburg (ktr.) 20 juli 2016, ECLI:NL:RBLIM:2016:6261, Rb Den Haag (ktr.) 21 april 2016, ECLI:NL:RBDHA:2016:4333</w:t>
      </w:r>
    </w:p>
  </w:footnote>
  <w:footnote w:id="113">
    <w:p w:rsidR="00F66488" w:rsidRPr="00B27870"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 xml:space="preserve">Rb Den Haag (ktr.) 21 april 2016, ECLI:NL:RBDHA:2016:4333, </w:t>
      </w:r>
      <w:r w:rsidRPr="007901C4">
        <w:rPr>
          <w:sz w:val="18"/>
          <w:szCs w:val="18"/>
        </w:rPr>
        <w:t>R</w:t>
      </w:r>
      <w:r w:rsidRPr="004609D3">
        <w:rPr>
          <w:sz w:val="18"/>
          <w:szCs w:val="18"/>
        </w:rPr>
        <w:t>b Den Haag (ktr.) 3 februari 2016, ECLI:NL:RBDHA:2016:761, Rb Limburg (ktr.) 20 juli 2016, ECLI:NL:RBLIM:2016:</w:t>
      </w:r>
      <w:r w:rsidRPr="00B27870">
        <w:rPr>
          <w:sz w:val="18"/>
          <w:szCs w:val="18"/>
        </w:rPr>
        <w:t>6261, Rb Den Haag (ktr.) 21 april 2016, ECLI:NL:RBDHA:2016:4333</w:t>
      </w:r>
    </w:p>
  </w:footnote>
  <w:footnote w:id="114">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Noord-Nederland (ktr.) 1 september 2016, ECLI:NL:RBNNE:2016:2300</w:t>
      </w:r>
    </w:p>
  </w:footnote>
  <w:footnote w:id="115">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Limburg (ktr.) 13 juli 2016, ECLI:NL:RBLIM:2016:6211</w:t>
      </w:r>
    </w:p>
  </w:footnote>
  <w:footnote w:id="116">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Noord-Nederland (ktr.), 24 februari 2016, ECLI:NL:RBNNE:2016:756</w:t>
      </w:r>
    </w:p>
  </w:footnote>
  <w:footnote w:id="117">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Limburg, (ktr.) 23 mei 2016, ECLI:NL:RBLIM:2016:4343</w:t>
      </w:r>
    </w:p>
  </w:footnote>
  <w:footnote w:id="118">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Rotterdam (ktr.) 28 augustus 2015, ECLI:NL:RBOBR:2015:5275</w:t>
      </w:r>
    </w:p>
  </w:footnote>
  <w:footnote w:id="119">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R</w:t>
      </w:r>
      <w:r w:rsidRPr="004609D3">
        <w:rPr>
          <w:sz w:val="18"/>
          <w:szCs w:val="18"/>
        </w:rPr>
        <w:t>b Den Haag (ktr.) 3 februari 2016, ECLI:NL:RBDHA:2016:761</w:t>
      </w:r>
    </w:p>
  </w:footnote>
  <w:footnote w:id="120">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Hof Arnhem-Leeuwarden 19 augustus 2016 ECLI:NL:GHARL:2016:6792</w:t>
      </w:r>
    </w:p>
  </w:footnote>
  <w:footnote w:id="121">
    <w:p w:rsidR="00F66488" w:rsidRPr="00B27870" w:rsidRDefault="00F66488" w:rsidP="00D97CEA">
      <w:pPr>
        <w:pStyle w:val="Voetnoottekst"/>
        <w:rPr>
          <w:sz w:val="18"/>
          <w:szCs w:val="18"/>
        </w:rPr>
      </w:pPr>
      <w:r>
        <w:rPr>
          <w:rStyle w:val="Voetnootmarkering"/>
          <w:sz w:val="18"/>
          <w:szCs w:val="18"/>
        </w:rPr>
        <w:footnoteRef/>
      </w:r>
      <w:r>
        <w:rPr>
          <w:sz w:val="18"/>
          <w:szCs w:val="18"/>
        </w:rPr>
        <w:t xml:space="preserve"> </w:t>
      </w:r>
      <w:r w:rsidRPr="004609D3">
        <w:rPr>
          <w:sz w:val="18"/>
          <w:szCs w:val="18"/>
        </w:rPr>
        <w:t>Rb Limburg (ktr.) 20 juli 2016, ECLI:NL:RBLIM:2016:6261, Rb Rotterdam, (ktr.) 19 april 2016, ECLI:NL:RBROT:2016:285</w:t>
      </w:r>
      <w:r w:rsidRPr="00187249">
        <w:rPr>
          <w:sz w:val="18"/>
          <w:szCs w:val="18"/>
          <w:lang w:eastAsia="ja-JP"/>
        </w:rPr>
        <w:t xml:space="preserve">7, </w:t>
      </w:r>
      <w:r w:rsidRPr="00B27870">
        <w:rPr>
          <w:sz w:val="18"/>
          <w:szCs w:val="18"/>
        </w:rPr>
        <w:t xml:space="preserve">Rb Amsterdam (ktr.) 8 december 2015, ECLI:NL:RBAMS:2015:8949, Rb Noord-Holland, 17 mei 2016, ECLI:NL:RBNHO:2016:4052, </w:t>
      </w:r>
    </w:p>
  </w:footnote>
  <w:footnote w:id="122">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Noord-Holland,</w:t>
      </w:r>
      <w:r w:rsidRPr="00187249">
        <w:rPr>
          <w:sz w:val="18"/>
          <w:szCs w:val="18"/>
        </w:rPr>
        <w:t xml:space="preserve"> 17 mei 2016, ECLI:NL:RBNHO:2016:4052</w:t>
      </w:r>
    </w:p>
  </w:footnote>
  <w:footnote w:id="123">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Amsterdam (ktr.) 8 december 2015, ECLI:NL:RBAMS:2015:8949</w:t>
      </w:r>
    </w:p>
  </w:footnote>
  <w:footnote w:id="124">
    <w:p w:rsidR="00F66488" w:rsidRPr="007901C4" w:rsidRDefault="00F66488" w:rsidP="001A05E3">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Rotterdam, (ktr.) 19 april 2016, ECLI:NL:RBROT:2016:285</w:t>
      </w:r>
      <w:r w:rsidRPr="00187249">
        <w:rPr>
          <w:sz w:val="18"/>
          <w:szCs w:val="18"/>
          <w:lang w:eastAsia="ja-JP"/>
        </w:rPr>
        <w:t>7</w:t>
      </w:r>
    </w:p>
  </w:footnote>
  <w:footnote w:id="125">
    <w:p w:rsidR="00F66488" w:rsidRPr="007901C4" w:rsidRDefault="00F66488" w:rsidP="001A05E3">
      <w:pPr>
        <w:pStyle w:val="Voetnoottekst"/>
        <w:rPr>
          <w:sz w:val="18"/>
          <w:szCs w:val="18"/>
        </w:rPr>
      </w:pPr>
      <w:r w:rsidRPr="004609D3">
        <w:rPr>
          <w:rStyle w:val="Voetnootmarkering"/>
          <w:sz w:val="18"/>
          <w:szCs w:val="18"/>
        </w:rPr>
        <w:footnoteRef/>
      </w:r>
      <w:r w:rsidRPr="00187249">
        <w:rPr>
          <w:sz w:val="18"/>
          <w:szCs w:val="18"/>
        </w:rPr>
        <w:t xml:space="preserve"> Rb. Enschede (</w:t>
      </w:r>
      <w:r w:rsidRPr="00E60283">
        <w:rPr>
          <w:sz w:val="18"/>
          <w:szCs w:val="18"/>
        </w:rPr>
        <w:t>ktr.</w:t>
      </w:r>
      <w:r w:rsidRPr="00B27870">
        <w:rPr>
          <w:sz w:val="18"/>
          <w:szCs w:val="18"/>
        </w:rPr>
        <w:t xml:space="preserve">) 20 augustus 2015, ECLI:NL:RBOVE:2015:3899, Hof </w:t>
      </w:r>
      <w:r w:rsidRPr="00207EB1">
        <w:rPr>
          <w:bCs/>
          <w:color w:val="000000"/>
          <w:sz w:val="18"/>
          <w:szCs w:val="18"/>
          <w:shd w:val="clear" w:color="auto" w:fill="FFFFFF"/>
        </w:rPr>
        <w:t xml:space="preserve">’s-Hertogenbosch 21 april 2016, </w:t>
      </w:r>
      <w:r w:rsidRPr="007901C4">
        <w:rPr>
          <w:sz w:val="18"/>
          <w:szCs w:val="18"/>
        </w:rPr>
        <w:t>ECLI:NL:GHSHE:2016:1538</w:t>
      </w:r>
    </w:p>
  </w:footnote>
  <w:footnote w:id="126">
    <w:p w:rsidR="00F66488" w:rsidRPr="007901C4" w:rsidRDefault="00F66488">
      <w:pPr>
        <w:pStyle w:val="Voetnoottekst"/>
        <w:rPr>
          <w:sz w:val="18"/>
          <w:szCs w:val="18"/>
          <w:lang w:val="en-US"/>
        </w:rPr>
      </w:pPr>
      <w:r w:rsidRPr="007901C4">
        <w:rPr>
          <w:rStyle w:val="Voetnootmarkering"/>
          <w:sz w:val="18"/>
          <w:szCs w:val="18"/>
        </w:rPr>
        <w:footnoteRef/>
      </w:r>
      <w:r w:rsidRPr="007901C4">
        <w:rPr>
          <w:sz w:val="18"/>
          <w:szCs w:val="18"/>
          <w:lang w:val="en-US"/>
        </w:rPr>
        <w:t xml:space="preserve"> </w:t>
      </w:r>
      <w:r w:rsidRPr="004609D3">
        <w:rPr>
          <w:sz w:val="18"/>
          <w:szCs w:val="18"/>
          <w:lang w:val="en-US"/>
        </w:rPr>
        <w:t xml:space="preserve">Hof </w:t>
      </w:r>
      <w:r w:rsidRPr="00187249">
        <w:rPr>
          <w:bCs/>
          <w:color w:val="000000"/>
          <w:sz w:val="18"/>
          <w:szCs w:val="18"/>
          <w:shd w:val="clear" w:color="auto" w:fill="FFFFFF"/>
          <w:lang w:val="en-US"/>
        </w:rPr>
        <w:t xml:space="preserve">’s-Hertogenbosch 21 april 2016, </w:t>
      </w:r>
      <w:r w:rsidRPr="0033210E">
        <w:rPr>
          <w:sz w:val="18"/>
          <w:szCs w:val="18"/>
          <w:lang w:val="en-US"/>
        </w:rPr>
        <w:t>ECLI:NL:GHSHE:2016:1538</w:t>
      </w:r>
    </w:p>
  </w:footnote>
  <w:footnote w:id="127">
    <w:p w:rsidR="00F66488" w:rsidRPr="007901C4" w:rsidRDefault="00F66488" w:rsidP="004854F0">
      <w:pPr>
        <w:pStyle w:val="Voetnoottekst"/>
        <w:rPr>
          <w:sz w:val="18"/>
          <w:szCs w:val="18"/>
        </w:rPr>
      </w:pPr>
      <w:r>
        <w:rPr>
          <w:rStyle w:val="Voetnootmarkering"/>
        </w:rPr>
        <w:footnoteRef/>
      </w:r>
      <w:r w:rsidRPr="00A33370">
        <w:rPr>
          <w:lang w:val="en-US"/>
        </w:rPr>
        <w:t xml:space="preserve"> </w:t>
      </w:r>
      <w:r w:rsidRPr="004609D3">
        <w:rPr>
          <w:sz w:val="18"/>
          <w:szCs w:val="18"/>
          <w:lang w:val="en-US"/>
        </w:rPr>
        <w:t>Rb Limburg (ktr.) 27 januari 2016, ECLI:NL:RBLIM:2016:661,</w:t>
      </w:r>
      <w:r w:rsidRPr="00187249">
        <w:rPr>
          <w:sz w:val="18"/>
          <w:szCs w:val="18"/>
          <w:lang w:val="en-US"/>
        </w:rPr>
        <w:t xml:space="preserve"> </w:t>
      </w:r>
      <w:r w:rsidRPr="0033210E">
        <w:rPr>
          <w:sz w:val="18"/>
          <w:szCs w:val="18"/>
          <w:lang w:val="en-US"/>
        </w:rPr>
        <w:t xml:space="preserve">Rb Amsterdam (ktr.) 17 mei 2016, ECLI:NL:RBAMS:2016:3068, </w:t>
      </w:r>
      <w:r w:rsidRPr="00E60283">
        <w:rPr>
          <w:rFonts w:hint="eastAsia"/>
          <w:sz w:val="18"/>
          <w:szCs w:val="18"/>
          <w:lang w:val="en-US" w:eastAsia="ja-JP"/>
        </w:rPr>
        <w:t xml:space="preserve">Rb Limburg (ktr.)1 september 2016, </w:t>
      </w:r>
      <w:r w:rsidRPr="00B27870">
        <w:rPr>
          <w:sz w:val="18"/>
          <w:szCs w:val="18"/>
          <w:lang w:val="en-US" w:eastAsia="ja-JP"/>
        </w:rPr>
        <w:t>ECLI:NL:RBLIM:2016:7622</w:t>
      </w:r>
      <w:r w:rsidRPr="009E5063">
        <w:rPr>
          <w:sz w:val="18"/>
          <w:szCs w:val="18"/>
          <w:lang w:val="en-US"/>
        </w:rPr>
        <w:t>, Hof ’s-Hertogenbosch 23 juni 2016, ECLI:NL:GHSHE:2016:2514, Rb N</w:t>
      </w:r>
      <w:r w:rsidRPr="007901C4">
        <w:rPr>
          <w:sz w:val="18"/>
          <w:szCs w:val="18"/>
          <w:lang w:val="en-US"/>
        </w:rPr>
        <w:t xml:space="preserve">oord Nederland 14 juli 2016, ECLI:NL:RBNNE:2016:3628, Rb Noord-Holland 28 juni 2016 (ktr.) </w:t>
      </w:r>
      <w:r w:rsidRPr="007901C4">
        <w:rPr>
          <w:sz w:val="18"/>
          <w:szCs w:val="18"/>
        </w:rPr>
        <w:t xml:space="preserve">ECLI:NL:RBNHO:2016:5447, Rb Utrecht (ktr.), 27 mei 2016, ECLI:NL:RBMNE:2016:2980, </w:t>
      </w:r>
      <w:r w:rsidRPr="007901C4">
        <w:rPr>
          <w:sz w:val="18"/>
          <w:szCs w:val="18"/>
          <w:lang w:eastAsia="ja-JP"/>
        </w:rPr>
        <w:t>Rb Rotterdam, 15 december 2016, ECLI:NL:RBROT:2016:9728</w:t>
      </w:r>
    </w:p>
  </w:footnote>
  <w:footnote w:id="128">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Max. €500,00 aan billijke vergoeding van bij een kort dienstverband van nog geen jaar </w:t>
      </w:r>
    </w:p>
  </w:footnote>
  <w:footnote w:id="129">
    <w:p w:rsidR="00F66488" w:rsidRPr="00E60283" w:rsidRDefault="00F66488" w:rsidP="00FE2A69">
      <w:pPr>
        <w:pStyle w:val="Voetnoottekst"/>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Rb Amsterdam (ktr.) 17 mei 2016, ECLI:NL:RBAMS:2016:3068</w:t>
      </w:r>
      <w:r w:rsidRPr="00187249">
        <w:rPr>
          <w:sz w:val="18"/>
          <w:szCs w:val="18"/>
        </w:rPr>
        <w:t xml:space="preserve">, </w:t>
      </w:r>
      <w:r w:rsidRPr="0033210E">
        <w:rPr>
          <w:rFonts w:hint="eastAsia"/>
          <w:sz w:val="18"/>
          <w:szCs w:val="18"/>
          <w:lang w:eastAsia="ja-JP"/>
        </w:rPr>
        <w:t>Rb Limburg (ktr.)</w:t>
      </w:r>
    </w:p>
    <w:p w:rsidR="00F66488" w:rsidRPr="007901C4" w:rsidRDefault="00F66488" w:rsidP="00FE2A69">
      <w:pPr>
        <w:pStyle w:val="Voetnoottekst"/>
        <w:rPr>
          <w:sz w:val="18"/>
          <w:szCs w:val="18"/>
        </w:rPr>
      </w:pPr>
      <w:r w:rsidRPr="00B27870">
        <w:rPr>
          <w:rFonts w:hint="eastAsia"/>
          <w:sz w:val="18"/>
          <w:szCs w:val="18"/>
          <w:lang w:eastAsia="ja-JP"/>
        </w:rPr>
        <w:t xml:space="preserve">1 september 2016, </w:t>
      </w:r>
      <w:r w:rsidRPr="009E5063">
        <w:rPr>
          <w:sz w:val="18"/>
          <w:szCs w:val="18"/>
          <w:lang w:eastAsia="ja-JP"/>
        </w:rPr>
        <w:t xml:space="preserve">ECLI:NL:RBLIM:2016:7622, </w:t>
      </w:r>
      <w:r w:rsidRPr="006E17D4">
        <w:rPr>
          <w:sz w:val="18"/>
          <w:szCs w:val="18"/>
        </w:rPr>
        <w:t>Rb Limburg (ktr.) 27 januari 2016, ECLI:NL:RBLIM:2016:661,</w:t>
      </w:r>
    </w:p>
  </w:footnote>
  <w:footnote w:id="130">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Overijssel (ktr.) 13 septembe</w:t>
      </w:r>
      <w:r w:rsidRPr="00187249">
        <w:rPr>
          <w:sz w:val="18"/>
          <w:szCs w:val="18"/>
        </w:rPr>
        <w:t xml:space="preserve">r 2016, ECLI:NL:RBOVE:2016:3438; </w:t>
      </w:r>
      <w:r w:rsidRPr="007901C4">
        <w:rPr>
          <w:sz w:val="18"/>
          <w:szCs w:val="18"/>
        </w:rPr>
        <w:t>€ 2.500,00 aan billijke vergoeding</w:t>
      </w:r>
    </w:p>
  </w:footnote>
  <w:footnote w:id="131">
    <w:p w:rsidR="00F66488" w:rsidRPr="007901C4" w:rsidRDefault="00F66488" w:rsidP="00934B5E">
      <w:pPr>
        <w:pStyle w:val="Voetnoottekst"/>
        <w:rPr>
          <w:sz w:val="18"/>
          <w:szCs w:val="18"/>
        </w:rPr>
      </w:pPr>
      <w:r>
        <w:rPr>
          <w:rStyle w:val="Voetnootmarkering"/>
        </w:rPr>
        <w:footnoteRef/>
      </w:r>
      <w:r>
        <w:t xml:space="preserve"> </w:t>
      </w:r>
      <w:r w:rsidRPr="004609D3">
        <w:rPr>
          <w:sz w:val="18"/>
          <w:szCs w:val="18"/>
        </w:rPr>
        <w:t>Rb Noord-Nederland 14 juli 2016, ECLI:NL:RBNNE:2016:3628</w:t>
      </w:r>
      <w:r w:rsidRPr="00187249">
        <w:rPr>
          <w:sz w:val="18"/>
          <w:szCs w:val="18"/>
        </w:rPr>
        <w:t xml:space="preserve">; </w:t>
      </w:r>
      <w:r w:rsidRPr="007901C4">
        <w:rPr>
          <w:sz w:val="18"/>
          <w:szCs w:val="18"/>
        </w:rPr>
        <w:t>€ 9.222,50 aan billijke vergoeding bij een dienstverband van bijna 5 jaar</w:t>
      </w:r>
    </w:p>
  </w:footnote>
  <w:footnote w:id="132">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w:t>
      </w:r>
      <w:r w:rsidRPr="00187249">
        <w:rPr>
          <w:sz w:val="18"/>
          <w:szCs w:val="18"/>
        </w:rPr>
        <w:t>ord-Holland 28 juni 2016 (ktr.) ECLI:NL:RBNHO:2016:5447</w:t>
      </w:r>
    </w:p>
  </w:footnote>
  <w:footnote w:id="133">
    <w:p w:rsidR="00F66488" w:rsidRPr="00187249" w:rsidRDefault="00F66488" w:rsidP="009D1E2D">
      <w:pPr>
        <w:pStyle w:val="Geenafstand"/>
        <w:rPr>
          <w:sz w:val="18"/>
          <w:szCs w:val="18"/>
          <w:lang w:eastAsia="ja-JP"/>
        </w:rPr>
      </w:pPr>
      <w:r w:rsidRPr="007901C4">
        <w:rPr>
          <w:rStyle w:val="Voetnootmarkering"/>
          <w:sz w:val="18"/>
          <w:szCs w:val="18"/>
        </w:rPr>
        <w:footnoteRef/>
      </w:r>
      <w:r w:rsidRPr="007901C4">
        <w:rPr>
          <w:sz w:val="18"/>
          <w:szCs w:val="18"/>
        </w:rPr>
        <w:t xml:space="preserve"> </w:t>
      </w:r>
      <w:r w:rsidRPr="004609D3">
        <w:rPr>
          <w:sz w:val="18"/>
          <w:szCs w:val="18"/>
        </w:rPr>
        <w:t>Rb Utrecht (ktr.), 27 mei 2016, ECLI:NL:RBMNE:2016:2980</w:t>
      </w:r>
      <w:r w:rsidRPr="00187249">
        <w:rPr>
          <w:sz w:val="18"/>
          <w:szCs w:val="18"/>
        </w:rPr>
        <w:t xml:space="preserve">; </w:t>
      </w:r>
      <w:r w:rsidRPr="0033210E">
        <w:rPr>
          <w:sz w:val="18"/>
          <w:szCs w:val="18"/>
        </w:rPr>
        <w:t>€ 5.000</w:t>
      </w:r>
      <w:r w:rsidRPr="007901C4">
        <w:rPr>
          <w:sz w:val="18"/>
          <w:szCs w:val="18"/>
        </w:rPr>
        <w:t xml:space="preserve"> aan billijke vergoeding</w:t>
      </w:r>
      <w:r w:rsidRPr="004609D3">
        <w:rPr>
          <w:sz w:val="18"/>
          <w:szCs w:val="18"/>
        </w:rPr>
        <w:t xml:space="preserve">, </w:t>
      </w:r>
      <w:r w:rsidRPr="00187249">
        <w:rPr>
          <w:sz w:val="18"/>
          <w:szCs w:val="18"/>
          <w:lang w:eastAsia="ja-JP"/>
        </w:rPr>
        <w:t xml:space="preserve">Rb Limburg, 27 januari 2016 (ktr.) </w:t>
      </w:r>
      <w:r w:rsidRPr="0033210E">
        <w:rPr>
          <w:sz w:val="18"/>
          <w:szCs w:val="18"/>
        </w:rPr>
        <w:t>ECLI:NL:RBLIM:2016:661</w:t>
      </w:r>
      <w:r w:rsidRPr="00E60283">
        <w:rPr>
          <w:sz w:val="18"/>
          <w:szCs w:val="18"/>
        </w:rPr>
        <w:t>; D</w:t>
      </w:r>
      <w:r w:rsidRPr="007901C4">
        <w:rPr>
          <w:sz w:val="18"/>
          <w:szCs w:val="18"/>
        </w:rPr>
        <w:t xml:space="preserve">ienstverband van 7 weken en een billijke vergoeding van </w:t>
      </w:r>
      <w:r w:rsidRPr="004609D3">
        <w:rPr>
          <w:sz w:val="18"/>
          <w:szCs w:val="18"/>
        </w:rPr>
        <w:t>€ 4.500,00</w:t>
      </w:r>
    </w:p>
  </w:footnote>
  <w:footnote w:id="134">
    <w:p w:rsidR="00F66488" w:rsidRPr="007901C4" w:rsidRDefault="00F66488" w:rsidP="00783C3B">
      <w:pPr>
        <w:pStyle w:val="Geenafstand"/>
        <w:rPr>
          <w:sz w:val="18"/>
          <w:szCs w:val="18"/>
        </w:rPr>
      </w:pPr>
      <w:r w:rsidRPr="00B27870">
        <w:rPr>
          <w:rStyle w:val="Voetnootmarkering"/>
          <w:sz w:val="18"/>
          <w:szCs w:val="18"/>
        </w:rPr>
        <w:footnoteRef/>
      </w:r>
      <w:r w:rsidRPr="00156C6F">
        <w:rPr>
          <w:rFonts w:hint="eastAsia"/>
          <w:sz w:val="18"/>
          <w:szCs w:val="18"/>
          <w:lang w:eastAsia="ja-JP"/>
        </w:rPr>
        <w:t xml:space="preserve"> </w:t>
      </w:r>
      <w:r w:rsidRPr="00156C6F">
        <w:rPr>
          <w:sz w:val="18"/>
          <w:szCs w:val="18"/>
        </w:rPr>
        <w:t>Rb. Amsterdam (ktr.) 7 december 2015, ECLI:NL:RBAMS:2015:8752, Rb Noord-Holland 28 juni 2016 (ktr.) ECLI:NL:RBNHO:2016:5447, Rb Amersfoort (ktr.) 15 oktober 2016 ECLI:NL:RBMNE:2015:7538, Hof Arnhem-Leeuwarden 31 maart 2016, ECLI:NL:GHARL:2016:2601, Hof ’s-H</w:t>
      </w:r>
      <w:r w:rsidRPr="007901C4">
        <w:rPr>
          <w:sz w:val="18"/>
          <w:szCs w:val="18"/>
        </w:rPr>
        <w:t>ertogenbosch 10 november 2016, ECLI:NL:GHSHE:2016:5001, Rb Rotterdam (ktr.) 11 december 2015, ECLI:NL:RBROT:2015:9963, Rb Alkmaar (ktr.) 18 december 2015, ECLI:NL:RBNHO:2015:11461, Rechtbank Overijssel (ktr.) 18 maart 2016, ECLI:NL:RBOVE:2016:939</w:t>
      </w:r>
      <w:r w:rsidRPr="007901C4">
        <w:rPr>
          <w:rFonts w:hint="eastAsia"/>
          <w:sz w:val="18"/>
          <w:szCs w:val="18"/>
          <w:lang w:eastAsia="ja-JP"/>
        </w:rPr>
        <w:t>,</w:t>
      </w:r>
    </w:p>
  </w:footnote>
  <w:footnote w:id="135">
    <w:p w:rsidR="00F66488" w:rsidRPr="007901C4" w:rsidRDefault="00F66488" w:rsidP="008222D0">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Noord-Holland 28 juni 2016 (ktr.) ECLI:NL:RBNHO:2016:5447</w:t>
      </w:r>
      <w:r w:rsidRPr="00187249">
        <w:rPr>
          <w:sz w:val="18"/>
          <w:szCs w:val="18"/>
        </w:rPr>
        <w:t xml:space="preserve"> </w:t>
      </w:r>
    </w:p>
  </w:footnote>
  <w:footnote w:id="136">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Amsterdam (</w:t>
      </w:r>
      <w:r w:rsidRPr="0033210E">
        <w:rPr>
          <w:sz w:val="18"/>
          <w:szCs w:val="18"/>
        </w:rPr>
        <w:t>ktr.</w:t>
      </w:r>
      <w:r w:rsidRPr="00E60283">
        <w:rPr>
          <w:sz w:val="18"/>
          <w:szCs w:val="18"/>
        </w:rPr>
        <w:t>) 7 december 2015, ECLI:NL:RBAMS:2015:8752</w:t>
      </w:r>
      <w:r w:rsidRPr="00B27870">
        <w:rPr>
          <w:sz w:val="18"/>
          <w:szCs w:val="18"/>
        </w:rPr>
        <w:t xml:space="preserve"> </w:t>
      </w:r>
      <w:r w:rsidRPr="007901C4">
        <w:rPr>
          <w:sz w:val="18"/>
          <w:szCs w:val="18"/>
        </w:rPr>
        <w:t xml:space="preserve">€ 40.000 aan billijke vergoeding, </w:t>
      </w:r>
      <w:r w:rsidRPr="004609D3">
        <w:rPr>
          <w:sz w:val="18"/>
          <w:szCs w:val="18"/>
        </w:rPr>
        <w:t>Rb Den Haag (ktr.) 17 maart 2016, ECLI:NL:RBDHA:2016:3404</w:t>
      </w:r>
      <w:r w:rsidRPr="00187249">
        <w:rPr>
          <w:sz w:val="18"/>
          <w:szCs w:val="18"/>
        </w:rPr>
        <w:t xml:space="preserve"> </w:t>
      </w:r>
      <w:r w:rsidRPr="0033210E">
        <w:rPr>
          <w:sz w:val="18"/>
          <w:szCs w:val="18"/>
        </w:rPr>
        <w:sym w:font="Wingdings" w:char="F0E0"/>
      </w:r>
      <w:r w:rsidRPr="00E60283">
        <w:rPr>
          <w:sz w:val="18"/>
          <w:szCs w:val="18"/>
        </w:rPr>
        <w:t xml:space="preserve"> € 35.000 aan billijke vergoeding</w:t>
      </w:r>
    </w:p>
  </w:footnote>
  <w:footnote w:id="137">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Amsterdam (</w:t>
      </w:r>
      <w:r w:rsidRPr="0033210E">
        <w:rPr>
          <w:sz w:val="18"/>
          <w:szCs w:val="18"/>
        </w:rPr>
        <w:t>ktr.</w:t>
      </w:r>
      <w:r w:rsidRPr="00E60283">
        <w:rPr>
          <w:sz w:val="18"/>
          <w:szCs w:val="18"/>
        </w:rPr>
        <w:t>) 7 december 2015, ECLI:NL:RBAMS:2015:8752</w:t>
      </w:r>
    </w:p>
  </w:footnote>
  <w:footnote w:id="138">
    <w:p w:rsidR="00F66488" w:rsidRPr="007901C4" w:rsidRDefault="00F66488">
      <w:pPr>
        <w:pStyle w:val="Voetnoottekst"/>
        <w:rPr>
          <w:sz w:val="18"/>
          <w:szCs w:val="18"/>
        </w:rPr>
      </w:pPr>
      <w:r>
        <w:rPr>
          <w:rStyle w:val="Voetnootmarkering"/>
        </w:rPr>
        <w:footnoteRef/>
      </w:r>
      <w:r>
        <w:t xml:space="preserve"> </w:t>
      </w:r>
      <w:r w:rsidRPr="004609D3">
        <w:rPr>
          <w:sz w:val="18"/>
          <w:szCs w:val="18"/>
        </w:rPr>
        <w:t xml:space="preserve">Rb Alkmaar (ktr.) 18 </w:t>
      </w:r>
      <w:r w:rsidRPr="00187249">
        <w:rPr>
          <w:sz w:val="18"/>
          <w:szCs w:val="18"/>
        </w:rPr>
        <w:t>december 2015, ECLI:NL:RBNHO:2015:11461</w:t>
      </w:r>
      <w:r w:rsidRPr="0033210E">
        <w:rPr>
          <w:sz w:val="18"/>
          <w:szCs w:val="18"/>
        </w:rPr>
        <w:t xml:space="preserve">, </w:t>
      </w:r>
      <w:r w:rsidRPr="00E60283">
        <w:rPr>
          <w:sz w:val="18"/>
          <w:szCs w:val="18"/>
        </w:rPr>
        <w:t>R</w:t>
      </w:r>
      <w:r w:rsidRPr="00B27870">
        <w:rPr>
          <w:sz w:val="18"/>
          <w:szCs w:val="18"/>
        </w:rPr>
        <w:t xml:space="preserve">b Utrecht (ktr.) 18 februari 2016, ECLI:NL:RBMNE:2016:854, </w:t>
      </w:r>
      <w:r w:rsidRPr="007901C4">
        <w:rPr>
          <w:sz w:val="18"/>
          <w:szCs w:val="18"/>
        </w:rPr>
        <w:t xml:space="preserve">Rb. Alkmaar (ktr.) 4 november 2015, </w:t>
      </w:r>
      <w:r w:rsidRPr="004609D3">
        <w:rPr>
          <w:sz w:val="18"/>
          <w:szCs w:val="18"/>
        </w:rPr>
        <w:t>ECLI:NL:RBNHO:2015:9668</w:t>
      </w:r>
    </w:p>
  </w:footnote>
  <w:footnote w:id="139">
    <w:p w:rsidR="00F66488" w:rsidRPr="007901C4" w:rsidRDefault="00F66488" w:rsidP="00A7675F">
      <w:pPr>
        <w:pStyle w:val="Voetnoottekst"/>
        <w:rPr>
          <w:sz w:val="18"/>
          <w:szCs w:val="18"/>
        </w:rPr>
      </w:pPr>
      <w:r w:rsidRPr="007901C4">
        <w:rPr>
          <w:rStyle w:val="Voetnootmarkering"/>
          <w:sz w:val="18"/>
          <w:szCs w:val="18"/>
        </w:rPr>
        <w:footnoteRef/>
      </w:r>
      <w:r w:rsidRPr="007901C4">
        <w:rPr>
          <w:sz w:val="18"/>
          <w:szCs w:val="18"/>
        </w:rPr>
        <w:t xml:space="preserve"> € 6.500,- aan billijke vergoeding bij een dienstverband van ruim 13 jaar </w:t>
      </w:r>
    </w:p>
  </w:footnote>
  <w:footnote w:id="140">
    <w:p w:rsidR="00F66488" w:rsidRPr="007901C4" w:rsidRDefault="00F66488" w:rsidP="00A7675F">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Hof ’s-Hertogenbosch 23 juni 2016, ECLI:NL:GHSHE:2016:2514</w:t>
      </w:r>
    </w:p>
  </w:footnote>
  <w:footnote w:id="141">
    <w:p w:rsidR="00F66488" w:rsidRPr="00156C6F" w:rsidRDefault="00F66488" w:rsidP="00DD3B2F">
      <w:pPr>
        <w:pStyle w:val="Geenafstand"/>
        <w:rPr>
          <w:sz w:val="18"/>
          <w:szCs w:val="18"/>
          <w:lang w:eastAsia="ja-JP"/>
        </w:rPr>
      </w:pPr>
      <w:r w:rsidRPr="004609D3">
        <w:rPr>
          <w:rStyle w:val="Voetnootmarkering"/>
          <w:sz w:val="18"/>
          <w:szCs w:val="18"/>
        </w:rPr>
        <w:footnoteRef/>
      </w:r>
      <w:r w:rsidRPr="00187249">
        <w:rPr>
          <w:sz w:val="18"/>
          <w:szCs w:val="18"/>
        </w:rPr>
        <w:t xml:space="preserve"> Rb Amsterdam (ktr.) 12 april </w:t>
      </w:r>
      <w:r w:rsidRPr="0033210E">
        <w:rPr>
          <w:sz w:val="18"/>
          <w:szCs w:val="18"/>
        </w:rPr>
        <w:t>2016, ECLI:NL:RBAMS:2016:2127,</w:t>
      </w:r>
      <w:r w:rsidRPr="00E60283">
        <w:rPr>
          <w:sz w:val="18"/>
          <w:szCs w:val="18"/>
        </w:rPr>
        <w:t xml:space="preserve"> Rb Haarlem (ktr.) 28 juli 2016</w:t>
      </w:r>
      <w:r w:rsidRPr="007901C4">
        <w:rPr>
          <w:sz w:val="18"/>
          <w:szCs w:val="18"/>
        </w:rPr>
        <w:t xml:space="preserve">, </w:t>
      </w:r>
      <w:r w:rsidRPr="004609D3">
        <w:rPr>
          <w:rFonts w:hint="eastAsia"/>
          <w:sz w:val="18"/>
          <w:szCs w:val="18"/>
          <w:lang w:eastAsia="ja-JP"/>
        </w:rPr>
        <w:t xml:space="preserve">Rb Limburg (ktr.) 1 september 2016, </w:t>
      </w:r>
      <w:r w:rsidRPr="00B27870">
        <w:rPr>
          <w:sz w:val="18"/>
          <w:szCs w:val="18"/>
          <w:lang w:eastAsia="ja-JP"/>
        </w:rPr>
        <w:t xml:space="preserve">ECLI:NL:RBLIM:2016:7622, </w:t>
      </w:r>
      <w:r w:rsidRPr="00156C6F">
        <w:rPr>
          <w:sz w:val="18"/>
          <w:szCs w:val="18"/>
        </w:rPr>
        <w:t>Rb Noord-Holland 28 juni 2016 (ktr.) ECLI:NL:RBNHO:2016:5447</w:t>
      </w:r>
    </w:p>
  </w:footnote>
  <w:footnote w:id="142">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Noord-Holland 28 juni 2016 (ktr.) E</w:t>
      </w:r>
      <w:r w:rsidRPr="00187249">
        <w:rPr>
          <w:sz w:val="18"/>
          <w:szCs w:val="18"/>
        </w:rPr>
        <w:t>CLI:NL:RBNHO:2016:5447</w:t>
      </w:r>
    </w:p>
  </w:footnote>
  <w:footnote w:id="143">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rFonts w:hint="eastAsia"/>
          <w:sz w:val="18"/>
          <w:szCs w:val="18"/>
          <w:lang w:eastAsia="ja-JP"/>
        </w:rPr>
        <w:t xml:space="preserve">Rb Limburg (ktr.) 1 september 2016, </w:t>
      </w:r>
      <w:r w:rsidRPr="00187249">
        <w:rPr>
          <w:sz w:val="18"/>
          <w:szCs w:val="18"/>
          <w:lang w:eastAsia="ja-JP"/>
        </w:rPr>
        <w:t>ECLI:NL:RBLIM:20</w:t>
      </w:r>
      <w:r w:rsidRPr="0033210E">
        <w:rPr>
          <w:sz w:val="18"/>
          <w:szCs w:val="18"/>
          <w:lang w:eastAsia="ja-JP"/>
        </w:rPr>
        <w:t xml:space="preserve">16:7622; Rb Rotterdam, 15 december 2016, </w:t>
      </w:r>
      <w:r w:rsidRPr="00E60283">
        <w:rPr>
          <w:sz w:val="18"/>
          <w:szCs w:val="18"/>
          <w:lang w:eastAsia="ja-JP"/>
        </w:rPr>
        <w:t>ECLI:NL:RBROT:2016:9728</w:t>
      </w:r>
    </w:p>
  </w:footnote>
  <w:footnote w:id="144">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 xml:space="preserve">Rb Amsterdam (ktr.) 12 april </w:t>
      </w:r>
      <w:r w:rsidRPr="00187249">
        <w:rPr>
          <w:sz w:val="18"/>
          <w:szCs w:val="18"/>
        </w:rPr>
        <w:t>2016, ECLI:NL:RBAMS:2016:2127; billijke vergoeding van € 75.000,00 bruto</w:t>
      </w:r>
    </w:p>
  </w:footnote>
  <w:footnote w:id="145">
    <w:p w:rsidR="00F66488" w:rsidRPr="007C5000" w:rsidRDefault="00F66488" w:rsidP="00783C3B">
      <w:pPr>
        <w:pStyle w:val="Voetnoottekst"/>
        <w:rPr>
          <w:sz w:val="18"/>
          <w:szCs w:val="18"/>
        </w:rPr>
      </w:pPr>
      <w:r w:rsidRPr="004609D3">
        <w:rPr>
          <w:rStyle w:val="Voetnootmarkering"/>
          <w:sz w:val="18"/>
          <w:szCs w:val="18"/>
        </w:rPr>
        <w:footnoteRef/>
      </w:r>
      <w:r w:rsidRPr="00187249">
        <w:rPr>
          <w:sz w:val="18"/>
          <w:szCs w:val="18"/>
        </w:rPr>
        <w:t xml:space="preserve"> Rb Utrecht (ktr.), 27 mei 2016, ECLI:NL:RBMNE:2016:2980</w:t>
      </w:r>
      <w:r w:rsidRPr="0033210E">
        <w:rPr>
          <w:sz w:val="18"/>
          <w:szCs w:val="18"/>
        </w:rPr>
        <w:t xml:space="preserve">, </w:t>
      </w:r>
      <w:r w:rsidRPr="00E60283">
        <w:rPr>
          <w:sz w:val="18"/>
          <w:szCs w:val="18"/>
        </w:rPr>
        <w:t>Rb Overijssel (ktr.) 13 september 2016, ECLI:NL:RBOVE:2016:3438</w:t>
      </w:r>
      <w:r w:rsidRPr="00B27870">
        <w:rPr>
          <w:sz w:val="18"/>
          <w:szCs w:val="18"/>
        </w:rPr>
        <w:t>; Rb. Alkmaar (</w:t>
      </w:r>
      <w:r w:rsidRPr="007C5000">
        <w:rPr>
          <w:sz w:val="18"/>
          <w:szCs w:val="18"/>
        </w:rPr>
        <w:t>ktr.) 4 november 2015, ECLI:NL:RBNHO:2015:9668, Rb Noord-Nederland 14 juli 2016, ECLI:NL:RBNNE:2016:3628, Rb Amsterdam (ktr.) 12 april 2016, ECLI:NL:RBAMS:2016:2127</w:t>
      </w:r>
    </w:p>
  </w:footnote>
  <w:footnote w:id="146">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Utrecht (ktr.), 27 mei 2016, ECLI:NL:RBMNE:2016:2980</w:t>
      </w:r>
      <w:r w:rsidRPr="00187249">
        <w:rPr>
          <w:sz w:val="18"/>
          <w:szCs w:val="18"/>
        </w:rPr>
        <w:t xml:space="preserve">, </w:t>
      </w:r>
    </w:p>
  </w:footnote>
  <w:footnote w:id="147">
    <w:p w:rsidR="00F66488" w:rsidRPr="007901C4" w:rsidRDefault="00F66488">
      <w:pPr>
        <w:pStyle w:val="Voetnoottekst"/>
        <w:rPr>
          <w:sz w:val="18"/>
          <w:szCs w:val="18"/>
        </w:rPr>
      </w:pPr>
      <w:r>
        <w:rPr>
          <w:rStyle w:val="Voetnootmarkering"/>
        </w:rPr>
        <w:footnoteRef/>
      </w:r>
      <w:r>
        <w:t xml:space="preserve"> </w:t>
      </w:r>
      <w:r w:rsidRPr="004609D3">
        <w:rPr>
          <w:sz w:val="18"/>
          <w:szCs w:val="18"/>
        </w:rPr>
        <w:t>Rb Overijssel (ktr.) 13 september 2016, ECLI:NL:RBOVE:2016:3438</w:t>
      </w:r>
      <w:r w:rsidRPr="00187249">
        <w:rPr>
          <w:sz w:val="18"/>
          <w:szCs w:val="18"/>
        </w:rPr>
        <w:t xml:space="preserve">, </w:t>
      </w:r>
      <w:r w:rsidRPr="0033210E">
        <w:rPr>
          <w:sz w:val="18"/>
          <w:szCs w:val="18"/>
        </w:rPr>
        <w:t>Rb. Alkmaa</w:t>
      </w:r>
      <w:r w:rsidRPr="00E60283">
        <w:rPr>
          <w:sz w:val="18"/>
          <w:szCs w:val="18"/>
        </w:rPr>
        <w:t>r (</w:t>
      </w:r>
      <w:r w:rsidRPr="00C46FD3">
        <w:rPr>
          <w:sz w:val="18"/>
          <w:szCs w:val="18"/>
        </w:rPr>
        <w:t>ktr.</w:t>
      </w:r>
      <w:r w:rsidRPr="007C5000">
        <w:rPr>
          <w:sz w:val="18"/>
          <w:szCs w:val="18"/>
        </w:rPr>
        <w:t>) 4 november 2015, ECLI:NL:RBNHO:2015:9668, Rechtbank Overijssel (ktr.) 18 maart 2016, ECLI:NL:RBOVE:2016:939</w:t>
      </w:r>
      <w:r w:rsidRPr="007C5000">
        <w:rPr>
          <w:rFonts w:hint="eastAsia"/>
          <w:sz w:val="18"/>
          <w:szCs w:val="18"/>
          <w:lang w:eastAsia="ja-JP"/>
        </w:rPr>
        <w:t>,</w:t>
      </w:r>
      <w:r w:rsidRPr="007C5000">
        <w:rPr>
          <w:sz w:val="18"/>
          <w:szCs w:val="18"/>
          <w:lang w:eastAsia="ja-JP"/>
        </w:rPr>
        <w:t xml:space="preserve"> </w:t>
      </w:r>
      <w:r w:rsidRPr="007901C4">
        <w:rPr>
          <w:sz w:val="18"/>
          <w:szCs w:val="18"/>
        </w:rPr>
        <w:t xml:space="preserve">Rb. Alkmaar (ktr.) 4 november 2015, </w:t>
      </w:r>
      <w:r w:rsidRPr="004609D3">
        <w:rPr>
          <w:sz w:val="18"/>
          <w:szCs w:val="18"/>
        </w:rPr>
        <w:t>ECLI:NL:RBNHO:2015:9668</w:t>
      </w:r>
    </w:p>
  </w:footnote>
  <w:footnote w:id="148">
    <w:p w:rsidR="00F66488" w:rsidRPr="007901C4" w:rsidRDefault="00F66488" w:rsidP="00B14DAD">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Rb Noord-Nederland 14 juli 2016, ECLI:NL:RBNNE:2016:3628</w:t>
      </w:r>
      <w:r w:rsidRPr="00187249">
        <w:rPr>
          <w:sz w:val="18"/>
          <w:szCs w:val="18"/>
        </w:rPr>
        <w:t>; € 9222,50 aan billijke vergoeding</w:t>
      </w:r>
    </w:p>
  </w:footnote>
  <w:footnote w:id="149">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w:t>
      </w:r>
      <w:r w:rsidRPr="004609D3">
        <w:rPr>
          <w:sz w:val="18"/>
          <w:szCs w:val="18"/>
        </w:rPr>
        <w:t xml:space="preserve">Rb Amsterdam (ktr.) 12 april </w:t>
      </w:r>
      <w:r w:rsidRPr="00187249">
        <w:rPr>
          <w:sz w:val="18"/>
          <w:szCs w:val="18"/>
        </w:rPr>
        <w:t>2016, ECLI:NL:RBAMS:2016:2127; € 75.000,00 aan billijke vergoeding. Dit bedrag had hoger geweest indien de jaarlijkse winstuitkering een stuk hoger lag dan het gevorderde bedrag aan billijk</w:t>
      </w:r>
      <w:r w:rsidRPr="0033210E">
        <w:rPr>
          <w:sz w:val="18"/>
          <w:szCs w:val="18"/>
        </w:rPr>
        <w:t>e vergoeding.</w:t>
      </w:r>
    </w:p>
  </w:footnote>
  <w:footnote w:id="150">
    <w:p w:rsidR="00F66488" w:rsidRPr="007901C4" w:rsidRDefault="00F66488">
      <w:pPr>
        <w:pStyle w:val="Voetnoottekst"/>
        <w:rPr>
          <w:sz w:val="18"/>
          <w:szCs w:val="18"/>
        </w:rPr>
      </w:pPr>
      <w:r>
        <w:rPr>
          <w:rStyle w:val="Voetnootmarkering"/>
        </w:rPr>
        <w:footnoteRef/>
      </w:r>
      <w:r>
        <w:t xml:space="preserve"> </w:t>
      </w:r>
      <w:r w:rsidRPr="004609D3">
        <w:rPr>
          <w:sz w:val="18"/>
          <w:szCs w:val="18"/>
        </w:rPr>
        <w:t xml:space="preserve">Rb Alkmaar (ktr.) 18 </w:t>
      </w:r>
      <w:r w:rsidRPr="00B27870">
        <w:rPr>
          <w:sz w:val="18"/>
          <w:szCs w:val="18"/>
        </w:rPr>
        <w:t xml:space="preserve">december 2015, ECLI:NL:RBNHO:2015:11461, Rb Utrecht (ktr.) 18 februari 2016, ECLI:NL:RBMNE:2016:854, </w:t>
      </w:r>
      <w:r w:rsidRPr="007901C4">
        <w:rPr>
          <w:sz w:val="18"/>
          <w:szCs w:val="18"/>
        </w:rPr>
        <w:t xml:space="preserve">Rb. Alkmaar (ktr.) 4 november 2015, </w:t>
      </w:r>
      <w:r w:rsidRPr="004609D3">
        <w:rPr>
          <w:sz w:val="18"/>
          <w:szCs w:val="18"/>
        </w:rPr>
        <w:t>ECLI:NL:RBNHO:2015:9668</w:t>
      </w:r>
    </w:p>
  </w:footnote>
  <w:footnote w:id="151">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Dienstverbanden in de functie van het ontslag van 2 jaar, 4 jaar en 3 maanden </w:t>
      </w:r>
    </w:p>
  </w:footnote>
  <w:footnote w:id="152">
    <w:p w:rsidR="00F66488" w:rsidRPr="007901C4" w:rsidRDefault="00F66488">
      <w:pPr>
        <w:pStyle w:val="Voetnoottekst"/>
        <w:rPr>
          <w:sz w:val="18"/>
          <w:szCs w:val="18"/>
        </w:rPr>
      </w:pPr>
      <w:r w:rsidRPr="007901C4">
        <w:rPr>
          <w:rStyle w:val="Voetnootmarkering"/>
          <w:sz w:val="18"/>
          <w:szCs w:val="18"/>
        </w:rPr>
        <w:footnoteRef/>
      </w:r>
      <w:r w:rsidRPr="007901C4">
        <w:rPr>
          <w:sz w:val="18"/>
          <w:szCs w:val="18"/>
        </w:rPr>
        <w:t xml:space="preserve"> Salarissen van € 4.273,50, € 3.959,74, € 5.000,00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0EC9"/>
    <w:multiLevelType w:val="hybridMultilevel"/>
    <w:tmpl w:val="E1B438FA"/>
    <w:lvl w:ilvl="0" w:tplc="D21656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A6787"/>
    <w:multiLevelType w:val="hybridMultilevel"/>
    <w:tmpl w:val="DF0C7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C13E5"/>
    <w:multiLevelType w:val="hybridMultilevel"/>
    <w:tmpl w:val="C73CD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94017F"/>
    <w:multiLevelType w:val="multilevel"/>
    <w:tmpl w:val="3CD87CA8"/>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1713E86"/>
    <w:multiLevelType w:val="hybridMultilevel"/>
    <w:tmpl w:val="EAB00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01F51"/>
    <w:multiLevelType w:val="multilevel"/>
    <w:tmpl w:val="3FD8AA8E"/>
    <w:lvl w:ilvl="0">
      <w:start w:val="1"/>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6" w15:restartNumberingAfterBreak="0">
    <w:nsid w:val="315B1A6A"/>
    <w:multiLevelType w:val="multilevel"/>
    <w:tmpl w:val="F9363BA2"/>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34747F50"/>
    <w:multiLevelType w:val="hybridMultilevel"/>
    <w:tmpl w:val="DF4C2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0B5A87"/>
    <w:multiLevelType w:val="hybridMultilevel"/>
    <w:tmpl w:val="50FE7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CF6E73"/>
    <w:multiLevelType w:val="hybridMultilevel"/>
    <w:tmpl w:val="082C0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DB233F"/>
    <w:multiLevelType w:val="hybridMultilevel"/>
    <w:tmpl w:val="BD944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1B0961"/>
    <w:multiLevelType w:val="hybridMultilevel"/>
    <w:tmpl w:val="D864E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035BCF"/>
    <w:multiLevelType w:val="hybridMultilevel"/>
    <w:tmpl w:val="D858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A649CF"/>
    <w:multiLevelType w:val="hybridMultilevel"/>
    <w:tmpl w:val="9C8E8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9B6523"/>
    <w:multiLevelType w:val="hybridMultilevel"/>
    <w:tmpl w:val="6122C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CA6956"/>
    <w:multiLevelType w:val="multilevel"/>
    <w:tmpl w:val="CDCCAD80"/>
    <w:lvl w:ilvl="0">
      <w:start w:val="1"/>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6" w15:restartNumberingAfterBreak="0">
    <w:nsid w:val="57800E6B"/>
    <w:multiLevelType w:val="hybridMultilevel"/>
    <w:tmpl w:val="C3228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9D3521"/>
    <w:multiLevelType w:val="hybridMultilevel"/>
    <w:tmpl w:val="C2C0D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D646A0"/>
    <w:multiLevelType w:val="hybridMultilevel"/>
    <w:tmpl w:val="75B63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2F40A6"/>
    <w:multiLevelType w:val="hybridMultilevel"/>
    <w:tmpl w:val="E1006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4D04B5"/>
    <w:multiLevelType w:val="multilevel"/>
    <w:tmpl w:val="8766F58C"/>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602409ED"/>
    <w:multiLevelType w:val="hybridMultilevel"/>
    <w:tmpl w:val="F5F68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B95ABF"/>
    <w:multiLevelType w:val="hybridMultilevel"/>
    <w:tmpl w:val="12467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C05D09"/>
    <w:multiLevelType w:val="hybridMultilevel"/>
    <w:tmpl w:val="BD46B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E3188A"/>
    <w:multiLevelType w:val="hybridMultilevel"/>
    <w:tmpl w:val="4D80B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300074"/>
    <w:multiLevelType w:val="hybridMultilevel"/>
    <w:tmpl w:val="061A5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7F3D09"/>
    <w:multiLevelType w:val="hybridMultilevel"/>
    <w:tmpl w:val="542E0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3B6200"/>
    <w:multiLevelType w:val="hybridMultilevel"/>
    <w:tmpl w:val="D818A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
  </w:num>
  <w:num w:numId="4">
    <w:abstractNumId w:val="20"/>
  </w:num>
  <w:num w:numId="5">
    <w:abstractNumId w:val="25"/>
  </w:num>
  <w:num w:numId="6">
    <w:abstractNumId w:val="27"/>
  </w:num>
  <w:num w:numId="7">
    <w:abstractNumId w:val="14"/>
  </w:num>
  <w:num w:numId="8">
    <w:abstractNumId w:val="7"/>
  </w:num>
  <w:num w:numId="9">
    <w:abstractNumId w:val="11"/>
  </w:num>
  <w:num w:numId="10">
    <w:abstractNumId w:val="24"/>
  </w:num>
  <w:num w:numId="11">
    <w:abstractNumId w:val="16"/>
  </w:num>
  <w:num w:numId="12">
    <w:abstractNumId w:val="21"/>
  </w:num>
  <w:num w:numId="13">
    <w:abstractNumId w:val="17"/>
  </w:num>
  <w:num w:numId="14">
    <w:abstractNumId w:val="1"/>
  </w:num>
  <w:num w:numId="15">
    <w:abstractNumId w:val="23"/>
  </w:num>
  <w:num w:numId="16">
    <w:abstractNumId w:val="19"/>
  </w:num>
  <w:num w:numId="17">
    <w:abstractNumId w:val="12"/>
  </w:num>
  <w:num w:numId="18">
    <w:abstractNumId w:val="22"/>
  </w:num>
  <w:num w:numId="19">
    <w:abstractNumId w:val="10"/>
  </w:num>
  <w:num w:numId="20">
    <w:abstractNumId w:val="8"/>
  </w:num>
  <w:num w:numId="21">
    <w:abstractNumId w:val="4"/>
  </w:num>
  <w:num w:numId="22">
    <w:abstractNumId w:val="2"/>
  </w:num>
  <w:num w:numId="23">
    <w:abstractNumId w:val="18"/>
  </w:num>
  <w:num w:numId="24">
    <w:abstractNumId w:val="13"/>
  </w:num>
  <w:num w:numId="25">
    <w:abstractNumId w:val="9"/>
  </w:num>
  <w:num w:numId="26">
    <w:abstractNumId w:val="15"/>
  </w:num>
  <w:num w:numId="27">
    <w:abstractNumId w:val="6"/>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2C"/>
    <w:rsid w:val="000010F9"/>
    <w:rsid w:val="00010587"/>
    <w:rsid w:val="00011954"/>
    <w:rsid w:val="000138A5"/>
    <w:rsid w:val="00017A03"/>
    <w:rsid w:val="00020CF3"/>
    <w:rsid w:val="00022031"/>
    <w:rsid w:val="00022107"/>
    <w:rsid w:val="0002391E"/>
    <w:rsid w:val="00024282"/>
    <w:rsid w:val="00025762"/>
    <w:rsid w:val="0003140A"/>
    <w:rsid w:val="00034165"/>
    <w:rsid w:val="0003700B"/>
    <w:rsid w:val="000406B7"/>
    <w:rsid w:val="000435FA"/>
    <w:rsid w:val="00044D54"/>
    <w:rsid w:val="000452C8"/>
    <w:rsid w:val="00051F87"/>
    <w:rsid w:val="00055B23"/>
    <w:rsid w:val="00055BF0"/>
    <w:rsid w:val="00056E64"/>
    <w:rsid w:val="000570D8"/>
    <w:rsid w:val="000603F0"/>
    <w:rsid w:val="00062591"/>
    <w:rsid w:val="0006357F"/>
    <w:rsid w:val="00064D5C"/>
    <w:rsid w:val="000704C7"/>
    <w:rsid w:val="00072EC8"/>
    <w:rsid w:val="0007341F"/>
    <w:rsid w:val="000776B9"/>
    <w:rsid w:val="0007773F"/>
    <w:rsid w:val="000847F9"/>
    <w:rsid w:val="00085FB7"/>
    <w:rsid w:val="00086A08"/>
    <w:rsid w:val="00090821"/>
    <w:rsid w:val="000925C2"/>
    <w:rsid w:val="00095807"/>
    <w:rsid w:val="000959C1"/>
    <w:rsid w:val="00095ACE"/>
    <w:rsid w:val="00097FAF"/>
    <w:rsid w:val="00097FEB"/>
    <w:rsid w:val="000A1A5D"/>
    <w:rsid w:val="000A1F72"/>
    <w:rsid w:val="000A429F"/>
    <w:rsid w:val="000A45B8"/>
    <w:rsid w:val="000A4E85"/>
    <w:rsid w:val="000A5B02"/>
    <w:rsid w:val="000A5D68"/>
    <w:rsid w:val="000A731D"/>
    <w:rsid w:val="000B1491"/>
    <w:rsid w:val="000B2C61"/>
    <w:rsid w:val="000B3655"/>
    <w:rsid w:val="000B382B"/>
    <w:rsid w:val="000B5DFC"/>
    <w:rsid w:val="000B790D"/>
    <w:rsid w:val="000C052F"/>
    <w:rsid w:val="000C0873"/>
    <w:rsid w:val="000C1E69"/>
    <w:rsid w:val="000C2943"/>
    <w:rsid w:val="000C2A4F"/>
    <w:rsid w:val="000C463C"/>
    <w:rsid w:val="000C64A0"/>
    <w:rsid w:val="000D1C16"/>
    <w:rsid w:val="000D2D04"/>
    <w:rsid w:val="000D30BF"/>
    <w:rsid w:val="000D5E10"/>
    <w:rsid w:val="000D6485"/>
    <w:rsid w:val="000D68B0"/>
    <w:rsid w:val="000D6C67"/>
    <w:rsid w:val="000D78A0"/>
    <w:rsid w:val="000E1AC3"/>
    <w:rsid w:val="000E7F0F"/>
    <w:rsid w:val="000F11D3"/>
    <w:rsid w:val="000F409A"/>
    <w:rsid w:val="000F46E9"/>
    <w:rsid w:val="000F6426"/>
    <w:rsid w:val="000F73A1"/>
    <w:rsid w:val="000F79CA"/>
    <w:rsid w:val="00103063"/>
    <w:rsid w:val="00104949"/>
    <w:rsid w:val="001055E8"/>
    <w:rsid w:val="00110B92"/>
    <w:rsid w:val="00112C67"/>
    <w:rsid w:val="00112DC6"/>
    <w:rsid w:val="001139CD"/>
    <w:rsid w:val="0011644A"/>
    <w:rsid w:val="00121151"/>
    <w:rsid w:val="00121C0D"/>
    <w:rsid w:val="00124BA2"/>
    <w:rsid w:val="001256F6"/>
    <w:rsid w:val="00133181"/>
    <w:rsid w:val="00136D2D"/>
    <w:rsid w:val="00142087"/>
    <w:rsid w:val="00142751"/>
    <w:rsid w:val="001443A9"/>
    <w:rsid w:val="00146586"/>
    <w:rsid w:val="0015665A"/>
    <w:rsid w:val="00156C6F"/>
    <w:rsid w:val="00160D1C"/>
    <w:rsid w:val="00161711"/>
    <w:rsid w:val="0016241A"/>
    <w:rsid w:val="00165902"/>
    <w:rsid w:val="00170836"/>
    <w:rsid w:val="001717AC"/>
    <w:rsid w:val="00173B3E"/>
    <w:rsid w:val="001759F0"/>
    <w:rsid w:val="001775EE"/>
    <w:rsid w:val="00177872"/>
    <w:rsid w:val="00180285"/>
    <w:rsid w:val="001812A5"/>
    <w:rsid w:val="00183F39"/>
    <w:rsid w:val="001857D3"/>
    <w:rsid w:val="00185C60"/>
    <w:rsid w:val="00185F81"/>
    <w:rsid w:val="00187249"/>
    <w:rsid w:val="00191800"/>
    <w:rsid w:val="0019470B"/>
    <w:rsid w:val="00194F69"/>
    <w:rsid w:val="00195274"/>
    <w:rsid w:val="001A05E3"/>
    <w:rsid w:val="001A229A"/>
    <w:rsid w:val="001A413F"/>
    <w:rsid w:val="001A7AF9"/>
    <w:rsid w:val="001B0AF4"/>
    <w:rsid w:val="001B198F"/>
    <w:rsid w:val="001B2EA8"/>
    <w:rsid w:val="001C0198"/>
    <w:rsid w:val="001C1B26"/>
    <w:rsid w:val="001C276C"/>
    <w:rsid w:val="001C3F51"/>
    <w:rsid w:val="001C62BC"/>
    <w:rsid w:val="001C78FB"/>
    <w:rsid w:val="001D0308"/>
    <w:rsid w:val="001D0B31"/>
    <w:rsid w:val="001D1077"/>
    <w:rsid w:val="001D3CF0"/>
    <w:rsid w:val="001D58C6"/>
    <w:rsid w:val="001E1DCE"/>
    <w:rsid w:val="001E4533"/>
    <w:rsid w:val="001E615E"/>
    <w:rsid w:val="001F4208"/>
    <w:rsid w:val="001F4C48"/>
    <w:rsid w:val="00200543"/>
    <w:rsid w:val="00200C20"/>
    <w:rsid w:val="00204386"/>
    <w:rsid w:val="00207563"/>
    <w:rsid w:val="00207EB1"/>
    <w:rsid w:val="00210300"/>
    <w:rsid w:val="0021185D"/>
    <w:rsid w:val="00211B88"/>
    <w:rsid w:val="00211BB8"/>
    <w:rsid w:val="0022074F"/>
    <w:rsid w:val="00220C61"/>
    <w:rsid w:val="00223AB7"/>
    <w:rsid w:val="00225692"/>
    <w:rsid w:val="002265D4"/>
    <w:rsid w:val="00226B36"/>
    <w:rsid w:val="00227DA3"/>
    <w:rsid w:val="00230420"/>
    <w:rsid w:val="00235434"/>
    <w:rsid w:val="00240693"/>
    <w:rsid w:val="00240E71"/>
    <w:rsid w:val="00241EE4"/>
    <w:rsid w:val="002433D7"/>
    <w:rsid w:val="002438E7"/>
    <w:rsid w:val="00244147"/>
    <w:rsid w:val="00245F63"/>
    <w:rsid w:val="0024606A"/>
    <w:rsid w:val="0025580B"/>
    <w:rsid w:val="00256172"/>
    <w:rsid w:val="00257681"/>
    <w:rsid w:val="00266BAB"/>
    <w:rsid w:val="00267C99"/>
    <w:rsid w:val="00272B93"/>
    <w:rsid w:val="00273BC3"/>
    <w:rsid w:val="00280500"/>
    <w:rsid w:val="00284000"/>
    <w:rsid w:val="002932B2"/>
    <w:rsid w:val="002942ED"/>
    <w:rsid w:val="002964B8"/>
    <w:rsid w:val="002A18BF"/>
    <w:rsid w:val="002A560E"/>
    <w:rsid w:val="002A670A"/>
    <w:rsid w:val="002A6C27"/>
    <w:rsid w:val="002B037D"/>
    <w:rsid w:val="002B0E7E"/>
    <w:rsid w:val="002B0F52"/>
    <w:rsid w:val="002B1CB2"/>
    <w:rsid w:val="002B2EF8"/>
    <w:rsid w:val="002B5F48"/>
    <w:rsid w:val="002B70B6"/>
    <w:rsid w:val="002C1EEB"/>
    <w:rsid w:val="002C4966"/>
    <w:rsid w:val="002C581A"/>
    <w:rsid w:val="002C60A0"/>
    <w:rsid w:val="002C62C7"/>
    <w:rsid w:val="002C7C8A"/>
    <w:rsid w:val="002E0B0C"/>
    <w:rsid w:val="002E17FA"/>
    <w:rsid w:val="002E6154"/>
    <w:rsid w:val="002E6593"/>
    <w:rsid w:val="002E7FC5"/>
    <w:rsid w:val="002F0A4F"/>
    <w:rsid w:val="002F22C6"/>
    <w:rsid w:val="002F3273"/>
    <w:rsid w:val="002F4DE4"/>
    <w:rsid w:val="0030402B"/>
    <w:rsid w:val="003040E5"/>
    <w:rsid w:val="00304710"/>
    <w:rsid w:val="00305DFF"/>
    <w:rsid w:val="00306309"/>
    <w:rsid w:val="003063F5"/>
    <w:rsid w:val="00310225"/>
    <w:rsid w:val="00312253"/>
    <w:rsid w:val="0031490A"/>
    <w:rsid w:val="00320F32"/>
    <w:rsid w:val="00321AFE"/>
    <w:rsid w:val="00322A97"/>
    <w:rsid w:val="00324D18"/>
    <w:rsid w:val="0032588D"/>
    <w:rsid w:val="00325AE6"/>
    <w:rsid w:val="00330C63"/>
    <w:rsid w:val="00330F72"/>
    <w:rsid w:val="0033210E"/>
    <w:rsid w:val="00332610"/>
    <w:rsid w:val="00332A25"/>
    <w:rsid w:val="0033492D"/>
    <w:rsid w:val="00335374"/>
    <w:rsid w:val="00337DE0"/>
    <w:rsid w:val="00342A17"/>
    <w:rsid w:val="0034435A"/>
    <w:rsid w:val="003456A6"/>
    <w:rsid w:val="00351DFA"/>
    <w:rsid w:val="00353C8E"/>
    <w:rsid w:val="0035456D"/>
    <w:rsid w:val="00355B4A"/>
    <w:rsid w:val="00357565"/>
    <w:rsid w:val="00360876"/>
    <w:rsid w:val="00362FBF"/>
    <w:rsid w:val="00364900"/>
    <w:rsid w:val="00365E9E"/>
    <w:rsid w:val="00367FC6"/>
    <w:rsid w:val="00371F0E"/>
    <w:rsid w:val="00373CFE"/>
    <w:rsid w:val="00373D28"/>
    <w:rsid w:val="003744CB"/>
    <w:rsid w:val="003817D7"/>
    <w:rsid w:val="0038461D"/>
    <w:rsid w:val="00386201"/>
    <w:rsid w:val="00386440"/>
    <w:rsid w:val="00393632"/>
    <w:rsid w:val="00394881"/>
    <w:rsid w:val="003A0307"/>
    <w:rsid w:val="003A1F83"/>
    <w:rsid w:val="003A446C"/>
    <w:rsid w:val="003A4ADF"/>
    <w:rsid w:val="003B1E50"/>
    <w:rsid w:val="003B36DA"/>
    <w:rsid w:val="003B3794"/>
    <w:rsid w:val="003B3A17"/>
    <w:rsid w:val="003C193F"/>
    <w:rsid w:val="003C4FDC"/>
    <w:rsid w:val="003C60EC"/>
    <w:rsid w:val="003C7E24"/>
    <w:rsid w:val="003D2D5F"/>
    <w:rsid w:val="003E0C33"/>
    <w:rsid w:val="003E2E5D"/>
    <w:rsid w:val="003E53AA"/>
    <w:rsid w:val="003E66B2"/>
    <w:rsid w:val="003E7186"/>
    <w:rsid w:val="003F22BB"/>
    <w:rsid w:val="003F7812"/>
    <w:rsid w:val="00405350"/>
    <w:rsid w:val="0041276D"/>
    <w:rsid w:val="004141DA"/>
    <w:rsid w:val="0041587D"/>
    <w:rsid w:val="00416D65"/>
    <w:rsid w:val="00416E4A"/>
    <w:rsid w:val="00422CAE"/>
    <w:rsid w:val="0042342D"/>
    <w:rsid w:val="00426785"/>
    <w:rsid w:val="00426917"/>
    <w:rsid w:val="004319CD"/>
    <w:rsid w:val="00436D8A"/>
    <w:rsid w:val="004434D5"/>
    <w:rsid w:val="00443914"/>
    <w:rsid w:val="00446F3E"/>
    <w:rsid w:val="00450735"/>
    <w:rsid w:val="00451F91"/>
    <w:rsid w:val="004537A7"/>
    <w:rsid w:val="004559D3"/>
    <w:rsid w:val="004609D3"/>
    <w:rsid w:val="00464930"/>
    <w:rsid w:val="00464BAC"/>
    <w:rsid w:val="00465C49"/>
    <w:rsid w:val="0047045B"/>
    <w:rsid w:val="00471D53"/>
    <w:rsid w:val="00473703"/>
    <w:rsid w:val="00473E44"/>
    <w:rsid w:val="00474457"/>
    <w:rsid w:val="0048005F"/>
    <w:rsid w:val="004805E3"/>
    <w:rsid w:val="00484E5D"/>
    <w:rsid w:val="00485257"/>
    <w:rsid w:val="004854F0"/>
    <w:rsid w:val="00487D3E"/>
    <w:rsid w:val="004903A4"/>
    <w:rsid w:val="004912E5"/>
    <w:rsid w:val="004922BD"/>
    <w:rsid w:val="00492A16"/>
    <w:rsid w:val="00492BBF"/>
    <w:rsid w:val="004930E8"/>
    <w:rsid w:val="00493FC4"/>
    <w:rsid w:val="004974A7"/>
    <w:rsid w:val="004A150C"/>
    <w:rsid w:val="004A6C97"/>
    <w:rsid w:val="004B047B"/>
    <w:rsid w:val="004B0C84"/>
    <w:rsid w:val="004B25DC"/>
    <w:rsid w:val="004B672D"/>
    <w:rsid w:val="004C2C2C"/>
    <w:rsid w:val="004C512B"/>
    <w:rsid w:val="004C55C9"/>
    <w:rsid w:val="004C7DCE"/>
    <w:rsid w:val="004D156C"/>
    <w:rsid w:val="004D17D8"/>
    <w:rsid w:val="004E4AFA"/>
    <w:rsid w:val="004E506A"/>
    <w:rsid w:val="004F0307"/>
    <w:rsid w:val="004F1E96"/>
    <w:rsid w:val="004F3D82"/>
    <w:rsid w:val="00502F6B"/>
    <w:rsid w:val="005146A6"/>
    <w:rsid w:val="00515E6B"/>
    <w:rsid w:val="00517658"/>
    <w:rsid w:val="00520FCE"/>
    <w:rsid w:val="00523215"/>
    <w:rsid w:val="00525D1A"/>
    <w:rsid w:val="005277E7"/>
    <w:rsid w:val="005313B5"/>
    <w:rsid w:val="00537409"/>
    <w:rsid w:val="00540A49"/>
    <w:rsid w:val="00540F07"/>
    <w:rsid w:val="005420D2"/>
    <w:rsid w:val="005442B8"/>
    <w:rsid w:val="0055119E"/>
    <w:rsid w:val="00552027"/>
    <w:rsid w:val="0055580E"/>
    <w:rsid w:val="0055722B"/>
    <w:rsid w:val="00561CB7"/>
    <w:rsid w:val="00562766"/>
    <w:rsid w:val="00563A63"/>
    <w:rsid w:val="00564E43"/>
    <w:rsid w:val="00576D81"/>
    <w:rsid w:val="0058261B"/>
    <w:rsid w:val="00582A21"/>
    <w:rsid w:val="00583854"/>
    <w:rsid w:val="00586BC4"/>
    <w:rsid w:val="0059048B"/>
    <w:rsid w:val="00590830"/>
    <w:rsid w:val="00594E70"/>
    <w:rsid w:val="005A382B"/>
    <w:rsid w:val="005A3BDA"/>
    <w:rsid w:val="005A74A7"/>
    <w:rsid w:val="005A7662"/>
    <w:rsid w:val="005B5304"/>
    <w:rsid w:val="005B7BB5"/>
    <w:rsid w:val="005C513E"/>
    <w:rsid w:val="005C5589"/>
    <w:rsid w:val="005C5EBB"/>
    <w:rsid w:val="005D0F33"/>
    <w:rsid w:val="005D1CDA"/>
    <w:rsid w:val="005D5024"/>
    <w:rsid w:val="005E6642"/>
    <w:rsid w:val="005E7076"/>
    <w:rsid w:val="005E7ACA"/>
    <w:rsid w:val="005F0977"/>
    <w:rsid w:val="005F0E1C"/>
    <w:rsid w:val="005F26BA"/>
    <w:rsid w:val="005F3FE3"/>
    <w:rsid w:val="005F6777"/>
    <w:rsid w:val="00601C15"/>
    <w:rsid w:val="0060496A"/>
    <w:rsid w:val="006052BA"/>
    <w:rsid w:val="00607C92"/>
    <w:rsid w:val="006107A3"/>
    <w:rsid w:val="00614346"/>
    <w:rsid w:val="006156C0"/>
    <w:rsid w:val="00624C68"/>
    <w:rsid w:val="006312CF"/>
    <w:rsid w:val="00632A23"/>
    <w:rsid w:val="00632C10"/>
    <w:rsid w:val="0063581D"/>
    <w:rsid w:val="00637FD9"/>
    <w:rsid w:val="00640D75"/>
    <w:rsid w:val="00643588"/>
    <w:rsid w:val="00644FB4"/>
    <w:rsid w:val="0064588A"/>
    <w:rsid w:val="0065125F"/>
    <w:rsid w:val="00651A66"/>
    <w:rsid w:val="00656390"/>
    <w:rsid w:val="00656B87"/>
    <w:rsid w:val="00657404"/>
    <w:rsid w:val="00660634"/>
    <w:rsid w:val="00660CA1"/>
    <w:rsid w:val="006632F7"/>
    <w:rsid w:val="00664DBE"/>
    <w:rsid w:val="00664EBB"/>
    <w:rsid w:val="00665B0D"/>
    <w:rsid w:val="00665F2A"/>
    <w:rsid w:val="0066653F"/>
    <w:rsid w:val="00670AE5"/>
    <w:rsid w:val="0067257D"/>
    <w:rsid w:val="006734C3"/>
    <w:rsid w:val="00674D59"/>
    <w:rsid w:val="00675A8B"/>
    <w:rsid w:val="00676B3C"/>
    <w:rsid w:val="00681BFF"/>
    <w:rsid w:val="00683649"/>
    <w:rsid w:val="00685506"/>
    <w:rsid w:val="00686131"/>
    <w:rsid w:val="00686EE5"/>
    <w:rsid w:val="006877E7"/>
    <w:rsid w:val="00687EB8"/>
    <w:rsid w:val="00694D73"/>
    <w:rsid w:val="00694DF2"/>
    <w:rsid w:val="00695689"/>
    <w:rsid w:val="006956FC"/>
    <w:rsid w:val="00695720"/>
    <w:rsid w:val="006A1000"/>
    <w:rsid w:val="006A241C"/>
    <w:rsid w:val="006A4A39"/>
    <w:rsid w:val="006B1626"/>
    <w:rsid w:val="006B231D"/>
    <w:rsid w:val="006B2635"/>
    <w:rsid w:val="006B4D72"/>
    <w:rsid w:val="006C37FA"/>
    <w:rsid w:val="006C5C5D"/>
    <w:rsid w:val="006D005B"/>
    <w:rsid w:val="006D1D1A"/>
    <w:rsid w:val="006D5DC2"/>
    <w:rsid w:val="006E17D4"/>
    <w:rsid w:val="006E470C"/>
    <w:rsid w:val="006E50FA"/>
    <w:rsid w:val="006E7178"/>
    <w:rsid w:val="006F1859"/>
    <w:rsid w:val="006F1E3A"/>
    <w:rsid w:val="006F20E4"/>
    <w:rsid w:val="006F6528"/>
    <w:rsid w:val="006F7831"/>
    <w:rsid w:val="006F7FF7"/>
    <w:rsid w:val="0070006B"/>
    <w:rsid w:val="007116CA"/>
    <w:rsid w:val="00711903"/>
    <w:rsid w:val="00711DD5"/>
    <w:rsid w:val="007122BB"/>
    <w:rsid w:val="0071586F"/>
    <w:rsid w:val="00717099"/>
    <w:rsid w:val="007213CD"/>
    <w:rsid w:val="00723182"/>
    <w:rsid w:val="00723910"/>
    <w:rsid w:val="007243BC"/>
    <w:rsid w:val="007300D3"/>
    <w:rsid w:val="00731CFA"/>
    <w:rsid w:val="007330AE"/>
    <w:rsid w:val="00746AEA"/>
    <w:rsid w:val="00746E22"/>
    <w:rsid w:val="00750E67"/>
    <w:rsid w:val="00751711"/>
    <w:rsid w:val="00751CCA"/>
    <w:rsid w:val="007521C6"/>
    <w:rsid w:val="00752230"/>
    <w:rsid w:val="007541AB"/>
    <w:rsid w:val="00755749"/>
    <w:rsid w:val="007564E2"/>
    <w:rsid w:val="0075776E"/>
    <w:rsid w:val="00760A0D"/>
    <w:rsid w:val="007618D9"/>
    <w:rsid w:val="00761935"/>
    <w:rsid w:val="00764399"/>
    <w:rsid w:val="00770733"/>
    <w:rsid w:val="007725B2"/>
    <w:rsid w:val="00772640"/>
    <w:rsid w:val="00773E60"/>
    <w:rsid w:val="007747AB"/>
    <w:rsid w:val="00777341"/>
    <w:rsid w:val="007801B6"/>
    <w:rsid w:val="007827B1"/>
    <w:rsid w:val="007827B9"/>
    <w:rsid w:val="00783B05"/>
    <w:rsid w:val="00783C3B"/>
    <w:rsid w:val="00786466"/>
    <w:rsid w:val="007901C4"/>
    <w:rsid w:val="00790C10"/>
    <w:rsid w:val="00792B2E"/>
    <w:rsid w:val="00792DB9"/>
    <w:rsid w:val="007946D2"/>
    <w:rsid w:val="007971A6"/>
    <w:rsid w:val="00797D4C"/>
    <w:rsid w:val="007A43BD"/>
    <w:rsid w:val="007A600A"/>
    <w:rsid w:val="007A7B63"/>
    <w:rsid w:val="007C12C7"/>
    <w:rsid w:val="007C5000"/>
    <w:rsid w:val="007D00FF"/>
    <w:rsid w:val="007D3AFC"/>
    <w:rsid w:val="007D6320"/>
    <w:rsid w:val="007E2056"/>
    <w:rsid w:val="007E2E85"/>
    <w:rsid w:val="007E3273"/>
    <w:rsid w:val="007E4061"/>
    <w:rsid w:val="007E418F"/>
    <w:rsid w:val="007E4847"/>
    <w:rsid w:val="007E6428"/>
    <w:rsid w:val="007F0FF2"/>
    <w:rsid w:val="007F165E"/>
    <w:rsid w:val="007F3CA1"/>
    <w:rsid w:val="007F54F8"/>
    <w:rsid w:val="007F728E"/>
    <w:rsid w:val="00800320"/>
    <w:rsid w:val="00800DDE"/>
    <w:rsid w:val="00801B30"/>
    <w:rsid w:val="008025B4"/>
    <w:rsid w:val="008028F8"/>
    <w:rsid w:val="00803A2D"/>
    <w:rsid w:val="00804162"/>
    <w:rsid w:val="008041FB"/>
    <w:rsid w:val="0080619D"/>
    <w:rsid w:val="00811D87"/>
    <w:rsid w:val="00812252"/>
    <w:rsid w:val="00812256"/>
    <w:rsid w:val="008127E0"/>
    <w:rsid w:val="00812B02"/>
    <w:rsid w:val="008133CA"/>
    <w:rsid w:val="00813420"/>
    <w:rsid w:val="0081411F"/>
    <w:rsid w:val="008167E0"/>
    <w:rsid w:val="008208F7"/>
    <w:rsid w:val="00821268"/>
    <w:rsid w:val="0082182A"/>
    <w:rsid w:val="008222D0"/>
    <w:rsid w:val="00823700"/>
    <w:rsid w:val="00824C49"/>
    <w:rsid w:val="00825227"/>
    <w:rsid w:val="008257CE"/>
    <w:rsid w:val="0082756D"/>
    <w:rsid w:val="00827C86"/>
    <w:rsid w:val="0083121C"/>
    <w:rsid w:val="00831C65"/>
    <w:rsid w:val="008345C3"/>
    <w:rsid w:val="008411B2"/>
    <w:rsid w:val="008414C4"/>
    <w:rsid w:val="00842B7C"/>
    <w:rsid w:val="0084358C"/>
    <w:rsid w:val="0084563A"/>
    <w:rsid w:val="00845F9A"/>
    <w:rsid w:val="0084699C"/>
    <w:rsid w:val="00847190"/>
    <w:rsid w:val="0085115F"/>
    <w:rsid w:val="00852378"/>
    <w:rsid w:val="0085402F"/>
    <w:rsid w:val="00856A43"/>
    <w:rsid w:val="00856B85"/>
    <w:rsid w:val="00857885"/>
    <w:rsid w:val="00861334"/>
    <w:rsid w:val="00861663"/>
    <w:rsid w:val="00862E3E"/>
    <w:rsid w:val="00863CB2"/>
    <w:rsid w:val="00865CB8"/>
    <w:rsid w:val="0087151E"/>
    <w:rsid w:val="00871E84"/>
    <w:rsid w:val="0087216D"/>
    <w:rsid w:val="00872585"/>
    <w:rsid w:val="00874877"/>
    <w:rsid w:val="00880785"/>
    <w:rsid w:val="008808F5"/>
    <w:rsid w:val="00881775"/>
    <w:rsid w:val="00882786"/>
    <w:rsid w:val="00887B8B"/>
    <w:rsid w:val="008935D0"/>
    <w:rsid w:val="00895B05"/>
    <w:rsid w:val="00897C56"/>
    <w:rsid w:val="008A117B"/>
    <w:rsid w:val="008A13F6"/>
    <w:rsid w:val="008A294B"/>
    <w:rsid w:val="008A4579"/>
    <w:rsid w:val="008A5BEC"/>
    <w:rsid w:val="008A5F26"/>
    <w:rsid w:val="008A7E4C"/>
    <w:rsid w:val="008B11C9"/>
    <w:rsid w:val="008B22A2"/>
    <w:rsid w:val="008B2868"/>
    <w:rsid w:val="008B4911"/>
    <w:rsid w:val="008B5FB5"/>
    <w:rsid w:val="008B798E"/>
    <w:rsid w:val="008C1EC1"/>
    <w:rsid w:val="008C2A2C"/>
    <w:rsid w:val="008C7991"/>
    <w:rsid w:val="008D505E"/>
    <w:rsid w:val="008E0851"/>
    <w:rsid w:val="008E098B"/>
    <w:rsid w:val="008E199D"/>
    <w:rsid w:val="008E3A78"/>
    <w:rsid w:val="008E6618"/>
    <w:rsid w:val="008E6FF1"/>
    <w:rsid w:val="008E7DCC"/>
    <w:rsid w:val="008E7FD2"/>
    <w:rsid w:val="008E7FDA"/>
    <w:rsid w:val="008F0818"/>
    <w:rsid w:val="008F3B6C"/>
    <w:rsid w:val="008F3ED8"/>
    <w:rsid w:val="008F5124"/>
    <w:rsid w:val="008F7B5B"/>
    <w:rsid w:val="00903260"/>
    <w:rsid w:val="009059B7"/>
    <w:rsid w:val="00906358"/>
    <w:rsid w:val="00911B01"/>
    <w:rsid w:val="00915551"/>
    <w:rsid w:val="00915A95"/>
    <w:rsid w:val="00916AFF"/>
    <w:rsid w:val="00922A37"/>
    <w:rsid w:val="00930E34"/>
    <w:rsid w:val="0093176A"/>
    <w:rsid w:val="00931952"/>
    <w:rsid w:val="00933F4A"/>
    <w:rsid w:val="00934B5E"/>
    <w:rsid w:val="00937214"/>
    <w:rsid w:val="00940579"/>
    <w:rsid w:val="00941CA9"/>
    <w:rsid w:val="00941FD4"/>
    <w:rsid w:val="00943E29"/>
    <w:rsid w:val="00947FE8"/>
    <w:rsid w:val="00950B0E"/>
    <w:rsid w:val="00952407"/>
    <w:rsid w:val="00952AD1"/>
    <w:rsid w:val="00954237"/>
    <w:rsid w:val="00956602"/>
    <w:rsid w:val="00960648"/>
    <w:rsid w:val="009654A8"/>
    <w:rsid w:val="009701AC"/>
    <w:rsid w:val="009722DC"/>
    <w:rsid w:val="009724DE"/>
    <w:rsid w:val="0097388D"/>
    <w:rsid w:val="00973A3A"/>
    <w:rsid w:val="00980B62"/>
    <w:rsid w:val="00982EAC"/>
    <w:rsid w:val="0098388D"/>
    <w:rsid w:val="00987398"/>
    <w:rsid w:val="009878C4"/>
    <w:rsid w:val="00993FCC"/>
    <w:rsid w:val="00995DAB"/>
    <w:rsid w:val="009A01E2"/>
    <w:rsid w:val="009A13EA"/>
    <w:rsid w:val="009A1473"/>
    <w:rsid w:val="009A554E"/>
    <w:rsid w:val="009B1C9C"/>
    <w:rsid w:val="009B40EC"/>
    <w:rsid w:val="009B781B"/>
    <w:rsid w:val="009C1EDF"/>
    <w:rsid w:val="009C2916"/>
    <w:rsid w:val="009C29F7"/>
    <w:rsid w:val="009C4F1A"/>
    <w:rsid w:val="009C7DBB"/>
    <w:rsid w:val="009D1E2D"/>
    <w:rsid w:val="009D1F9D"/>
    <w:rsid w:val="009D24F7"/>
    <w:rsid w:val="009D3061"/>
    <w:rsid w:val="009D3500"/>
    <w:rsid w:val="009D4933"/>
    <w:rsid w:val="009D78B6"/>
    <w:rsid w:val="009E5063"/>
    <w:rsid w:val="009E5586"/>
    <w:rsid w:val="009E6036"/>
    <w:rsid w:val="009F0DCC"/>
    <w:rsid w:val="009F2D22"/>
    <w:rsid w:val="009F63BD"/>
    <w:rsid w:val="00A0116A"/>
    <w:rsid w:val="00A1272C"/>
    <w:rsid w:val="00A12D7F"/>
    <w:rsid w:val="00A16053"/>
    <w:rsid w:val="00A16B8A"/>
    <w:rsid w:val="00A269DD"/>
    <w:rsid w:val="00A279A6"/>
    <w:rsid w:val="00A30533"/>
    <w:rsid w:val="00A32DB8"/>
    <w:rsid w:val="00A33370"/>
    <w:rsid w:val="00A342E1"/>
    <w:rsid w:val="00A3584B"/>
    <w:rsid w:val="00A4375A"/>
    <w:rsid w:val="00A443B2"/>
    <w:rsid w:val="00A56596"/>
    <w:rsid w:val="00A60CC2"/>
    <w:rsid w:val="00A612D1"/>
    <w:rsid w:val="00A63E28"/>
    <w:rsid w:val="00A65E49"/>
    <w:rsid w:val="00A66053"/>
    <w:rsid w:val="00A66944"/>
    <w:rsid w:val="00A70AB4"/>
    <w:rsid w:val="00A71576"/>
    <w:rsid w:val="00A72897"/>
    <w:rsid w:val="00A73168"/>
    <w:rsid w:val="00A7675F"/>
    <w:rsid w:val="00A8463F"/>
    <w:rsid w:val="00A85168"/>
    <w:rsid w:val="00A87AC5"/>
    <w:rsid w:val="00A91572"/>
    <w:rsid w:val="00A95224"/>
    <w:rsid w:val="00AA111C"/>
    <w:rsid w:val="00AA71CA"/>
    <w:rsid w:val="00AB10F7"/>
    <w:rsid w:val="00AB2072"/>
    <w:rsid w:val="00AB2AB7"/>
    <w:rsid w:val="00AB3FED"/>
    <w:rsid w:val="00AB711E"/>
    <w:rsid w:val="00AB7322"/>
    <w:rsid w:val="00AC0F51"/>
    <w:rsid w:val="00AC317D"/>
    <w:rsid w:val="00AC5571"/>
    <w:rsid w:val="00AC594B"/>
    <w:rsid w:val="00AC7C62"/>
    <w:rsid w:val="00AC7CEF"/>
    <w:rsid w:val="00AD06AA"/>
    <w:rsid w:val="00AD300D"/>
    <w:rsid w:val="00AD30FD"/>
    <w:rsid w:val="00AD4B83"/>
    <w:rsid w:val="00AD559B"/>
    <w:rsid w:val="00AE3810"/>
    <w:rsid w:val="00AE5EC5"/>
    <w:rsid w:val="00AE780F"/>
    <w:rsid w:val="00AF0A97"/>
    <w:rsid w:val="00AF1113"/>
    <w:rsid w:val="00AF279D"/>
    <w:rsid w:val="00AF7541"/>
    <w:rsid w:val="00AF7D56"/>
    <w:rsid w:val="00B02327"/>
    <w:rsid w:val="00B05DB7"/>
    <w:rsid w:val="00B06C72"/>
    <w:rsid w:val="00B07DF0"/>
    <w:rsid w:val="00B135D9"/>
    <w:rsid w:val="00B13745"/>
    <w:rsid w:val="00B14DAD"/>
    <w:rsid w:val="00B14EEC"/>
    <w:rsid w:val="00B15AC0"/>
    <w:rsid w:val="00B27870"/>
    <w:rsid w:val="00B302B2"/>
    <w:rsid w:val="00B3079B"/>
    <w:rsid w:val="00B40119"/>
    <w:rsid w:val="00B40AAD"/>
    <w:rsid w:val="00B4318A"/>
    <w:rsid w:val="00B441CB"/>
    <w:rsid w:val="00B447E8"/>
    <w:rsid w:val="00B45D80"/>
    <w:rsid w:val="00B509D8"/>
    <w:rsid w:val="00B545A1"/>
    <w:rsid w:val="00B54A19"/>
    <w:rsid w:val="00B606AD"/>
    <w:rsid w:val="00B62C9B"/>
    <w:rsid w:val="00B6422F"/>
    <w:rsid w:val="00B64358"/>
    <w:rsid w:val="00B64EC9"/>
    <w:rsid w:val="00B654DD"/>
    <w:rsid w:val="00B76BED"/>
    <w:rsid w:val="00B7792D"/>
    <w:rsid w:val="00B901DD"/>
    <w:rsid w:val="00B928D6"/>
    <w:rsid w:val="00B92E28"/>
    <w:rsid w:val="00B94DBE"/>
    <w:rsid w:val="00B95651"/>
    <w:rsid w:val="00B95C9A"/>
    <w:rsid w:val="00BA1345"/>
    <w:rsid w:val="00BA198E"/>
    <w:rsid w:val="00BA4FCA"/>
    <w:rsid w:val="00BA624B"/>
    <w:rsid w:val="00BA6F8F"/>
    <w:rsid w:val="00BB0DF5"/>
    <w:rsid w:val="00BB313C"/>
    <w:rsid w:val="00BB32B0"/>
    <w:rsid w:val="00BB33B1"/>
    <w:rsid w:val="00BB355A"/>
    <w:rsid w:val="00BB5193"/>
    <w:rsid w:val="00BB5AAD"/>
    <w:rsid w:val="00BB72A6"/>
    <w:rsid w:val="00BC2C21"/>
    <w:rsid w:val="00BC3059"/>
    <w:rsid w:val="00BC492C"/>
    <w:rsid w:val="00BC4D12"/>
    <w:rsid w:val="00BC7CE2"/>
    <w:rsid w:val="00BD17C0"/>
    <w:rsid w:val="00BD1A12"/>
    <w:rsid w:val="00BD3E8D"/>
    <w:rsid w:val="00BD5B24"/>
    <w:rsid w:val="00BD5DDB"/>
    <w:rsid w:val="00BD635D"/>
    <w:rsid w:val="00BD73AC"/>
    <w:rsid w:val="00BD7795"/>
    <w:rsid w:val="00BF1B4B"/>
    <w:rsid w:val="00BF2EA4"/>
    <w:rsid w:val="00C01DAF"/>
    <w:rsid w:val="00C06803"/>
    <w:rsid w:val="00C06998"/>
    <w:rsid w:val="00C06C0E"/>
    <w:rsid w:val="00C07F06"/>
    <w:rsid w:val="00C158B4"/>
    <w:rsid w:val="00C1780D"/>
    <w:rsid w:val="00C22681"/>
    <w:rsid w:val="00C246CB"/>
    <w:rsid w:val="00C2576F"/>
    <w:rsid w:val="00C25FDC"/>
    <w:rsid w:val="00C26DFC"/>
    <w:rsid w:val="00C31A56"/>
    <w:rsid w:val="00C31ACA"/>
    <w:rsid w:val="00C31DAC"/>
    <w:rsid w:val="00C328CD"/>
    <w:rsid w:val="00C33801"/>
    <w:rsid w:val="00C35351"/>
    <w:rsid w:val="00C4005A"/>
    <w:rsid w:val="00C42787"/>
    <w:rsid w:val="00C45DCD"/>
    <w:rsid w:val="00C4692D"/>
    <w:rsid w:val="00C46FD3"/>
    <w:rsid w:val="00C5003F"/>
    <w:rsid w:val="00C527E8"/>
    <w:rsid w:val="00C56E73"/>
    <w:rsid w:val="00C57EF5"/>
    <w:rsid w:val="00C64552"/>
    <w:rsid w:val="00C65741"/>
    <w:rsid w:val="00C67A5D"/>
    <w:rsid w:val="00C67EBF"/>
    <w:rsid w:val="00C71743"/>
    <w:rsid w:val="00C72DDE"/>
    <w:rsid w:val="00C73FF7"/>
    <w:rsid w:val="00C7656C"/>
    <w:rsid w:val="00C768F0"/>
    <w:rsid w:val="00C77763"/>
    <w:rsid w:val="00C80808"/>
    <w:rsid w:val="00C846F1"/>
    <w:rsid w:val="00C866C2"/>
    <w:rsid w:val="00C87A91"/>
    <w:rsid w:val="00C902D7"/>
    <w:rsid w:val="00C92685"/>
    <w:rsid w:val="00C940C5"/>
    <w:rsid w:val="00C97950"/>
    <w:rsid w:val="00CA0AE0"/>
    <w:rsid w:val="00CA1B78"/>
    <w:rsid w:val="00CA39CE"/>
    <w:rsid w:val="00CA634B"/>
    <w:rsid w:val="00CB07D8"/>
    <w:rsid w:val="00CB1467"/>
    <w:rsid w:val="00CB189B"/>
    <w:rsid w:val="00CB2190"/>
    <w:rsid w:val="00CB58D4"/>
    <w:rsid w:val="00CB72C7"/>
    <w:rsid w:val="00CB7D31"/>
    <w:rsid w:val="00CC255D"/>
    <w:rsid w:val="00CC6DC1"/>
    <w:rsid w:val="00CC71A3"/>
    <w:rsid w:val="00CC763A"/>
    <w:rsid w:val="00CD0A8E"/>
    <w:rsid w:val="00CD2814"/>
    <w:rsid w:val="00CD5013"/>
    <w:rsid w:val="00CE004A"/>
    <w:rsid w:val="00CE3D7A"/>
    <w:rsid w:val="00CE5060"/>
    <w:rsid w:val="00CF0F84"/>
    <w:rsid w:val="00CF42C6"/>
    <w:rsid w:val="00CF75D7"/>
    <w:rsid w:val="00D00B04"/>
    <w:rsid w:val="00D01BEB"/>
    <w:rsid w:val="00D033D6"/>
    <w:rsid w:val="00D05CDD"/>
    <w:rsid w:val="00D123D8"/>
    <w:rsid w:val="00D158B1"/>
    <w:rsid w:val="00D16839"/>
    <w:rsid w:val="00D22E4A"/>
    <w:rsid w:val="00D2673C"/>
    <w:rsid w:val="00D31518"/>
    <w:rsid w:val="00D31DC0"/>
    <w:rsid w:val="00D32FFD"/>
    <w:rsid w:val="00D332C3"/>
    <w:rsid w:val="00D33C09"/>
    <w:rsid w:val="00D34633"/>
    <w:rsid w:val="00D35D95"/>
    <w:rsid w:val="00D366D7"/>
    <w:rsid w:val="00D40C37"/>
    <w:rsid w:val="00D42128"/>
    <w:rsid w:val="00D42893"/>
    <w:rsid w:val="00D44A53"/>
    <w:rsid w:val="00D451CA"/>
    <w:rsid w:val="00D45CC2"/>
    <w:rsid w:val="00D45EBA"/>
    <w:rsid w:val="00D465E7"/>
    <w:rsid w:val="00D472E8"/>
    <w:rsid w:val="00D47ED6"/>
    <w:rsid w:val="00D52A3B"/>
    <w:rsid w:val="00D52E6B"/>
    <w:rsid w:val="00D53606"/>
    <w:rsid w:val="00D539CF"/>
    <w:rsid w:val="00D54CB7"/>
    <w:rsid w:val="00D55136"/>
    <w:rsid w:val="00D6028B"/>
    <w:rsid w:val="00D6051A"/>
    <w:rsid w:val="00D60E6D"/>
    <w:rsid w:val="00D610C7"/>
    <w:rsid w:val="00D63E94"/>
    <w:rsid w:val="00D64877"/>
    <w:rsid w:val="00D65583"/>
    <w:rsid w:val="00D65D0F"/>
    <w:rsid w:val="00D65DF4"/>
    <w:rsid w:val="00D65E26"/>
    <w:rsid w:val="00D6612B"/>
    <w:rsid w:val="00D705D7"/>
    <w:rsid w:val="00D7190B"/>
    <w:rsid w:val="00D73E3C"/>
    <w:rsid w:val="00D752DD"/>
    <w:rsid w:val="00D75AAC"/>
    <w:rsid w:val="00D80A89"/>
    <w:rsid w:val="00D8581F"/>
    <w:rsid w:val="00D90993"/>
    <w:rsid w:val="00D910CD"/>
    <w:rsid w:val="00D9180C"/>
    <w:rsid w:val="00D9320F"/>
    <w:rsid w:val="00D932A6"/>
    <w:rsid w:val="00D94062"/>
    <w:rsid w:val="00D9638F"/>
    <w:rsid w:val="00D97009"/>
    <w:rsid w:val="00D97CEA"/>
    <w:rsid w:val="00D97FF1"/>
    <w:rsid w:val="00DA4D5C"/>
    <w:rsid w:val="00DB09EA"/>
    <w:rsid w:val="00DB610C"/>
    <w:rsid w:val="00DB6C76"/>
    <w:rsid w:val="00DC115F"/>
    <w:rsid w:val="00DC1ACD"/>
    <w:rsid w:val="00DC2755"/>
    <w:rsid w:val="00DC410A"/>
    <w:rsid w:val="00DC4EF7"/>
    <w:rsid w:val="00DC7396"/>
    <w:rsid w:val="00DD093C"/>
    <w:rsid w:val="00DD3B2F"/>
    <w:rsid w:val="00DD401F"/>
    <w:rsid w:val="00DD5CB8"/>
    <w:rsid w:val="00DD7AF1"/>
    <w:rsid w:val="00DE16BD"/>
    <w:rsid w:val="00DE5F1E"/>
    <w:rsid w:val="00DE7675"/>
    <w:rsid w:val="00DF373F"/>
    <w:rsid w:val="00DF587B"/>
    <w:rsid w:val="00DF6AFD"/>
    <w:rsid w:val="00DF6BE6"/>
    <w:rsid w:val="00DF6C83"/>
    <w:rsid w:val="00E03713"/>
    <w:rsid w:val="00E065D6"/>
    <w:rsid w:val="00E125D5"/>
    <w:rsid w:val="00E13F37"/>
    <w:rsid w:val="00E168EC"/>
    <w:rsid w:val="00E246D6"/>
    <w:rsid w:val="00E24E93"/>
    <w:rsid w:val="00E24F91"/>
    <w:rsid w:val="00E25C81"/>
    <w:rsid w:val="00E36706"/>
    <w:rsid w:val="00E401E3"/>
    <w:rsid w:val="00E417FD"/>
    <w:rsid w:val="00E4339B"/>
    <w:rsid w:val="00E43E82"/>
    <w:rsid w:val="00E44462"/>
    <w:rsid w:val="00E47FDF"/>
    <w:rsid w:val="00E52FF6"/>
    <w:rsid w:val="00E54A2A"/>
    <w:rsid w:val="00E559EC"/>
    <w:rsid w:val="00E60283"/>
    <w:rsid w:val="00E60596"/>
    <w:rsid w:val="00E64B14"/>
    <w:rsid w:val="00E64B53"/>
    <w:rsid w:val="00E65EC5"/>
    <w:rsid w:val="00E65FF2"/>
    <w:rsid w:val="00E66951"/>
    <w:rsid w:val="00E70D3B"/>
    <w:rsid w:val="00E72354"/>
    <w:rsid w:val="00E81FC4"/>
    <w:rsid w:val="00E8253E"/>
    <w:rsid w:val="00E85B50"/>
    <w:rsid w:val="00E85C39"/>
    <w:rsid w:val="00E86C4F"/>
    <w:rsid w:val="00E87052"/>
    <w:rsid w:val="00E903F4"/>
    <w:rsid w:val="00E9250A"/>
    <w:rsid w:val="00E935EF"/>
    <w:rsid w:val="00E9497D"/>
    <w:rsid w:val="00E97D1B"/>
    <w:rsid w:val="00EA52A5"/>
    <w:rsid w:val="00EA6D81"/>
    <w:rsid w:val="00EA6ECF"/>
    <w:rsid w:val="00EA7B48"/>
    <w:rsid w:val="00EB0553"/>
    <w:rsid w:val="00EB1093"/>
    <w:rsid w:val="00EB4657"/>
    <w:rsid w:val="00EB614B"/>
    <w:rsid w:val="00EB6DA8"/>
    <w:rsid w:val="00EB7A71"/>
    <w:rsid w:val="00EC0650"/>
    <w:rsid w:val="00EC32EC"/>
    <w:rsid w:val="00EC5DC0"/>
    <w:rsid w:val="00ED2891"/>
    <w:rsid w:val="00ED3614"/>
    <w:rsid w:val="00ED4ACF"/>
    <w:rsid w:val="00ED62EA"/>
    <w:rsid w:val="00EE12E6"/>
    <w:rsid w:val="00EE318F"/>
    <w:rsid w:val="00EE5503"/>
    <w:rsid w:val="00EE67B9"/>
    <w:rsid w:val="00EF08FC"/>
    <w:rsid w:val="00EF1BB8"/>
    <w:rsid w:val="00EF3C83"/>
    <w:rsid w:val="00EF6B91"/>
    <w:rsid w:val="00EF705F"/>
    <w:rsid w:val="00F00132"/>
    <w:rsid w:val="00F00B34"/>
    <w:rsid w:val="00F05807"/>
    <w:rsid w:val="00F070C9"/>
    <w:rsid w:val="00F071BE"/>
    <w:rsid w:val="00F071CB"/>
    <w:rsid w:val="00F104EB"/>
    <w:rsid w:val="00F119FD"/>
    <w:rsid w:val="00F11DD5"/>
    <w:rsid w:val="00F11F4C"/>
    <w:rsid w:val="00F12659"/>
    <w:rsid w:val="00F160AD"/>
    <w:rsid w:val="00F20399"/>
    <w:rsid w:val="00F2190D"/>
    <w:rsid w:val="00F21BA5"/>
    <w:rsid w:val="00F21FC8"/>
    <w:rsid w:val="00F2305F"/>
    <w:rsid w:val="00F23429"/>
    <w:rsid w:val="00F25A57"/>
    <w:rsid w:val="00F4039E"/>
    <w:rsid w:val="00F41106"/>
    <w:rsid w:val="00F43F61"/>
    <w:rsid w:val="00F46005"/>
    <w:rsid w:val="00F5073B"/>
    <w:rsid w:val="00F52133"/>
    <w:rsid w:val="00F532DE"/>
    <w:rsid w:val="00F53350"/>
    <w:rsid w:val="00F548A6"/>
    <w:rsid w:val="00F5597E"/>
    <w:rsid w:val="00F5731E"/>
    <w:rsid w:val="00F57C5A"/>
    <w:rsid w:val="00F61337"/>
    <w:rsid w:val="00F6199B"/>
    <w:rsid w:val="00F63E0F"/>
    <w:rsid w:val="00F65E5F"/>
    <w:rsid w:val="00F66488"/>
    <w:rsid w:val="00F67FD7"/>
    <w:rsid w:val="00F732E1"/>
    <w:rsid w:val="00F80416"/>
    <w:rsid w:val="00F805E2"/>
    <w:rsid w:val="00F83386"/>
    <w:rsid w:val="00F9054A"/>
    <w:rsid w:val="00F91382"/>
    <w:rsid w:val="00F92067"/>
    <w:rsid w:val="00F92B8A"/>
    <w:rsid w:val="00F93AA3"/>
    <w:rsid w:val="00F9403C"/>
    <w:rsid w:val="00F96774"/>
    <w:rsid w:val="00F96A85"/>
    <w:rsid w:val="00FA2E94"/>
    <w:rsid w:val="00FA32DA"/>
    <w:rsid w:val="00FA6058"/>
    <w:rsid w:val="00FA7D74"/>
    <w:rsid w:val="00FB0AA9"/>
    <w:rsid w:val="00FB1311"/>
    <w:rsid w:val="00FB1C89"/>
    <w:rsid w:val="00FB67CA"/>
    <w:rsid w:val="00FB7E85"/>
    <w:rsid w:val="00FC1A15"/>
    <w:rsid w:val="00FC2DD8"/>
    <w:rsid w:val="00FC3789"/>
    <w:rsid w:val="00FC3B05"/>
    <w:rsid w:val="00FC43B7"/>
    <w:rsid w:val="00FD1FA2"/>
    <w:rsid w:val="00FD213F"/>
    <w:rsid w:val="00FD272A"/>
    <w:rsid w:val="00FD410F"/>
    <w:rsid w:val="00FD61A1"/>
    <w:rsid w:val="00FD7AA1"/>
    <w:rsid w:val="00FE2524"/>
    <w:rsid w:val="00FE2A69"/>
    <w:rsid w:val="00FE71B4"/>
    <w:rsid w:val="00FF22A2"/>
    <w:rsid w:val="00FF2BE0"/>
    <w:rsid w:val="00FF4233"/>
    <w:rsid w:val="00FF4DA6"/>
    <w:rsid w:val="00FF64D0"/>
    <w:rsid w:val="00FF693C"/>
    <w:rsid w:val="00FF6FF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3C0EAB-4B91-41BD-9658-FF561DBF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C51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4C51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6">
    <w:name w:val="heading 6"/>
    <w:basedOn w:val="Standaard"/>
    <w:link w:val="Kop6Char"/>
    <w:uiPriority w:val="9"/>
    <w:qFormat/>
    <w:rsid w:val="000D78A0"/>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C2C"/>
    <w:pPr>
      <w:ind w:left="720"/>
      <w:contextualSpacing/>
    </w:pPr>
  </w:style>
  <w:style w:type="paragraph" w:styleId="Voetnoottekst">
    <w:name w:val="footnote text"/>
    <w:basedOn w:val="Standaard"/>
    <w:link w:val="VoetnoottekstChar"/>
    <w:uiPriority w:val="99"/>
    <w:unhideWhenUsed/>
    <w:rsid w:val="00564E43"/>
    <w:pPr>
      <w:spacing w:after="0" w:line="240" w:lineRule="auto"/>
    </w:pPr>
    <w:rPr>
      <w:sz w:val="20"/>
      <w:szCs w:val="20"/>
    </w:rPr>
  </w:style>
  <w:style w:type="character" w:customStyle="1" w:styleId="VoetnoottekstChar">
    <w:name w:val="Voetnoottekst Char"/>
    <w:basedOn w:val="Standaardalinea-lettertype"/>
    <w:link w:val="Voetnoottekst"/>
    <w:uiPriority w:val="99"/>
    <w:rsid w:val="00564E43"/>
    <w:rPr>
      <w:sz w:val="20"/>
      <w:szCs w:val="20"/>
    </w:rPr>
  </w:style>
  <w:style w:type="character" w:styleId="Voetnootmarkering">
    <w:name w:val="footnote reference"/>
    <w:basedOn w:val="Standaardalinea-lettertype"/>
    <w:uiPriority w:val="99"/>
    <w:semiHidden/>
    <w:unhideWhenUsed/>
    <w:rsid w:val="00564E43"/>
    <w:rPr>
      <w:vertAlign w:val="superscript"/>
    </w:rPr>
  </w:style>
  <w:style w:type="paragraph" w:styleId="Geenafstand">
    <w:name w:val="No Spacing"/>
    <w:uiPriority w:val="1"/>
    <w:qFormat/>
    <w:rsid w:val="00DD5CB8"/>
    <w:pPr>
      <w:spacing w:after="0" w:line="240" w:lineRule="auto"/>
    </w:pPr>
  </w:style>
  <w:style w:type="paragraph" w:styleId="Normaalweb">
    <w:name w:val="Normal (Web)"/>
    <w:basedOn w:val="Standaard"/>
    <w:uiPriority w:val="99"/>
    <w:unhideWhenUsed/>
    <w:rsid w:val="00F41106"/>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elraster">
    <w:name w:val="Table Grid"/>
    <w:basedOn w:val="Standaardtabel"/>
    <w:uiPriority w:val="59"/>
    <w:rsid w:val="0097388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433D7"/>
    <w:rPr>
      <w:color w:val="0563C1" w:themeColor="hyperlink"/>
      <w:u w:val="single"/>
    </w:rPr>
  </w:style>
  <w:style w:type="character" w:customStyle="1" w:styleId="hl1">
    <w:name w:val="hl1"/>
    <w:basedOn w:val="Standaardalinea-lettertype"/>
    <w:rsid w:val="0024606A"/>
  </w:style>
  <w:style w:type="character" w:customStyle="1" w:styleId="apple-converted-space">
    <w:name w:val="apple-converted-space"/>
    <w:basedOn w:val="Standaardalinea-lettertype"/>
    <w:rsid w:val="0024606A"/>
  </w:style>
  <w:style w:type="character" w:customStyle="1" w:styleId="hl0">
    <w:name w:val="hl0"/>
    <w:basedOn w:val="Standaardalinea-lettertype"/>
    <w:rsid w:val="0024606A"/>
  </w:style>
  <w:style w:type="character" w:customStyle="1" w:styleId="Nadruk1">
    <w:name w:val="Nadruk1"/>
    <w:basedOn w:val="Standaardalinea-lettertype"/>
    <w:rsid w:val="0024606A"/>
  </w:style>
  <w:style w:type="character" w:styleId="GevolgdeHyperlink">
    <w:name w:val="FollowedHyperlink"/>
    <w:basedOn w:val="Standaardalinea-lettertype"/>
    <w:uiPriority w:val="99"/>
    <w:semiHidden/>
    <w:unhideWhenUsed/>
    <w:rsid w:val="00856A43"/>
    <w:rPr>
      <w:color w:val="954F72" w:themeColor="followedHyperlink"/>
      <w:u w:val="single"/>
    </w:rPr>
  </w:style>
  <w:style w:type="character" w:customStyle="1" w:styleId="hl2">
    <w:name w:val="hl2"/>
    <w:basedOn w:val="Standaardalinea-lettertype"/>
    <w:rsid w:val="00F2190D"/>
  </w:style>
  <w:style w:type="paragraph" w:customStyle="1" w:styleId="labeled">
    <w:name w:val="labeled"/>
    <w:basedOn w:val="Standaard"/>
    <w:rsid w:val="006F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6F7FF7"/>
  </w:style>
  <w:style w:type="character" w:customStyle="1" w:styleId="Kop6Char">
    <w:name w:val="Kop 6 Char"/>
    <w:basedOn w:val="Standaardalinea-lettertype"/>
    <w:link w:val="Kop6"/>
    <w:uiPriority w:val="9"/>
    <w:rsid w:val="000D78A0"/>
    <w:rPr>
      <w:rFonts w:ascii="Times New Roman" w:eastAsia="Times New Roman" w:hAnsi="Times New Roman" w:cs="Times New Roman"/>
      <w:b/>
      <w:bCs/>
      <w:sz w:val="15"/>
      <w:szCs w:val="15"/>
      <w:lang w:eastAsia="nl-NL"/>
    </w:rPr>
  </w:style>
  <w:style w:type="paragraph" w:styleId="Koptekst">
    <w:name w:val="header"/>
    <w:basedOn w:val="Standaard"/>
    <w:link w:val="KoptekstChar"/>
    <w:uiPriority w:val="99"/>
    <w:unhideWhenUsed/>
    <w:rsid w:val="005B53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304"/>
  </w:style>
  <w:style w:type="paragraph" w:styleId="Voettekst">
    <w:name w:val="footer"/>
    <w:basedOn w:val="Standaard"/>
    <w:link w:val="VoettekstChar"/>
    <w:uiPriority w:val="99"/>
    <w:unhideWhenUsed/>
    <w:rsid w:val="005B53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304"/>
  </w:style>
  <w:style w:type="character" w:customStyle="1" w:styleId="Nadruk2">
    <w:name w:val="Nadruk2"/>
    <w:basedOn w:val="Standaardalinea-lettertype"/>
    <w:rsid w:val="00895B05"/>
  </w:style>
  <w:style w:type="paragraph" w:styleId="Ballontekst">
    <w:name w:val="Balloon Text"/>
    <w:basedOn w:val="Standaard"/>
    <w:link w:val="BallontekstChar"/>
    <w:uiPriority w:val="99"/>
    <w:semiHidden/>
    <w:unhideWhenUsed/>
    <w:rsid w:val="004609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9D3"/>
    <w:rPr>
      <w:rFonts w:ascii="Tahoma" w:hAnsi="Tahoma" w:cs="Tahoma"/>
      <w:sz w:val="16"/>
      <w:szCs w:val="16"/>
    </w:rPr>
  </w:style>
  <w:style w:type="character" w:customStyle="1" w:styleId="Kop1Char">
    <w:name w:val="Kop 1 Char"/>
    <w:basedOn w:val="Standaardalinea-lettertype"/>
    <w:link w:val="Kop1"/>
    <w:uiPriority w:val="9"/>
    <w:rsid w:val="004C512B"/>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4C512B"/>
    <w:rPr>
      <w:rFonts w:asciiTheme="majorHAnsi" w:eastAsiaTheme="majorEastAsia" w:hAnsiTheme="majorHAnsi" w:cstheme="majorBidi"/>
      <w:b/>
      <w:bCs/>
      <w:color w:val="5B9BD5" w:themeColor="accent1"/>
      <w:sz w:val="26"/>
      <w:szCs w:val="26"/>
    </w:rPr>
  </w:style>
  <w:style w:type="paragraph" w:styleId="Kopvaninhoudsopgave">
    <w:name w:val="TOC Heading"/>
    <w:basedOn w:val="Kop1"/>
    <w:next w:val="Standaard"/>
    <w:uiPriority w:val="39"/>
    <w:unhideWhenUsed/>
    <w:qFormat/>
    <w:rsid w:val="004E4AFA"/>
    <w:pPr>
      <w:spacing w:line="276" w:lineRule="auto"/>
      <w:outlineLvl w:val="9"/>
    </w:pPr>
    <w:rPr>
      <w:lang w:eastAsia="nl-NL"/>
    </w:rPr>
  </w:style>
  <w:style w:type="paragraph" w:styleId="Inhopg1">
    <w:name w:val="toc 1"/>
    <w:basedOn w:val="Standaard"/>
    <w:next w:val="Standaard"/>
    <w:autoRedefine/>
    <w:uiPriority w:val="39"/>
    <w:unhideWhenUsed/>
    <w:qFormat/>
    <w:rsid w:val="004E4AFA"/>
    <w:pPr>
      <w:spacing w:after="100"/>
    </w:pPr>
  </w:style>
  <w:style w:type="paragraph" w:styleId="Inhopg2">
    <w:name w:val="toc 2"/>
    <w:basedOn w:val="Standaard"/>
    <w:next w:val="Standaard"/>
    <w:autoRedefine/>
    <w:uiPriority w:val="39"/>
    <w:unhideWhenUsed/>
    <w:qFormat/>
    <w:rsid w:val="004E4AFA"/>
    <w:pPr>
      <w:spacing w:after="100"/>
      <w:ind w:left="220"/>
    </w:pPr>
  </w:style>
  <w:style w:type="paragraph" w:styleId="Inhopg3">
    <w:name w:val="toc 3"/>
    <w:basedOn w:val="Standaard"/>
    <w:next w:val="Standaard"/>
    <w:autoRedefine/>
    <w:uiPriority w:val="39"/>
    <w:semiHidden/>
    <w:unhideWhenUsed/>
    <w:qFormat/>
    <w:rsid w:val="0084563A"/>
    <w:pPr>
      <w:spacing w:after="100" w:line="276" w:lineRule="auto"/>
      <w:ind w:left="44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176">
      <w:bodyDiv w:val="1"/>
      <w:marLeft w:val="0"/>
      <w:marRight w:val="0"/>
      <w:marTop w:val="0"/>
      <w:marBottom w:val="0"/>
      <w:divBdr>
        <w:top w:val="none" w:sz="0" w:space="0" w:color="auto"/>
        <w:left w:val="none" w:sz="0" w:space="0" w:color="auto"/>
        <w:bottom w:val="none" w:sz="0" w:space="0" w:color="auto"/>
        <w:right w:val="none" w:sz="0" w:space="0" w:color="auto"/>
      </w:divBdr>
    </w:div>
    <w:div w:id="140269245">
      <w:bodyDiv w:val="1"/>
      <w:marLeft w:val="0"/>
      <w:marRight w:val="0"/>
      <w:marTop w:val="0"/>
      <w:marBottom w:val="0"/>
      <w:divBdr>
        <w:top w:val="none" w:sz="0" w:space="0" w:color="auto"/>
        <w:left w:val="none" w:sz="0" w:space="0" w:color="auto"/>
        <w:bottom w:val="none" w:sz="0" w:space="0" w:color="auto"/>
        <w:right w:val="none" w:sz="0" w:space="0" w:color="auto"/>
      </w:divBdr>
    </w:div>
    <w:div w:id="414666764">
      <w:bodyDiv w:val="1"/>
      <w:marLeft w:val="0"/>
      <w:marRight w:val="0"/>
      <w:marTop w:val="0"/>
      <w:marBottom w:val="0"/>
      <w:divBdr>
        <w:top w:val="none" w:sz="0" w:space="0" w:color="auto"/>
        <w:left w:val="none" w:sz="0" w:space="0" w:color="auto"/>
        <w:bottom w:val="none" w:sz="0" w:space="0" w:color="auto"/>
        <w:right w:val="none" w:sz="0" w:space="0" w:color="auto"/>
      </w:divBdr>
    </w:div>
    <w:div w:id="796991833">
      <w:bodyDiv w:val="1"/>
      <w:marLeft w:val="0"/>
      <w:marRight w:val="0"/>
      <w:marTop w:val="0"/>
      <w:marBottom w:val="0"/>
      <w:divBdr>
        <w:top w:val="none" w:sz="0" w:space="0" w:color="auto"/>
        <w:left w:val="none" w:sz="0" w:space="0" w:color="auto"/>
        <w:bottom w:val="none" w:sz="0" w:space="0" w:color="auto"/>
        <w:right w:val="none" w:sz="0" w:space="0" w:color="auto"/>
      </w:divBdr>
    </w:div>
    <w:div w:id="970402028">
      <w:bodyDiv w:val="1"/>
      <w:marLeft w:val="0"/>
      <w:marRight w:val="0"/>
      <w:marTop w:val="0"/>
      <w:marBottom w:val="0"/>
      <w:divBdr>
        <w:top w:val="none" w:sz="0" w:space="0" w:color="auto"/>
        <w:left w:val="none" w:sz="0" w:space="0" w:color="auto"/>
        <w:bottom w:val="none" w:sz="0" w:space="0" w:color="auto"/>
        <w:right w:val="none" w:sz="0" w:space="0" w:color="auto"/>
      </w:divBdr>
    </w:div>
    <w:div w:id="1012417852">
      <w:bodyDiv w:val="1"/>
      <w:marLeft w:val="0"/>
      <w:marRight w:val="0"/>
      <w:marTop w:val="0"/>
      <w:marBottom w:val="0"/>
      <w:divBdr>
        <w:top w:val="none" w:sz="0" w:space="0" w:color="auto"/>
        <w:left w:val="none" w:sz="0" w:space="0" w:color="auto"/>
        <w:bottom w:val="none" w:sz="0" w:space="0" w:color="auto"/>
        <w:right w:val="none" w:sz="0" w:space="0" w:color="auto"/>
      </w:divBdr>
    </w:div>
    <w:div w:id="1201238373">
      <w:bodyDiv w:val="1"/>
      <w:marLeft w:val="0"/>
      <w:marRight w:val="0"/>
      <w:marTop w:val="0"/>
      <w:marBottom w:val="0"/>
      <w:divBdr>
        <w:top w:val="none" w:sz="0" w:space="0" w:color="auto"/>
        <w:left w:val="none" w:sz="0" w:space="0" w:color="auto"/>
        <w:bottom w:val="none" w:sz="0" w:space="0" w:color="auto"/>
        <w:right w:val="none" w:sz="0" w:space="0" w:color="auto"/>
      </w:divBdr>
    </w:div>
    <w:div w:id="1318538537">
      <w:bodyDiv w:val="1"/>
      <w:marLeft w:val="0"/>
      <w:marRight w:val="0"/>
      <w:marTop w:val="0"/>
      <w:marBottom w:val="0"/>
      <w:divBdr>
        <w:top w:val="none" w:sz="0" w:space="0" w:color="auto"/>
        <w:left w:val="none" w:sz="0" w:space="0" w:color="auto"/>
        <w:bottom w:val="none" w:sz="0" w:space="0" w:color="auto"/>
        <w:right w:val="none" w:sz="0" w:space="0" w:color="auto"/>
      </w:divBdr>
    </w:div>
    <w:div w:id="1471291016">
      <w:bodyDiv w:val="1"/>
      <w:marLeft w:val="0"/>
      <w:marRight w:val="0"/>
      <w:marTop w:val="0"/>
      <w:marBottom w:val="0"/>
      <w:divBdr>
        <w:top w:val="none" w:sz="0" w:space="0" w:color="auto"/>
        <w:left w:val="none" w:sz="0" w:space="0" w:color="auto"/>
        <w:bottom w:val="none" w:sz="0" w:space="0" w:color="auto"/>
        <w:right w:val="none" w:sz="0" w:space="0" w:color="auto"/>
      </w:divBdr>
    </w:div>
    <w:div w:id="1486242279">
      <w:bodyDiv w:val="1"/>
      <w:marLeft w:val="0"/>
      <w:marRight w:val="0"/>
      <w:marTop w:val="0"/>
      <w:marBottom w:val="0"/>
      <w:divBdr>
        <w:top w:val="none" w:sz="0" w:space="0" w:color="auto"/>
        <w:left w:val="none" w:sz="0" w:space="0" w:color="auto"/>
        <w:bottom w:val="none" w:sz="0" w:space="0" w:color="auto"/>
        <w:right w:val="none" w:sz="0" w:space="0" w:color="auto"/>
      </w:divBdr>
      <w:divsChild>
        <w:div w:id="413625824">
          <w:marLeft w:val="0"/>
          <w:marRight w:val="0"/>
          <w:marTop w:val="0"/>
          <w:marBottom w:val="0"/>
          <w:divBdr>
            <w:top w:val="none" w:sz="0" w:space="0" w:color="auto"/>
            <w:left w:val="none" w:sz="0" w:space="0" w:color="auto"/>
            <w:bottom w:val="none" w:sz="0" w:space="0" w:color="auto"/>
            <w:right w:val="none" w:sz="0" w:space="0" w:color="auto"/>
          </w:divBdr>
          <w:divsChild>
            <w:div w:id="1483816751">
              <w:marLeft w:val="0"/>
              <w:marRight w:val="0"/>
              <w:marTop w:val="0"/>
              <w:marBottom w:val="0"/>
              <w:divBdr>
                <w:top w:val="none" w:sz="0" w:space="0" w:color="auto"/>
                <w:left w:val="none" w:sz="0" w:space="0" w:color="auto"/>
                <w:bottom w:val="none" w:sz="0" w:space="0" w:color="auto"/>
                <w:right w:val="none" w:sz="0" w:space="0" w:color="auto"/>
              </w:divBdr>
              <w:divsChild>
                <w:div w:id="660962925">
                  <w:marLeft w:val="0"/>
                  <w:marRight w:val="0"/>
                  <w:marTop w:val="75"/>
                  <w:marBottom w:val="0"/>
                  <w:divBdr>
                    <w:top w:val="none" w:sz="0" w:space="0" w:color="auto"/>
                    <w:left w:val="none" w:sz="0" w:space="0" w:color="auto"/>
                    <w:bottom w:val="none" w:sz="0" w:space="0" w:color="auto"/>
                    <w:right w:val="none" w:sz="0" w:space="0" w:color="auto"/>
                  </w:divBdr>
                  <w:divsChild>
                    <w:div w:id="12417987">
                      <w:marLeft w:val="0"/>
                      <w:marRight w:val="0"/>
                      <w:marTop w:val="0"/>
                      <w:marBottom w:val="0"/>
                      <w:divBdr>
                        <w:top w:val="none" w:sz="0" w:space="0" w:color="auto"/>
                        <w:left w:val="none" w:sz="0" w:space="0" w:color="auto"/>
                        <w:bottom w:val="none" w:sz="0" w:space="0" w:color="auto"/>
                        <w:right w:val="none" w:sz="0" w:space="0" w:color="auto"/>
                      </w:divBdr>
                      <w:divsChild>
                        <w:div w:id="1170755373">
                          <w:marLeft w:val="0"/>
                          <w:marRight w:val="0"/>
                          <w:marTop w:val="0"/>
                          <w:marBottom w:val="0"/>
                          <w:divBdr>
                            <w:top w:val="none" w:sz="0" w:space="0" w:color="auto"/>
                            <w:left w:val="none" w:sz="0" w:space="0" w:color="auto"/>
                            <w:bottom w:val="none" w:sz="0" w:space="0" w:color="auto"/>
                            <w:right w:val="none" w:sz="0" w:space="0" w:color="auto"/>
                          </w:divBdr>
                          <w:divsChild>
                            <w:div w:id="2031879470">
                              <w:marLeft w:val="0"/>
                              <w:marRight w:val="0"/>
                              <w:marTop w:val="0"/>
                              <w:marBottom w:val="0"/>
                              <w:divBdr>
                                <w:top w:val="none" w:sz="0" w:space="0" w:color="auto"/>
                                <w:left w:val="none" w:sz="0" w:space="0" w:color="auto"/>
                                <w:bottom w:val="none" w:sz="0" w:space="0" w:color="auto"/>
                                <w:right w:val="none" w:sz="0" w:space="0" w:color="auto"/>
                              </w:divBdr>
                            </w:div>
                            <w:div w:id="1197237310">
                              <w:marLeft w:val="0"/>
                              <w:marRight w:val="0"/>
                              <w:marTop w:val="0"/>
                              <w:marBottom w:val="0"/>
                              <w:divBdr>
                                <w:top w:val="none" w:sz="0" w:space="0" w:color="auto"/>
                                <w:left w:val="none" w:sz="0" w:space="0" w:color="auto"/>
                                <w:bottom w:val="none" w:sz="0" w:space="0" w:color="auto"/>
                                <w:right w:val="none" w:sz="0" w:space="0" w:color="auto"/>
                              </w:divBdr>
                            </w:div>
                            <w:div w:id="1100682523">
                              <w:marLeft w:val="0"/>
                              <w:marRight w:val="0"/>
                              <w:marTop w:val="0"/>
                              <w:marBottom w:val="0"/>
                              <w:divBdr>
                                <w:top w:val="none" w:sz="0" w:space="0" w:color="auto"/>
                                <w:left w:val="none" w:sz="0" w:space="0" w:color="auto"/>
                                <w:bottom w:val="none" w:sz="0" w:space="0" w:color="auto"/>
                                <w:right w:val="none" w:sz="0" w:space="0" w:color="auto"/>
                              </w:divBdr>
                            </w:div>
                            <w:div w:id="693530793">
                              <w:marLeft w:val="0"/>
                              <w:marRight w:val="0"/>
                              <w:marTop w:val="0"/>
                              <w:marBottom w:val="0"/>
                              <w:divBdr>
                                <w:top w:val="none" w:sz="0" w:space="0" w:color="auto"/>
                                <w:left w:val="none" w:sz="0" w:space="0" w:color="auto"/>
                                <w:bottom w:val="none" w:sz="0" w:space="0" w:color="auto"/>
                                <w:right w:val="none" w:sz="0" w:space="0" w:color="auto"/>
                              </w:divBdr>
                            </w:div>
                            <w:div w:id="782265817">
                              <w:marLeft w:val="0"/>
                              <w:marRight w:val="0"/>
                              <w:marTop w:val="0"/>
                              <w:marBottom w:val="0"/>
                              <w:divBdr>
                                <w:top w:val="none" w:sz="0" w:space="0" w:color="auto"/>
                                <w:left w:val="none" w:sz="0" w:space="0" w:color="auto"/>
                                <w:bottom w:val="none" w:sz="0" w:space="0" w:color="auto"/>
                                <w:right w:val="none" w:sz="0" w:space="0" w:color="auto"/>
                              </w:divBdr>
                            </w:div>
                            <w:div w:id="1263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4658">
      <w:bodyDiv w:val="1"/>
      <w:marLeft w:val="0"/>
      <w:marRight w:val="0"/>
      <w:marTop w:val="0"/>
      <w:marBottom w:val="0"/>
      <w:divBdr>
        <w:top w:val="none" w:sz="0" w:space="0" w:color="auto"/>
        <w:left w:val="none" w:sz="0" w:space="0" w:color="auto"/>
        <w:bottom w:val="none" w:sz="0" w:space="0" w:color="auto"/>
        <w:right w:val="none" w:sz="0" w:space="0" w:color="auto"/>
      </w:divBdr>
    </w:div>
    <w:div w:id="1605531038">
      <w:bodyDiv w:val="1"/>
      <w:marLeft w:val="0"/>
      <w:marRight w:val="0"/>
      <w:marTop w:val="0"/>
      <w:marBottom w:val="0"/>
      <w:divBdr>
        <w:top w:val="none" w:sz="0" w:space="0" w:color="auto"/>
        <w:left w:val="none" w:sz="0" w:space="0" w:color="auto"/>
        <w:bottom w:val="none" w:sz="0" w:space="0" w:color="auto"/>
        <w:right w:val="none" w:sz="0" w:space="0" w:color="auto"/>
      </w:divBdr>
      <w:divsChild>
        <w:div w:id="1244795961">
          <w:marLeft w:val="0"/>
          <w:marRight w:val="0"/>
          <w:marTop w:val="0"/>
          <w:marBottom w:val="0"/>
          <w:divBdr>
            <w:top w:val="none" w:sz="0" w:space="0" w:color="auto"/>
            <w:left w:val="none" w:sz="0" w:space="0" w:color="auto"/>
            <w:bottom w:val="none" w:sz="0" w:space="0" w:color="auto"/>
            <w:right w:val="none" w:sz="0" w:space="0" w:color="auto"/>
          </w:divBdr>
          <w:divsChild>
            <w:div w:id="1405490426">
              <w:marLeft w:val="0"/>
              <w:marRight w:val="0"/>
              <w:marTop w:val="0"/>
              <w:marBottom w:val="0"/>
              <w:divBdr>
                <w:top w:val="none" w:sz="0" w:space="0" w:color="auto"/>
                <w:left w:val="none" w:sz="0" w:space="0" w:color="auto"/>
                <w:bottom w:val="none" w:sz="0" w:space="0" w:color="auto"/>
                <w:right w:val="none" w:sz="0" w:space="0" w:color="auto"/>
              </w:divBdr>
              <w:divsChild>
                <w:div w:id="1081215155">
                  <w:marLeft w:val="0"/>
                  <w:marRight w:val="0"/>
                  <w:marTop w:val="75"/>
                  <w:marBottom w:val="0"/>
                  <w:divBdr>
                    <w:top w:val="none" w:sz="0" w:space="0" w:color="auto"/>
                    <w:left w:val="none" w:sz="0" w:space="0" w:color="auto"/>
                    <w:bottom w:val="none" w:sz="0" w:space="0" w:color="auto"/>
                    <w:right w:val="none" w:sz="0" w:space="0" w:color="auto"/>
                  </w:divBdr>
                  <w:divsChild>
                    <w:div w:id="1179584207">
                      <w:marLeft w:val="0"/>
                      <w:marRight w:val="0"/>
                      <w:marTop w:val="0"/>
                      <w:marBottom w:val="0"/>
                      <w:divBdr>
                        <w:top w:val="none" w:sz="0" w:space="0" w:color="auto"/>
                        <w:left w:val="none" w:sz="0" w:space="0" w:color="auto"/>
                        <w:bottom w:val="none" w:sz="0" w:space="0" w:color="auto"/>
                        <w:right w:val="none" w:sz="0" w:space="0" w:color="auto"/>
                      </w:divBdr>
                      <w:divsChild>
                        <w:div w:id="1820535746">
                          <w:marLeft w:val="0"/>
                          <w:marRight w:val="0"/>
                          <w:marTop w:val="0"/>
                          <w:marBottom w:val="0"/>
                          <w:divBdr>
                            <w:top w:val="none" w:sz="0" w:space="0" w:color="auto"/>
                            <w:left w:val="none" w:sz="0" w:space="0" w:color="auto"/>
                            <w:bottom w:val="none" w:sz="0" w:space="0" w:color="auto"/>
                            <w:right w:val="none" w:sz="0" w:space="0" w:color="auto"/>
                          </w:divBdr>
                          <w:divsChild>
                            <w:div w:id="1845706754">
                              <w:marLeft w:val="0"/>
                              <w:marRight w:val="0"/>
                              <w:marTop w:val="0"/>
                              <w:marBottom w:val="0"/>
                              <w:divBdr>
                                <w:top w:val="none" w:sz="0" w:space="0" w:color="auto"/>
                                <w:left w:val="none" w:sz="0" w:space="0" w:color="auto"/>
                                <w:bottom w:val="none" w:sz="0" w:space="0" w:color="auto"/>
                                <w:right w:val="none" w:sz="0" w:space="0" w:color="auto"/>
                              </w:divBdr>
                            </w:div>
                            <w:div w:id="611674314">
                              <w:marLeft w:val="0"/>
                              <w:marRight w:val="0"/>
                              <w:marTop w:val="0"/>
                              <w:marBottom w:val="0"/>
                              <w:divBdr>
                                <w:top w:val="none" w:sz="0" w:space="0" w:color="auto"/>
                                <w:left w:val="none" w:sz="0" w:space="0" w:color="auto"/>
                                <w:bottom w:val="none" w:sz="0" w:space="0" w:color="auto"/>
                                <w:right w:val="none" w:sz="0" w:space="0" w:color="auto"/>
                              </w:divBdr>
                            </w:div>
                            <w:div w:id="996108967">
                              <w:marLeft w:val="0"/>
                              <w:marRight w:val="0"/>
                              <w:marTop w:val="0"/>
                              <w:marBottom w:val="0"/>
                              <w:divBdr>
                                <w:top w:val="none" w:sz="0" w:space="0" w:color="auto"/>
                                <w:left w:val="none" w:sz="0" w:space="0" w:color="auto"/>
                                <w:bottom w:val="none" w:sz="0" w:space="0" w:color="auto"/>
                                <w:right w:val="none" w:sz="0" w:space="0" w:color="auto"/>
                              </w:divBdr>
                            </w:div>
                            <w:div w:id="672562007">
                              <w:marLeft w:val="0"/>
                              <w:marRight w:val="0"/>
                              <w:marTop w:val="0"/>
                              <w:marBottom w:val="0"/>
                              <w:divBdr>
                                <w:top w:val="none" w:sz="0" w:space="0" w:color="auto"/>
                                <w:left w:val="none" w:sz="0" w:space="0" w:color="auto"/>
                                <w:bottom w:val="none" w:sz="0" w:space="0" w:color="auto"/>
                                <w:right w:val="none" w:sz="0" w:space="0" w:color="auto"/>
                              </w:divBdr>
                            </w:div>
                            <w:div w:id="1980575533">
                              <w:marLeft w:val="0"/>
                              <w:marRight w:val="0"/>
                              <w:marTop w:val="0"/>
                              <w:marBottom w:val="0"/>
                              <w:divBdr>
                                <w:top w:val="none" w:sz="0" w:space="0" w:color="auto"/>
                                <w:left w:val="none" w:sz="0" w:space="0" w:color="auto"/>
                                <w:bottom w:val="none" w:sz="0" w:space="0" w:color="auto"/>
                                <w:right w:val="none" w:sz="0" w:space="0" w:color="auto"/>
                              </w:divBdr>
                            </w:div>
                            <w:div w:id="14594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090">
      <w:bodyDiv w:val="1"/>
      <w:marLeft w:val="0"/>
      <w:marRight w:val="0"/>
      <w:marTop w:val="0"/>
      <w:marBottom w:val="0"/>
      <w:divBdr>
        <w:top w:val="none" w:sz="0" w:space="0" w:color="auto"/>
        <w:left w:val="none" w:sz="0" w:space="0" w:color="auto"/>
        <w:bottom w:val="none" w:sz="0" w:space="0" w:color="auto"/>
        <w:right w:val="none" w:sz="0" w:space="0" w:color="auto"/>
      </w:divBdr>
    </w:div>
    <w:div w:id="1833063746">
      <w:bodyDiv w:val="1"/>
      <w:marLeft w:val="0"/>
      <w:marRight w:val="0"/>
      <w:marTop w:val="0"/>
      <w:marBottom w:val="0"/>
      <w:divBdr>
        <w:top w:val="none" w:sz="0" w:space="0" w:color="auto"/>
        <w:left w:val="none" w:sz="0" w:space="0" w:color="auto"/>
        <w:bottom w:val="none" w:sz="0" w:space="0" w:color="auto"/>
        <w:right w:val="none" w:sz="0" w:space="0" w:color="auto"/>
      </w:divBdr>
      <w:divsChild>
        <w:div w:id="61148454">
          <w:marLeft w:val="0"/>
          <w:marRight w:val="0"/>
          <w:marTop w:val="0"/>
          <w:marBottom w:val="0"/>
          <w:divBdr>
            <w:top w:val="none" w:sz="0" w:space="0" w:color="auto"/>
            <w:left w:val="none" w:sz="0" w:space="0" w:color="auto"/>
            <w:bottom w:val="none" w:sz="0" w:space="0" w:color="auto"/>
            <w:right w:val="none" w:sz="0" w:space="0" w:color="auto"/>
          </w:divBdr>
          <w:divsChild>
            <w:div w:id="1799031959">
              <w:marLeft w:val="0"/>
              <w:marRight w:val="0"/>
              <w:marTop w:val="0"/>
              <w:marBottom w:val="0"/>
              <w:divBdr>
                <w:top w:val="none" w:sz="0" w:space="0" w:color="auto"/>
                <w:left w:val="none" w:sz="0" w:space="0" w:color="auto"/>
                <w:bottom w:val="none" w:sz="0" w:space="0" w:color="auto"/>
                <w:right w:val="none" w:sz="0" w:space="0" w:color="auto"/>
              </w:divBdr>
              <w:divsChild>
                <w:div w:id="792599843">
                  <w:marLeft w:val="0"/>
                  <w:marRight w:val="0"/>
                  <w:marTop w:val="75"/>
                  <w:marBottom w:val="0"/>
                  <w:divBdr>
                    <w:top w:val="none" w:sz="0" w:space="0" w:color="auto"/>
                    <w:left w:val="none" w:sz="0" w:space="0" w:color="auto"/>
                    <w:bottom w:val="none" w:sz="0" w:space="0" w:color="auto"/>
                    <w:right w:val="none" w:sz="0" w:space="0" w:color="auto"/>
                  </w:divBdr>
                  <w:divsChild>
                    <w:div w:id="1479296993">
                      <w:marLeft w:val="0"/>
                      <w:marRight w:val="0"/>
                      <w:marTop w:val="0"/>
                      <w:marBottom w:val="0"/>
                      <w:divBdr>
                        <w:top w:val="none" w:sz="0" w:space="0" w:color="auto"/>
                        <w:left w:val="none" w:sz="0" w:space="0" w:color="auto"/>
                        <w:bottom w:val="none" w:sz="0" w:space="0" w:color="auto"/>
                        <w:right w:val="none" w:sz="0" w:space="0" w:color="auto"/>
                      </w:divBdr>
                      <w:divsChild>
                        <w:div w:id="849761208">
                          <w:marLeft w:val="0"/>
                          <w:marRight w:val="0"/>
                          <w:marTop w:val="0"/>
                          <w:marBottom w:val="0"/>
                          <w:divBdr>
                            <w:top w:val="none" w:sz="0" w:space="0" w:color="auto"/>
                            <w:left w:val="none" w:sz="0" w:space="0" w:color="auto"/>
                            <w:bottom w:val="none" w:sz="0" w:space="0" w:color="auto"/>
                            <w:right w:val="none" w:sz="0" w:space="0" w:color="auto"/>
                          </w:divBdr>
                          <w:divsChild>
                            <w:div w:id="374545504">
                              <w:marLeft w:val="0"/>
                              <w:marRight w:val="0"/>
                              <w:marTop w:val="0"/>
                              <w:marBottom w:val="0"/>
                              <w:divBdr>
                                <w:top w:val="none" w:sz="0" w:space="0" w:color="auto"/>
                                <w:left w:val="none" w:sz="0" w:space="0" w:color="auto"/>
                                <w:bottom w:val="none" w:sz="0" w:space="0" w:color="auto"/>
                                <w:right w:val="none" w:sz="0" w:space="0" w:color="auto"/>
                              </w:divBdr>
                            </w:div>
                            <w:div w:id="375079717">
                              <w:marLeft w:val="0"/>
                              <w:marRight w:val="0"/>
                              <w:marTop w:val="0"/>
                              <w:marBottom w:val="0"/>
                              <w:divBdr>
                                <w:top w:val="none" w:sz="0" w:space="0" w:color="auto"/>
                                <w:left w:val="none" w:sz="0" w:space="0" w:color="auto"/>
                                <w:bottom w:val="none" w:sz="0" w:space="0" w:color="auto"/>
                                <w:right w:val="none" w:sz="0" w:space="0" w:color="auto"/>
                              </w:divBdr>
                            </w:div>
                            <w:div w:id="1804735910">
                              <w:marLeft w:val="0"/>
                              <w:marRight w:val="0"/>
                              <w:marTop w:val="0"/>
                              <w:marBottom w:val="0"/>
                              <w:divBdr>
                                <w:top w:val="none" w:sz="0" w:space="0" w:color="auto"/>
                                <w:left w:val="none" w:sz="0" w:space="0" w:color="auto"/>
                                <w:bottom w:val="none" w:sz="0" w:space="0" w:color="auto"/>
                                <w:right w:val="none" w:sz="0" w:space="0" w:color="auto"/>
                              </w:divBdr>
                            </w:div>
                            <w:div w:id="1185826119">
                              <w:marLeft w:val="0"/>
                              <w:marRight w:val="0"/>
                              <w:marTop w:val="0"/>
                              <w:marBottom w:val="0"/>
                              <w:divBdr>
                                <w:top w:val="none" w:sz="0" w:space="0" w:color="auto"/>
                                <w:left w:val="none" w:sz="0" w:space="0" w:color="auto"/>
                                <w:bottom w:val="none" w:sz="0" w:space="0" w:color="auto"/>
                                <w:right w:val="none" w:sz="0" w:space="0" w:color="auto"/>
                              </w:divBdr>
                            </w:div>
                            <w:div w:id="1447236422">
                              <w:marLeft w:val="0"/>
                              <w:marRight w:val="0"/>
                              <w:marTop w:val="0"/>
                              <w:marBottom w:val="0"/>
                              <w:divBdr>
                                <w:top w:val="none" w:sz="0" w:space="0" w:color="auto"/>
                                <w:left w:val="none" w:sz="0" w:space="0" w:color="auto"/>
                                <w:bottom w:val="none" w:sz="0" w:space="0" w:color="auto"/>
                                <w:right w:val="none" w:sz="0" w:space="0" w:color="auto"/>
                              </w:divBdr>
                            </w:div>
                            <w:div w:id="19123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164569">
      <w:bodyDiv w:val="1"/>
      <w:marLeft w:val="0"/>
      <w:marRight w:val="0"/>
      <w:marTop w:val="0"/>
      <w:marBottom w:val="0"/>
      <w:divBdr>
        <w:top w:val="none" w:sz="0" w:space="0" w:color="auto"/>
        <w:left w:val="none" w:sz="0" w:space="0" w:color="auto"/>
        <w:bottom w:val="none" w:sz="0" w:space="0" w:color="auto"/>
        <w:right w:val="none" w:sz="0" w:space="0" w:color="auto"/>
      </w:divBdr>
      <w:divsChild>
        <w:div w:id="1331568235">
          <w:marLeft w:val="0"/>
          <w:marRight w:val="0"/>
          <w:marTop w:val="0"/>
          <w:marBottom w:val="0"/>
          <w:divBdr>
            <w:top w:val="none" w:sz="0" w:space="0" w:color="auto"/>
            <w:left w:val="none" w:sz="0" w:space="0" w:color="auto"/>
            <w:bottom w:val="none" w:sz="0" w:space="0" w:color="auto"/>
            <w:right w:val="none" w:sz="0" w:space="0" w:color="auto"/>
          </w:divBdr>
          <w:divsChild>
            <w:div w:id="1213732727">
              <w:marLeft w:val="0"/>
              <w:marRight w:val="0"/>
              <w:marTop w:val="0"/>
              <w:marBottom w:val="0"/>
              <w:divBdr>
                <w:top w:val="none" w:sz="0" w:space="0" w:color="auto"/>
                <w:left w:val="none" w:sz="0" w:space="0" w:color="auto"/>
                <w:bottom w:val="none" w:sz="0" w:space="0" w:color="auto"/>
                <w:right w:val="none" w:sz="0" w:space="0" w:color="auto"/>
              </w:divBdr>
              <w:divsChild>
                <w:div w:id="2138910555">
                  <w:marLeft w:val="0"/>
                  <w:marRight w:val="0"/>
                  <w:marTop w:val="75"/>
                  <w:marBottom w:val="0"/>
                  <w:divBdr>
                    <w:top w:val="none" w:sz="0" w:space="0" w:color="auto"/>
                    <w:left w:val="none" w:sz="0" w:space="0" w:color="auto"/>
                    <w:bottom w:val="none" w:sz="0" w:space="0" w:color="auto"/>
                    <w:right w:val="none" w:sz="0" w:space="0" w:color="auto"/>
                  </w:divBdr>
                  <w:divsChild>
                    <w:div w:id="488905686">
                      <w:marLeft w:val="0"/>
                      <w:marRight w:val="0"/>
                      <w:marTop w:val="0"/>
                      <w:marBottom w:val="0"/>
                      <w:divBdr>
                        <w:top w:val="none" w:sz="0" w:space="0" w:color="auto"/>
                        <w:left w:val="none" w:sz="0" w:space="0" w:color="auto"/>
                        <w:bottom w:val="none" w:sz="0" w:space="0" w:color="auto"/>
                        <w:right w:val="none" w:sz="0" w:space="0" w:color="auto"/>
                      </w:divBdr>
                      <w:divsChild>
                        <w:div w:id="1596131002">
                          <w:marLeft w:val="0"/>
                          <w:marRight w:val="0"/>
                          <w:marTop w:val="0"/>
                          <w:marBottom w:val="0"/>
                          <w:divBdr>
                            <w:top w:val="none" w:sz="0" w:space="0" w:color="auto"/>
                            <w:left w:val="none" w:sz="0" w:space="0" w:color="auto"/>
                            <w:bottom w:val="none" w:sz="0" w:space="0" w:color="auto"/>
                            <w:right w:val="none" w:sz="0" w:space="0" w:color="auto"/>
                          </w:divBdr>
                          <w:divsChild>
                            <w:div w:id="768550169">
                              <w:marLeft w:val="0"/>
                              <w:marRight w:val="0"/>
                              <w:marTop w:val="0"/>
                              <w:marBottom w:val="0"/>
                              <w:divBdr>
                                <w:top w:val="none" w:sz="0" w:space="0" w:color="auto"/>
                                <w:left w:val="none" w:sz="0" w:space="0" w:color="auto"/>
                                <w:bottom w:val="none" w:sz="0" w:space="0" w:color="auto"/>
                                <w:right w:val="none" w:sz="0" w:space="0" w:color="auto"/>
                              </w:divBdr>
                            </w:div>
                            <w:div w:id="1145124816">
                              <w:marLeft w:val="0"/>
                              <w:marRight w:val="0"/>
                              <w:marTop w:val="0"/>
                              <w:marBottom w:val="0"/>
                              <w:divBdr>
                                <w:top w:val="none" w:sz="0" w:space="0" w:color="auto"/>
                                <w:left w:val="none" w:sz="0" w:space="0" w:color="auto"/>
                                <w:bottom w:val="none" w:sz="0" w:space="0" w:color="auto"/>
                                <w:right w:val="none" w:sz="0" w:space="0" w:color="auto"/>
                              </w:divBdr>
                            </w:div>
                            <w:div w:id="1277327231">
                              <w:marLeft w:val="0"/>
                              <w:marRight w:val="0"/>
                              <w:marTop w:val="0"/>
                              <w:marBottom w:val="0"/>
                              <w:divBdr>
                                <w:top w:val="none" w:sz="0" w:space="0" w:color="auto"/>
                                <w:left w:val="none" w:sz="0" w:space="0" w:color="auto"/>
                                <w:bottom w:val="none" w:sz="0" w:space="0" w:color="auto"/>
                                <w:right w:val="none" w:sz="0" w:space="0" w:color="auto"/>
                              </w:divBdr>
                            </w:div>
                            <w:div w:id="1952542359">
                              <w:marLeft w:val="0"/>
                              <w:marRight w:val="0"/>
                              <w:marTop w:val="0"/>
                              <w:marBottom w:val="0"/>
                              <w:divBdr>
                                <w:top w:val="none" w:sz="0" w:space="0" w:color="auto"/>
                                <w:left w:val="none" w:sz="0" w:space="0" w:color="auto"/>
                                <w:bottom w:val="none" w:sz="0" w:space="0" w:color="auto"/>
                                <w:right w:val="none" w:sz="0" w:space="0" w:color="auto"/>
                              </w:divBdr>
                            </w:div>
                            <w:div w:id="924723180">
                              <w:marLeft w:val="0"/>
                              <w:marRight w:val="0"/>
                              <w:marTop w:val="0"/>
                              <w:marBottom w:val="0"/>
                              <w:divBdr>
                                <w:top w:val="none" w:sz="0" w:space="0" w:color="auto"/>
                                <w:left w:val="none" w:sz="0" w:space="0" w:color="auto"/>
                                <w:bottom w:val="none" w:sz="0" w:space="0" w:color="auto"/>
                                <w:right w:val="none" w:sz="0" w:space="0" w:color="auto"/>
                              </w:divBdr>
                            </w:div>
                            <w:div w:id="7817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E341-6AF1-4708-8665-BFF850B6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55</Pages>
  <Words>14375</Words>
  <Characters>79068</Characters>
  <Application>Microsoft Office Word</Application>
  <DocSecurity>0</DocSecurity>
  <Lines>658</Lines>
  <Paragraphs>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Leiden</Company>
  <LinksUpToDate>false</LinksUpToDate>
  <CharactersWithSpaces>93257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Yussupova, Diana</dc:creator>
  <cp:lastModifiedBy>Yussupova, Diana</cp:lastModifiedBy>
  <cp:revision>74</cp:revision>
  <cp:lastPrinted>2017-01-18T13:50:00Z</cp:lastPrinted>
  <dcterms:created xsi:type="dcterms:W3CDTF">2017-01-16T15:58:00Z</dcterms:created>
  <dcterms:modified xsi:type="dcterms:W3CDTF">2017-01-18T14:03:00Z</dcterms:modified>
</cp:coreProperties>
</file>